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WAF（Web应用防护系统）采购</w:t>
      </w:r>
      <w:bookmarkStart w:id="12" w:name="_GoBack"/>
      <w:bookmarkEnd w:id="12"/>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lang w:eastAsia="zh-CN"/>
        </w:rPr>
        <w:t>FHC-PTCG20221125003</w:t>
      </w:r>
      <w:r>
        <w:rPr>
          <w:rFonts w:hint="eastAsia"/>
          <w:sz w:val="28"/>
          <w:szCs w:val="28"/>
          <w:u w:val="single"/>
        </w:rPr>
        <w:t xml:space="preserve">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WAF（Web应用防护系统）采购项目（项目编号：FHC-PTCG20221125003）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WAF（Web应用防护系统）采购 </w:t>
      </w:r>
    </w:p>
    <w:p>
      <w:pPr>
        <w:pStyle w:val="4"/>
        <w:spacing w:line="360" w:lineRule="auto"/>
        <w:ind w:left="0" w:firstLine="480" w:firstLineChars="200"/>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企业网络安全加固，</w:t>
      </w:r>
      <w:r>
        <w:rPr>
          <w:rFonts w:hint="eastAsia"/>
          <w:b w:val="0"/>
          <w:shd w:val="clear" w:color="auto" w:fill="FFFFFF"/>
          <w:lang w:val="en-US" w:eastAsia="zh-CN"/>
        </w:rPr>
        <w:t>需完全满足附件《WAF设备技术要求》</w:t>
      </w:r>
    </w:p>
    <w:p>
      <w:pPr>
        <w:spacing w:line="360" w:lineRule="auto"/>
        <w:ind w:firstLine="480" w:firstLineChars="200"/>
        <w:rPr>
          <w:sz w:val="24"/>
          <w:szCs w:val="24"/>
          <w:lang w:eastAsia="zh-CN"/>
        </w:rPr>
      </w:pPr>
      <w:r>
        <w:rPr>
          <w:rFonts w:hint="eastAsia"/>
          <w:sz w:val="24"/>
          <w:szCs w:val="24"/>
          <w:lang w:eastAsia="zh-CN"/>
        </w:rPr>
        <w:t>3. 项目控制价格：</w:t>
      </w:r>
      <w:r>
        <w:rPr>
          <w:rFonts w:hint="eastAsia"/>
          <w:sz w:val="24"/>
          <w:szCs w:val="24"/>
          <w:lang w:val="en-US" w:eastAsia="zh-CN"/>
        </w:rPr>
        <w:t>15</w:t>
      </w:r>
      <w:r>
        <w:rPr>
          <w:rFonts w:hint="eastAsia"/>
          <w:sz w:val="24"/>
          <w:szCs w:val="24"/>
          <w:lang w:eastAsia="zh-CN"/>
        </w:rPr>
        <w:t>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844" w:leftChars="220" w:hanging="360" w:hangingChars="150"/>
        <w:jc w:val="both"/>
        <w:rPr>
          <w:sz w:val="24"/>
          <w:szCs w:val="24"/>
          <w:lang w:eastAsia="zh-CN"/>
        </w:rPr>
      </w:pPr>
      <w:r>
        <w:rPr>
          <w:rFonts w:hint="eastAsia"/>
          <w:sz w:val="24"/>
          <w:szCs w:val="24"/>
          <w:lang w:eastAsia="zh-CN"/>
        </w:rPr>
        <w:t>1. 参选人必须</w:t>
      </w:r>
      <w:r>
        <w:rPr>
          <w:color w:val="000000"/>
          <w:sz w:val="24"/>
          <w:szCs w:val="24"/>
          <w:lang w:eastAsia="zh-CN"/>
        </w:rPr>
        <w:t>满足</w:t>
      </w:r>
      <w:r>
        <w:rPr>
          <w:rFonts w:hint="eastAsia"/>
          <w:color w:val="000000"/>
          <w:sz w:val="24"/>
          <w:szCs w:val="24"/>
          <w:lang w:eastAsia="zh-CN"/>
        </w:rPr>
        <w:t>在中华人民共和国境内注册、具有独立承担民事责任能力的企业，法人营业执照经营范围符合本项目要求；</w:t>
      </w:r>
    </w:p>
    <w:p>
      <w:pPr>
        <w:widowControl/>
        <w:autoSpaceDE/>
        <w:autoSpaceDN/>
        <w:spacing w:line="360" w:lineRule="auto"/>
        <w:ind w:firstLine="480" w:firstLineChars="200"/>
        <w:jc w:val="both"/>
        <w:rPr>
          <w:color w:val="000000"/>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szCs w:val="24"/>
          <w:lang w:eastAsia="zh-CN"/>
        </w:rPr>
        <w:t xml:space="preserve"> </w:t>
      </w:r>
      <w:r>
        <w:rPr>
          <w:rFonts w:hint="eastAsia"/>
          <w:sz w:val="24"/>
          <w:szCs w:val="24"/>
          <w:lang w:eastAsia="zh-CN"/>
        </w:rPr>
        <w:t>参选人</w:t>
      </w:r>
      <w:r>
        <w:rPr>
          <w:rFonts w:hint="eastAsia"/>
          <w:color w:val="000000"/>
          <w:sz w:val="24"/>
          <w:szCs w:val="24"/>
          <w:lang w:eastAsia="zh-CN"/>
        </w:rPr>
        <w:t>具有良好的商业信誉和健全的财务会计制度；</w:t>
      </w:r>
    </w:p>
    <w:p>
      <w:pPr>
        <w:pStyle w:val="2"/>
        <w:spacing w:line="360" w:lineRule="auto"/>
        <w:ind w:firstLine="480" w:firstLineChars="200"/>
        <w:rPr>
          <w:rFonts w:hAnsi="宋体" w:cs="宋体"/>
          <w:color w:val="000000"/>
          <w:sz w:val="24"/>
          <w:szCs w:val="24"/>
        </w:rPr>
      </w:pPr>
      <w:r>
        <w:rPr>
          <w:rFonts w:hint="eastAsia"/>
          <w:sz w:val="24"/>
          <w:szCs w:val="24"/>
        </w:rPr>
        <w:t>3. 参选人</w:t>
      </w:r>
      <w:r>
        <w:rPr>
          <w:rFonts w:hint="eastAsia" w:hAnsi="宋体" w:cs="宋体"/>
          <w:color w:val="000000"/>
          <w:sz w:val="24"/>
          <w:szCs w:val="24"/>
        </w:rPr>
        <w:t>具有履行合同所必须的设备和专业技术能力；</w:t>
      </w:r>
    </w:p>
    <w:p>
      <w:pPr>
        <w:pStyle w:val="2"/>
        <w:spacing w:line="360" w:lineRule="auto"/>
        <w:ind w:firstLine="480" w:firstLineChars="200"/>
        <w:rPr>
          <w:rFonts w:hAnsi="宋体" w:cs="宋体"/>
          <w:color w:val="000000"/>
          <w:sz w:val="24"/>
          <w:szCs w:val="24"/>
        </w:rPr>
      </w:pPr>
      <w:r>
        <w:rPr>
          <w:rFonts w:hint="eastAsia"/>
          <w:sz w:val="24"/>
          <w:szCs w:val="24"/>
        </w:rPr>
        <w:t>4. 参选人</w:t>
      </w:r>
      <w:r>
        <w:rPr>
          <w:rFonts w:hint="eastAsia" w:hAnsi="宋体" w:cs="宋体"/>
          <w:color w:val="000000"/>
          <w:sz w:val="24"/>
          <w:szCs w:val="24"/>
        </w:rPr>
        <w:t>有依法缴纳税收和社会保障资金的良好记录；</w:t>
      </w:r>
    </w:p>
    <w:p>
      <w:pPr>
        <w:pStyle w:val="2"/>
        <w:spacing w:line="360" w:lineRule="auto"/>
        <w:ind w:firstLine="480" w:firstLineChars="200"/>
        <w:rPr>
          <w:sz w:val="24"/>
          <w:szCs w:val="24"/>
        </w:rPr>
      </w:pPr>
      <w:r>
        <w:rPr>
          <w:rFonts w:hint="eastAsia"/>
          <w:sz w:val="24"/>
          <w:szCs w:val="24"/>
        </w:rPr>
        <w:t>5. 参选人</w:t>
      </w:r>
      <w:r>
        <w:rPr>
          <w:rFonts w:hint="eastAsia" w:hAnsi="宋体" w:cs="宋体"/>
          <w:color w:val="000000"/>
          <w:sz w:val="24"/>
          <w:szCs w:val="24"/>
        </w:rPr>
        <w:t>参加本项目前三年内,在经营活动中没有重大违法记录；</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8. </w:t>
      </w:r>
      <w:r>
        <w:rPr>
          <w:rFonts w:hint="eastAsia" w:asciiTheme="majorEastAsia" w:hAnsiTheme="majorEastAsia" w:eastAsiaTheme="majorEastAsia"/>
          <w:sz w:val="24"/>
          <w:szCs w:val="24"/>
        </w:rPr>
        <w:t>本项目不接受联合体投标</w:t>
      </w:r>
      <w:r>
        <w:rPr>
          <w:rFonts w:hint="eastAsia"/>
          <w:sz w:val="24"/>
          <w:szCs w:val="24"/>
        </w:rPr>
        <w:t>。</w:t>
      </w:r>
    </w:p>
    <w:p>
      <w:pPr>
        <w:pStyle w:val="34"/>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cs="宋体" w:asciiTheme="majorEastAsia" w:hAnsiTheme="majorEastAsia" w:eastAsiaTheme="majorEastAsia"/>
          <w:b w:val="0"/>
          <w:bCs/>
          <w:sz w:val="24"/>
          <w:szCs w:val="24"/>
          <w:lang w:val="en-US" w:eastAsia="zh-CN" w:bidi="ar-SA"/>
        </w:rPr>
        <w:t>公示之日起</w:t>
      </w:r>
      <w:r>
        <w:rPr>
          <w:rFonts w:hint="eastAsia" w:asciiTheme="minorEastAsia" w:hAnsiTheme="minorEastAsia" w:eastAsiaTheme="minorEastAsia"/>
          <w:sz w:val="24"/>
          <w:szCs w:val="24"/>
          <w:lang w:eastAsia="zh-CN"/>
        </w:rPr>
        <w:t>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 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rPr>
          <w:rStyle w:val="30"/>
          <w:rFonts w:hint="eastAsia" w:asciiTheme="minorEastAsia" w:hAnsiTheme="minorEastAsia" w:eastAsiaTheme="minorEastAsia"/>
          <w:bCs/>
          <w:color w:val="auto"/>
          <w:sz w:val="24"/>
          <w:szCs w:val="24"/>
          <w:lang w:val="en-US" w:eastAsia="zh-CN"/>
        </w:rPr>
        <w:fldChar w:fldCharType="begin"/>
      </w:r>
      <w:r>
        <w:rPr>
          <w:rStyle w:val="30"/>
          <w:rFonts w:hint="eastAsia" w:asciiTheme="minorEastAsia" w:hAnsiTheme="minorEastAsia" w:eastAsiaTheme="minorEastAsia"/>
          <w:bCs/>
          <w:color w:val="auto"/>
          <w:sz w:val="24"/>
          <w:szCs w:val="24"/>
          <w:lang w:val="en-US" w:eastAsia="zh-CN"/>
        </w:rPr>
        <w:instrText xml:space="preserve"> HYPERLINK "mailto:adgu@fhcpec.com.cn" </w:instrText>
      </w:r>
      <w:r>
        <w:rPr>
          <w:rStyle w:val="30"/>
          <w:rFonts w:hint="eastAsia" w:asciiTheme="minorEastAsia" w:hAnsiTheme="minorEastAsia" w:eastAsiaTheme="minorEastAsia"/>
          <w:bCs/>
          <w:color w:val="auto"/>
          <w:sz w:val="24"/>
          <w:szCs w:val="24"/>
          <w:lang w:val="en-US" w:eastAsia="zh-CN"/>
        </w:rPr>
        <w:fldChar w:fldCharType="separate"/>
      </w:r>
      <w:r>
        <w:rPr>
          <w:rStyle w:val="30"/>
          <w:rFonts w:hint="eastAsia" w:asciiTheme="minorEastAsia" w:hAnsiTheme="minorEastAsia"/>
          <w:bCs/>
          <w:color w:val="auto"/>
          <w:sz w:val="24"/>
          <w:szCs w:val="24"/>
          <w:lang w:val="en-US" w:eastAsia="zh-CN"/>
        </w:rPr>
        <w:t>xukh</w:t>
      </w:r>
      <w:r>
        <w:rPr>
          <w:rStyle w:val="30"/>
          <w:rFonts w:hint="eastAsia" w:asciiTheme="minorEastAsia" w:hAnsiTheme="minorEastAsia" w:eastAsiaTheme="minorEastAsia"/>
          <w:bCs/>
          <w:color w:val="auto"/>
          <w:sz w:val="24"/>
          <w:szCs w:val="24"/>
          <w:lang w:val="en-US" w:eastAsia="zh-CN"/>
        </w:rPr>
        <w:t>@fjpec.com.cn</w:t>
      </w:r>
      <w:r>
        <w:rPr>
          <w:rStyle w:val="30"/>
          <w:rFonts w:hint="eastAsia" w:asciiTheme="minorEastAsia" w:hAnsiTheme="minorEastAsia" w:eastAsiaTheme="minorEastAsia"/>
          <w:bCs/>
          <w:color w:val="auto"/>
          <w:sz w:val="24"/>
          <w:szCs w:val="24"/>
          <w:lang w:val="en-US"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w:t>
      </w:r>
      <w:r>
        <w:rPr>
          <w:rFonts w:hint="eastAsia" w:cs="宋体" w:asciiTheme="majorEastAsia" w:hAnsiTheme="majorEastAsia" w:eastAsiaTheme="majorEastAsia"/>
          <w:b w:val="0"/>
          <w:bCs/>
          <w:color w:val="auto"/>
          <w:sz w:val="24"/>
          <w:szCs w:val="24"/>
          <w:lang w:val="en-US" w:eastAsia="zh-CN" w:bidi="ar-SA"/>
        </w:rPr>
        <w:t>许坤宏  电话：13055516565</w:t>
      </w:r>
      <w:r>
        <w:rPr>
          <w:rFonts w:hint="eastAsia" w:cs="宋体" w:asciiTheme="majorEastAsia" w:hAnsiTheme="majorEastAsia" w:eastAsiaTheme="majorEastAsia"/>
          <w:b w:val="0"/>
          <w:bCs/>
          <w:sz w:val="24"/>
          <w:szCs w:val="24"/>
          <w:lang w:val="en-US" w:eastAsia="zh-CN" w:bidi="ar-SA"/>
        </w:rPr>
        <w:t>。</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w:t>
      </w:r>
      <w:r>
        <w:rPr>
          <w:rFonts w:hint="eastAsia" w:cs="宋体" w:asciiTheme="majorEastAsia" w:hAnsiTheme="majorEastAsia" w:eastAsiaTheme="majorEastAsia"/>
          <w:b w:val="0"/>
          <w:bCs/>
          <w:sz w:val="24"/>
          <w:szCs w:val="24"/>
          <w:lang w:val="en-US" w:eastAsia="zh-CN" w:bidi="ar-SA"/>
        </w:rPr>
        <w:t>公示之日起第12天 即 2022年12 月14日止。</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9"/>
        <w:snapToGrid w:val="0"/>
        <w:spacing w:line="360" w:lineRule="auto"/>
        <w:ind w:firstLine="480" w:firstLineChars="200"/>
        <w:rPr>
          <w:rStyle w:val="30"/>
          <w:rFonts w:hint="eastAsia" w:asciiTheme="minorEastAsia" w:hAnsiTheme="minorEastAsia" w:eastAsiaTheme="minorEastAsia"/>
          <w:bCs/>
          <w:color w:val="auto"/>
          <w:sz w:val="24"/>
          <w:szCs w:val="24"/>
          <w:lang w:val="en-US" w:eastAsia="zh-CN"/>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 w:val="0"/>
          <w:bCs/>
          <w:color w:val="auto"/>
          <w:sz w:val="24"/>
          <w:szCs w:val="24"/>
          <w:lang w:val="en-US" w:eastAsia="zh-CN" w:bidi="ar-SA"/>
        </w:rPr>
        <w:t>许坤宏  电话：13055516565</w:t>
      </w:r>
      <w:r>
        <w:rPr>
          <w:rStyle w:val="30"/>
          <w:rFonts w:hint="eastAsia" w:asciiTheme="minorEastAsia" w:hAnsiTheme="minorEastAsia" w:eastAsiaTheme="minorEastAsia"/>
          <w:bCs/>
          <w:color w:val="auto"/>
          <w:sz w:val="24"/>
          <w:szCs w:val="24"/>
          <w:lang w:val="en-US" w:eastAsia="zh-CN"/>
        </w:rPr>
        <w:tab/>
      </w:r>
      <w:r>
        <w:rPr>
          <w:rStyle w:val="30"/>
          <w:rFonts w:hint="eastAsia" w:asciiTheme="minorEastAsia" w:hAnsiTheme="minorEastAsia" w:eastAsiaTheme="minorEastAsia"/>
          <w:bCs/>
          <w:color w:val="auto"/>
          <w:sz w:val="24"/>
          <w:szCs w:val="24"/>
          <w:lang w:val="en-US" w:eastAsia="zh-CN"/>
        </w:rPr>
        <w:t xml:space="preserve">  邮箱：</w:t>
      </w:r>
      <w:r>
        <w:rPr>
          <w:rStyle w:val="30"/>
          <w:rFonts w:hint="eastAsia" w:asciiTheme="minorEastAsia" w:hAnsiTheme="minorEastAsia" w:eastAsiaTheme="minorEastAsia"/>
          <w:bCs/>
          <w:color w:val="auto"/>
          <w:sz w:val="24"/>
          <w:szCs w:val="24"/>
          <w:lang w:val="en-US" w:eastAsia="zh-CN"/>
        </w:rPr>
        <w:fldChar w:fldCharType="begin"/>
      </w:r>
      <w:r>
        <w:rPr>
          <w:rStyle w:val="30"/>
          <w:rFonts w:hint="eastAsia" w:asciiTheme="minorEastAsia" w:hAnsiTheme="minorEastAsia" w:eastAsiaTheme="minorEastAsia"/>
          <w:bCs/>
          <w:color w:val="auto"/>
          <w:sz w:val="24"/>
          <w:szCs w:val="24"/>
          <w:lang w:val="en-US" w:eastAsia="zh-CN"/>
        </w:rPr>
        <w:instrText xml:space="preserve"> HYPERLINK "mailto:adgu@fhcpec.com.cn" </w:instrText>
      </w:r>
      <w:r>
        <w:rPr>
          <w:rStyle w:val="30"/>
          <w:rFonts w:hint="eastAsia" w:asciiTheme="minorEastAsia" w:hAnsiTheme="minorEastAsia" w:eastAsiaTheme="minorEastAsia"/>
          <w:bCs/>
          <w:color w:val="auto"/>
          <w:sz w:val="24"/>
          <w:szCs w:val="24"/>
          <w:lang w:val="en-US" w:eastAsia="zh-CN"/>
        </w:rPr>
        <w:fldChar w:fldCharType="separate"/>
      </w:r>
      <w:r>
        <w:rPr>
          <w:rStyle w:val="30"/>
          <w:rFonts w:hint="eastAsia" w:asciiTheme="minorEastAsia" w:hAnsiTheme="minorEastAsia"/>
          <w:bCs/>
          <w:color w:val="auto"/>
          <w:sz w:val="24"/>
          <w:szCs w:val="24"/>
          <w:lang w:val="en-US" w:eastAsia="zh-CN"/>
        </w:rPr>
        <w:t>xukh</w:t>
      </w:r>
      <w:r>
        <w:rPr>
          <w:rStyle w:val="30"/>
          <w:rFonts w:hint="eastAsia" w:asciiTheme="minorEastAsia" w:hAnsiTheme="minorEastAsia" w:eastAsiaTheme="minorEastAsia"/>
          <w:bCs/>
          <w:color w:val="auto"/>
          <w:sz w:val="24"/>
          <w:szCs w:val="24"/>
          <w:lang w:val="en-US" w:eastAsia="zh-CN"/>
        </w:rPr>
        <w:t>@fjpec.com.cn</w:t>
      </w:r>
      <w:r>
        <w:rPr>
          <w:rStyle w:val="30"/>
          <w:rFonts w:hint="eastAsia" w:asciiTheme="minorEastAsia" w:hAnsiTheme="minorEastAsia" w:eastAsiaTheme="minorEastAsia"/>
          <w:bCs/>
          <w:color w:val="auto"/>
          <w:sz w:val="24"/>
          <w:szCs w:val="24"/>
          <w:lang w:val="en-US" w:eastAsia="zh-CN"/>
        </w:rPr>
        <w:fldChar w:fldCharType="end"/>
      </w:r>
    </w:p>
    <w:p>
      <w:pPr>
        <w:pStyle w:val="9"/>
        <w:snapToGrid w:val="0"/>
        <w:spacing w:line="360" w:lineRule="auto"/>
        <w:ind w:firstLine="480" w:firstLineChars="200"/>
        <w:rPr>
          <w:rStyle w:val="30"/>
          <w:rFonts w:hint="eastAsia" w:asciiTheme="minorEastAsia" w:hAnsiTheme="minorEastAsia" w:eastAsiaTheme="minorEastAsia"/>
          <w:bCs/>
          <w:color w:val="auto"/>
          <w:sz w:val="24"/>
          <w:szCs w:val="24"/>
          <w:lang w:val="en-US" w:eastAsia="zh-CN"/>
        </w:rPr>
      </w:pPr>
      <w:r>
        <w:rPr>
          <w:rStyle w:val="30"/>
          <w:rFonts w:hint="eastAsia" w:asciiTheme="minorEastAsia" w:hAnsiTheme="minorEastAsia" w:eastAsiaTheme="minorEastAsia"/>
          <w:bCs/>
          <w:color w:val="auto"/>
          <w:sz w:val="24"/>
          <w:szCs w:val="24"/>
          <w:lang w:val="en-US" w:eastAsia="zh-CN"/>
        </w:rPr>
        <w:t xml:space="preserve">技术联系人：李智城  电话：18259087054  </w:t>
      </w:r>
    </w:p>
    <w:p>
      <w:pPr>
        <w:pStyle w:val="9"/>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9"/>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12.2</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WAF（Web应用防护系统）采购</w:t>
      </w:r>
      <w:r>
        <w:rPr>
          <w:rFonts w:hint="eastAsia" w:asciiTheme="majorEastAsia" w:hAnsiTheme="majorEastAsia" w:eastAsiaTheme="majorEastAsia"/>
          <w:u w:val="single"/>
          <w:lang w:eastAsia="zh-CN"/>
        </w:rPr>
        <w:t xml:space="preserve">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针对WEB的攻击进行防护加固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见附件5“报价单”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r>
        <w:rPr>
          <w:rFonts w:hint="eastAsia" w:asciiTheme="majorEastAsia" w:hAnsiTheme="majorEastAsia" w:eastAsiaTheme="majorEastAsia"/>
          <w:sz w:val="24"/>
          <w:szCs w:val="24"/>
          <w:lang w:val="en-US" w:eastAsia="zh-CN"/>
        </w:rPr>
        <w:t>需完全满足附件WAF设备技术要求。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844" w:leftChars="220" w:hanging="360" w:hangingChars="150"/>
        <w:jc w:val="both"/>
        <w:rPr>
          <w:sz w:val="24"/>
          <w:szCs w:val="24"/>
          <w:lang w:eastAsia="zh-CN"/>
        </w:rPr>
      </w:pPr>
      <w:r>
        <w:rPr>
          <w:rFonts w:hint="eastAsia"/>
          <w:sz w:val="24"/>
          <w:szCs w:val="24"/>
          <w:lang w:eastAsia="zh-CN"/>
        </w:rPr>
        <w:t>1. 参选人必须</w:t>
      </w:r>
      <w:r>
        <w:rPr>
          <w:color w:val="000000"/>
          <w:sz w:val="24"/>
          <w:szCs w:val="24"/>
          <w:lang w:eastAsia="zh-CN"/>
        </w:rPr>
        <w:t>满足</w:t>
      </w:r>
      <w:r>
        <w:rPr>
          <w:rFonts w:hint="eastAsia"/>
          <w:color w:val="000000"/>
          <w:sz w:val="24"/>
          <w:szCs w:val="24"/>
          <w:lang w:eastAsia="zh-CN"/>
        </w:rPr>
        <w:t>在中华人民共和国境内注册、具有独立承担民事责任能力的企业，法人营业执照经营范围符合本项目要求；</w:t>
      </w:r>
    </w:p>
    <w:p>
      <w:pPr>
        <w:widowControl/>
        <w:autoSpaceDE/>
        <w:autoSpaceDN/>
        <w:spacing w:line="360" w:lineRule="auto"/>
        <w:ind w:firstLine="480" w:firstLineChars="200"/>
        <w:jc w:val="both"/>
        <w:rPr>
          <w:color w:val="000000"/>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szCs w:val="24"/>
          <w:lang w:eastAsia="zh-CN"/>
        </w:rPr>
        <w:t xml:space="preserve"> </w:t>
      </w:r>
      <w:r>
        <w:rPr>
          <w:rFonts w:hint="eastAsia"/>
          <w:sz w:val="24"/>
          <w:szCs w:val="24"/>
          <w:lang w:eastAsia="zh-CN"/>
        </w:rPr>
        <w:t>参选人</w:t>
      </w:r>
      <w:r>
        <w:rPr>
          <w:rFonts w:hint="eastAsia"/>
          <w:color w:val="000000"/>
          <w:sz w:val="24"/>
          <w:szCs w:val="24"/>
          <w:lang w:eastAsia="zh-CN"/>
        </w:rPr>
        <w:t>具有良好的商业信誉和健全的财务会计制度；</w:t>
      </w:r>
    </w:p>
    <w:p>
      <w:pPr>
        <w:pStyle w:val="2"/>
        <w:spacing w:line="360" w:lineRule="auto"/>
        <w:ind w:firstLine="480" w:firstLineChars="200"/>
        <w:rPr>
          <w:rFonts w:hAnsi="宋体" w:cs="宋体"/>
          <w:color w:val="000000"/>
          <w:sz w:val="24"/>
          <w:szCs w:val="24"/>
        </w:rPr>
      </w:pPr>
      <w:r>
        <w:rPr>
          <w:rFonts w:hint="eastAsia"/>
          <w:sz w:val="24"/>
          <w:szCs w:val="24"/>
        </w:rPr>
        <w:t>3. 参选人</w:t>
      </w:r>
      <w:r>
        <w:rPr>
          <w:rFonts w:hint="eastAsia" w:hAnsi="宋体" w:cs="宋体"/>
          <w:color w:val="000000"/>
          <w:sz w:val="24"/>
          <w:szCs w:val="24"/>
        </w:rPr>
        <w:t>具有履行合同所必须的设备和专业技术能力；</w:t>
      </w:r>
    </w:p>
    <w:p>
      <w:pPr>
        <w:pStyle w:val="2"/>
        <w:spacing w:line="360" w:lineRule="auto"/>
        <w:ind w:firstLine="480" w:firstLineChars="200"/>
        <w:rPr>
          <w:rFonts w:hAnsi="宋体" w:cs="宋体"/>
          <w:color w:val="000000"/>
          <w:sz w:val="24"/>
          <w:szCs w:val="24"/>
        </w:rPr>
      </w:pPr>
      <w:r>
        <w:rPr>
          <w:rFonts w:hint="eastAsia"/>
          <w:sz w:val="24"/>
          <w:szCs w:val="24"/>
        </w:rPr>
        <w:t>4. 参选人</w:t>
      </w:r>
      <w:r>
        <w:rPr>
          <w:rFonts w:hint="eastAsia" w:hAnsi="宋体" w:cs="宋体"/>
          <w:color w:val="000000"/>
          <w:sz w:val="24"/>
          <w:szCs w:val="24"/>
        </w:rPr>
        <w:t>有依法缴纳税收和社会保障资金的良好记录；</w:t>
      </w:r>
    </w:p>
    <w:p>
      <w:pPr>
        <w:pStyle w:val="2"/>
        <w:spacing w:line="360" w:lineRule="auto"/>
        <w:ind w:firstLine="480" w:firstLineChars="200"/>
        <w:rPr>
          <w:sz w:val="24"/>
          <w:szCs w:val="24"/>
        </w:rPr>
      </w:pPr>
      <w:r>
        <w:rPr>
          <w:rFonts w:hint="eastAsia"/>
          <w:sz w:val="24"/>
          <w:szCs w:val="24"/>
        </w:rPr>
        <w:t>5. 参选人</w:t>
      </w:r>
      <w:r>
        <w:rPr>
          <w:rFonts w:hint="eastAsia" w:hAnsi="宋体" w:cs="宋体"/>
          <w:color w:val="000000"/>
          <w:sz w:val="24"/>
          <w:szCs w:val="24"/>
        </w:rPr>
        <w:t>参加本项目前三年内,在经营活动中没有重大违法记录；</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8.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before="174"/>
        <w:ind w:left="680"/>
        <w:rPr>
          <w:lang w:eastAsia="zh-CN"/>
        </w:rPr>
      </w:pPr>
      <w:r>
        <w:rPr>
          <w:rFonts w:hint="eastAsia"/>
          <w:w w:val="95"/>
          <w:lang w:val="en-US" w:eastAsia="zh-CN"/>
        </w:rPr>
        <w:t>七</w:t>
      </w:r>
      <w:r>
        <w:rPr>
          <w:w w:val="95"/>
          <w:lang w:eastAsia="zh-CN"/>
        </w:rPr>
        <w:t>、参选文件的递交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w:t>
      </w:r>
      <w:r>
        <w:rPr>
          <w:rFonts w:hint="eastAsia"/>
          <w:lang w:val="en-US" w:eastAsia="zh-CN"/>
        </w:rPr>
        <w:t xml:space="preserve">2022 </w:t>
      </w:r>
      <w:r>
        <w:rPr>
          <w:lang w:eastAsia="zh-CN"/>
        </w:rPr>
        <w:t>年</w:t>
      </w:r>
      <w:r>
        <w:rPr>
          <w:rFonts w:hint="eastAsia"/>
          <w:lang w:val="en-US" w:eastAsia="zh-CN"/>
        </w:rPr>
        <w:t xml:space="preserve"> 12 </w:t>
      </w:r>
      <w:r>
        <w:rPr>
          <w:rFonts w:hint="eastAsia"/>
          <w:lang w:eastAsia="zh-CN"/>
        </w:rPr>
        <w:t>月</w:t>
      </w:r>
      <w:r>
        <w:rPr>
          <w:rFonts w:hint="eastAsia"/>
          <w:lang w:val="en-US" w:eastAsia="zh-CN"/>
        </w:rPr>
        <w:t xml:space="preserve"> 14 </w:t>
      </w:r>
      <w:r>
        <w:rPr>
          <w:lang w:eastAsia="zh-CN"/>
        </w:rPr>
        <w:t>日</w:t>
      </w:r>
      <w:r>
        <w:rPr>
          <w:rFonts w:hint="eastAsia"/>
          <w:lang w:val="en-US" w:eastAsia="zh-CN"/>
        </w:rPr>
        <w:t>止</w:t>
      </w:r>
      <w:r>
        <w:rPr>
          <w:rFonts w:hint="eastAsia"/>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right="0" w:rightChars="0" w:firstLine="622" w:firstLineChars="258"/>
        <w:jc w:val="both"/>
        <w:textAlignment w:val="auto"/>
        <w:outlineLvl w:val="9"/>
        <w:rPr>
          <w:lang w:eastAsia="zh-CN"/>
        </w:rPr>
      </w:pPr>
      <w:r>
        <w:rPr>
          <w:rFonts w:ascii="宋体" w:hAnsi="宋体" w:eastAsia="宋体" w:cs="宋体"/>
          <w:b/>
          <w:bCs/>
          <w:kern w:val="0"/>
          <w:sz w:val="24"/>
          <w:szCs w:val="24"/>
          <w:lang w:val="en-US" w:eastAsia="zh-CN" w:bidi="ar-SA"/>
        </w:rPr>
        <w:t>2.递交参选文件的地点为：</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w:t>
      </w:r>
      <w:r>
        <w:rPr>
          <w:rFonts w:hint="eastAsia" w:cs="宋体" w:asciiTheme="majorEastAsia" w:hAnsiTheme="majorEastAsia" w:eastAsiaTheme="majorEastAsia"/>
          <w:b w:val="0"/>
          <w:bCs/>
          <w:color w:val="auto"/>
          <w:sz w:val="24"/>
          <w:szCs w:val="24"/>
          <w:lang w:val="en-US" w:eastAsia="zh-CN" w:bidi="ar-SA"/>
        </w:rPr>
        <w:t>许坤宏  电话：13055516565</w:t>
      </w:r>
      <w:r>
        <w:rPr>
          <w:rFonts w:hint="eastAsia" w:cs="宋体" w:asciiTheme="majorEastAsia" w:hAnsiTheme="majorEastAsia" w:eastAsiaTheme="majorEastAsia"/>
          <w:b w:val="0"/>
          <w:bCs/>
          <w:sz w:val="24"/>
          <w:szCs w:val="24"/>
          <w:lang w:val="en-US" w:eastAsia="zh-CN" w:bidi="ar-SA"/>
        </w:rPr>
        <w:t>。</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8"/>
        <w:spacing w:before="108"/>
        <w:ind w:left="598"/>
        <w:rPr>
          <w:lang w:eastAsia="zh-CN"/>
        </w:rPr>
      </w:pPr>
      <w:r>
        <w:rPr>
          <w:lang w:eastAsia="zh-CN"/>
        </w:rPr>
        <w:t>3.只允许参选人有一个参选方案，否则将被视为无效参选。</w:t>
      </w:r>
    </w:p>
    <w:p>
      <w:pPr>
        <w:pStyle w:val="8"/>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8"/>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b/>
          <w:bCs/>
          <w:color w:val="auto"/>
          <w:lang w:eastAsia="zh-CN"/>
        </w:rPr>
        <w:t>参选文件密封封口处须加盖参选人公章，否则其参选将被拒绝。</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firstLine="2530" w:firstLineChars="900"/>
        <w:jc w:val="both"/>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一份（盖章PDF版），报价表（1份）须独立盖章密封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2"/>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22420"/>
      <w:bookmarkStart w:id="2" w:name="_Toc430490619"/>
      <w:bookmarkStart w:id="3" w:name="_Toc430492133"/>
      <w:bookmarkStart w:id="4" w:name="_Toc430488651"/>
      <w:bookmarkStart w:id="5" w:name="_Toc430489126"/>
      <w:bookmarkStart w:id="6" w:name="_Toc430488858"/>
      <w:bookmarkStart w:id="7" w:name="_Toc304357904"/>
      <w:bookmarkStart w:id="8" w:name="_Toc415567504"/>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val="en-US" w:eastAsia="zh-CN"/>
        </w:rPr>
        <w:t>15</w:t>
      </w:r>
      <w:r>
        <w:rPr>
          <w:rFonts w:hint="eastAsia"/>
          <w:b/>
          <w:lang w:eastAsia="zh-CN"/>
        </w:rPr>
        <w:t>0000元（含税价）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w:t>
      </w:r>
      <w:r>
        <w:rPr>
          <w:rFonts w:hint="eastAsia"/>
          <w:lang w:val="en-US" w:eastAsia="zh-CN"/>
        </w:rPr>
        <w:t>第一中选人</w:t>
      </w:r>
      <w:r>
        <w:rPr>
          <w:lang w:eastAsia="zh-CN"/>
        </w:rPr>
        <w:t>。</w:t>
      </w:r>
      <w:r>
        <w:rPr>
          <w:rFonts w:hint="eastAsia"/>
          <w:lang w:val="en-US" w:eastAsia="zh-CN"/>
        </w:rPr>
        <w:t>无预付款，货到验收合格付款。</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
        <w:tabs>
          <w:tab w:val="left" w:pos="4344"/>
        </w:tabs>
        <w:spacing w:line="360" w:lineRule="auto"/>
        <w:ind w:left="0"/>
        <w:jc w:val="center"/>
        <w:rPr>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8"/>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WAF（Web应用防护系统）采购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b/>
          <w:sz w:val="32"/>
          <w:szCs w:val="32"/>
          <w:lang w:eastAsia="zh-CN"/>
        </w:rPr>
      </w:pPr>
      <w:r>
        <w:rPr>
          <w:rFonts w:hint="eastAsia" w:ascii="Times New Roman"/>
          <w:b/>
          <w:bCs/>
          <w:lang w:eastAsia="zh-CN"/>
        </w:rPr>
        <w:t>附件一、</w:t>
      </w:r>
      <w:bookmarkStart w:id="9" w:name="_Toc251742852"/>
    </w:p>
    <w:p>
      <w:pPr>
        <w:pStyle w:val="2"/>
        <w:spacing w:line="440" w:lineRule="exact"/>
        <w:jc w:val="center"/>
        <w:rPr>
          <w:rFonts w:hint="eastAsia"/>
          <w:b/>
          <w:sz w:val="32"/>
          <w:szCs w:val="32"/>
        </w:rPr>
      </w:pPr>
      <w:r>
        <w:rPr>
          <w:rFonts w:hint="eastAsia" w:hAnsi="宋体" w:cs="宋体"/>
          <w:b/>
          <w:sz w:val="32"/>
          <w:szCs w:val="32"/>
          <w:lang w:eastAsia="zh-CN"/>
        </w:rPr>
        <w:t>WAF（Web应用防护系统）</w:t>
      </w:r>
      <w:r>
        <w:rPr>
          <w:rFonts w:hint="eastAsia" w:hAnsi="宋体" w:cs="宋体"/>
          <w:b/>
          <w:sz w:val="32"/>
          <w:szCs w:val="32"/>
        </w:rPr>
        <w:t>采购</w:t>
      </w:r>
      <w:r>
        <w:rPr>
          <w:rFonts w:hint="eastAsia"/>
          <w:b/>
          <w:sz w:val="32"/>
          <w:szCs w:val="32"/>
        </w:rPr>
        <w:t>合同</w:t>
      </w:r>
    </w:p>
    <w:bookmarkEnd w:id="9"/>
    <w:tbl>
      <w:tblPr>
        <w:tblStyle w:val="32"/>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64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rPr>
            </w:pPr>
            <w:r>
              <w:rPr>
                <w:rFonts w:hint="eastAsia"/>
                <w:sz w:val="24"/>
                <w:lang w:eastAsia="zh-CN"/>
              </w:rPr>
              <w:t>福建福海创石油化工有限公司</w:t>
            </w:r>
            <w:r>
              <w:rPr>
                <w:rFonts w:hint="eastAsia"/>
                <w:sz w:val="24"/>
              </w:rPr>
              <w:t xml:space="preserve">                                     </w:t>
            </w:r>
          </w:p>
        </w:tc>
        <w:tc>
          <w:tcPr>
            <w:tcW w:w="1418" w:type="dxa"/>
          </w:tcPr>
          <w:p>
            <w:pPr>
              <w:spacing w:line="120" w:lineRule="auto"/>
              <w:jc w:val="both"/>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649" w:type="dxa"/>
          </w:tcPr>
          <w:p>
            <w:pPr>
              <w:spacing w:line="120" w:lineRule="auto"/>
              <w:jc w:val="both"/>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3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eastAsia="zh-CN"/>
              </w:rPr>
              <w:t>WAF（Web应用防护系统）</w:t>
            </w:r>
          </w:p>
        </w:tc>
        <w:tc>
          <w:tcPr>
            <w:tcW w:w="2127" w:type="dxa"/>
            <w:vAlign w:val="center"/>
          </w:tcPr>
          <w:p>
            <w:pPr>
              <w:spacing w:line="120" w:lineRule="auto"/>
              <w:jc w:val="center"/>
              <w:rPr>
                <w:rFonts w:hint="eastAsia" w:eastAsia="宋体"/>
                <w:sz w:val="24"/>
                <w:lang w:val="en-US" w:eastAsia="zh-CN"/>
              </w:rPr>
            </w:pPr>
            <w:r>
              <w:rPr>
                <w:rFonts w:hint="eastAsia"/>
                <w:sz w:val="24"/>
                <w:lang w:val="en-US" w:eastAsia="zh-CN"/>
              </w:rPr>
              <w:t>见附件1技术要求</w:t>
            </w:r>
          </w:p>
        </w:tc>
        <w:tc>
          <w:tcPr>
            <w:tcW w:w="1701" w:type="dxa"/>
            <w:vAlign w:val="center"/>
          </w:tcPr>
          <w:p>
            <w:pPr>
              <w:spacing w:line="120" w:lineRule="auto"/>
              <w:jc w:val="center"/>
              <w:rPr>
                <w:rFonts w:hint="eastAsia" w:eastAsia="宋体"/>
                <w:sz w:val="24"/>
                <w:lang w:val="en-US" w:eastAsia="zh-CN"/>
              </w:rPr>
            </w:pPr>
            <w:r>
              <w:rPr>
                <w:rFonts w:hint="eastAsia"/>
                <w:sz w:val="24"/>
                <w:lang w:val="en-US" w:eastAsia="zh-CN"/>
              </w:rPr>
              <w:t>1套</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val="en-US" w:eastAsia="zh-CN"/>
        </w:rPr>
        <w:t>乙方负责运送到交货地点</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福建福海创石油化工有限公司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合同生效后30天完成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 xml:space="preserve">%，剩余合同价款总额的【 </w:t>
      </w:r>
      <w:r>
        <w:rPr>
          <w:rFonts w:hint="eastAsia"/>
          <w:sz w:val="24"/>
          <w:lang w:val="en-US" w:eastAsia="zh-CN"/>
        </w:rPr>
        <w:t>10</w:t>
      </w:r>
      <w:r>
        <w:rPr>
          <w:rFonts w:hint="eastAsia"/>
          <w:sz w:val="24"/>
        </w:rPr>
        <w:t xml:space="preserve">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30</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3"/>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numPr>
          <w:ilvl w:val="0"/>
          <w:numId w:val="3"/>
        </w:numPr>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附件：1）技术要求</w:t>
      </w:r>
    </w:p>
    <w:p>
      <w:pPr>
        <w:pStyle w:val="2"/>
        <w:numPr>
          <w:ilvl w:val="0"/>
          <w:numId w:val="0"/>
        </w:numPr>
        <w:ind w:firstLine="1200" w:firstLineChars="50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2）安全环保协议书</w:t>
      </w:r>
    </w:p>
    <w:tbl>
      <w:tblPr>
        <w:tblStyle w:val="32"/>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甲方：福建福海创石油化工有限公司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keepNext w:val="0"/>
              <w:keepLines w:val="0"/>
              <w:widowControl/>
              <w:suppressLineNumbers w:val="0"/>
              <w:ind w:left="0" w:firstLine="0"/>
              <w:jc w:val="left"/>
              <w:rPr>
                <w:sz w:val="24"/>
              </w:rPr>
            </w:pPr>
            <w:r>
              <w:rPr>
                <w:rFonts w:hint="eastAsia"/>
                <w:sz w:val="24"/>
              </w:rPr>
              <w:t>联系地址：</w:t>
            </w:r>
            <w:r>
              <w:rPr>
                <w:rFonts w:ascii="宋体" w:hAnsi="宋体" w:eastAsia="宋体" w:cs="宋体"/>
                <w:i w:val="0"/>
                <w:caps w:val="0"/>
                <w:color w:val="000000"/>
                <w:spacing w:val="0"/>
                <w:sz w:val="24"/>
                <w:szCs w:val="24"/>
              </w:rPr>
              <w:t>福建省漳州市古雷港经济开发区</w:t>
            </w:r>
            <w:r>
              <w:rPr>
                <w:rFonts w:ascii="宋体" w:hAnsi="宋体" w:eastAsia="宋体" w:cs="宋体"/>
                <w:b w:val="0"/>
                <w:i w:val="0"/>
                <w:caps w:val="0"/>
                <w:color w:val="000000"/>
                <w:spacing w:val="0"/>
                <w:kern w:val="0"/>
                <w:sz w:val="24"/>
                <w:szCs w:val="24"/>
                <w:lang w:val="en-US" w:eastAsia="zh-CN" w:bidi="ar"/>
              </w:rPr>
              <w:br w:type="textWrapping"/>
            </w:r>
            <w:r>
              <w:rPr>
                <w:rFonts w:ascii="宋体" w:hAnsi="宋体" w:eastAsia="宋体" w:cs="宋体"/>
                <w:b w:val="0"/>
                <w:i w:val="0"/>
                <w:caps w:val="0"/>
                <w:color w:val="000000"/>
                <w:spacing w:val="0"/>
                <w:kern w:val="0"/>
                <w:sz w:val="24"/>
                <w:szCs w:val="24"/>
                <w:lang w:val="en-US" w:eastAsia="zh-CN" w:bidi="ar"/>
              </w:rPr>
              <w:t>腾龙路84号</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rPr>
          <w:rFonts w:hint="eastAsia"/>
          <w:b/>
          <w:sz w:val="28"/>
          <w:szCs w:val="28"/>
        </w:rPr>
      </w:pPr>
    </w:p>
    <w:p>
      <w:pPr>
        <w:pStyle w:val="2"/>
        <w:rPr>
          <w:rFonts w:hint="eastAsia"/>
          <w:b/>
          <w:sz w:val="28"/>
          <w:szCs w:val="28"/>
        </w:rPr>
      </w:pPr>
    </w:p>
    <w:p>
      <w:pPr>
        <w:pStyle w:val="2"/>
        <w:rPr>
          <w:rFonts w:hint="eastAsia"/>
          <w:b/>
          <w:sz w:val="28"/>
          <w:szCs w:val="28"/>
        </w:rPr>
      </w:pPr>
    </w:p>
    <w:p>
      <w:pPr>
        <w:rPr>
          <w:b/>
          <w:color w:val="000000"/>
          <w:sz w:val="24"/>
          <w:szCs w:val="24"/>
        </w:rPr>
      </w:pPr>
      <w:r>
        <w:rPr>
          <w:rFonts w:hint="eastAsia"/>
          <w:b/>
          <w:sz w:val="28"/>
          <w:szCs w:val="28"/>
        </w:rPr>
        <w:t>附件1：</w:t>
      </w:r>
      <w:r>
        <w:rPr>
          <w:rFonts w:hint="eastAsia"/>
          <w:b/>
          <w:sz w:val="28"/>
          <w:szCs w:val="28"/>
          <w:lang w:eastAsia="zh-CN"/>
        </w:rPr>
        <w:t xml:space="preserve">   </w:t>
      </w:r>
      <w:r>
        <w:rPr>
          <w:rFonts w:hint="eastAsia"/>
          <w:b/>
          <w:color w:val="000000"/>
          <w:sz w:val="28"/>
          <w:szCs w:val="28"/>
        </w:rPr>
        <w:t>技术</w:t>
      </w:r>
      <w:r>
        <w:rPr>
          <w:b/>
          <w:color w:val="000000"/>
          <w:sz w:val="28"/>
          <w:szCs w:val="28"/>
        </w:rPr>
        <w:t>要求</w:t>
      </w:r>
    </w:p>
    <w:p>
      <w:pPr>
        <w:pStyle w:val="4"/>
        <w:numPr>
          <w:ilvl w:val="1"/>
          <w:numId w:val="0"/>
        </w:numPr>
        <w:jc w:val="center"/>
        <w:rPr>
          <w:color w:val="000000" w:themeColor="text1"/>
        </w:rPr>
      </w:pPr>
      <w:bookmarkStart w:id="10" w:name="_Toc3077"/>
      <w:bookmarkStart w:id="11" w:name="_Toc471409749"/>
      <w:r>
        <w:rPr>
          <w:rFonts w:hint="eastAsia"/>
          <w:color w:val="000000" w:themeColor="text1"/>
        </w:rPr>
        <w:t>一、</w:t>
      </w:r>
      <w:bookmarkEnd w:id="10"/>
      <w:bookmarkEnd w:id="11"/>
      <w:r>
        <w:rPr>
          <w:color w:val="000000" w:themeColor="text1"/>
        </w:rPr>
        <w:t>WAF</w:t>
      </w:r>
      <w:r>
        <w:rPr>
          <w:rFonts w:hint="eastAsia"/>
          <w:color w:val="000000" w:themeColor="text1"/>
          <w:lang w:val="en-US" w:eastAsia="zh-CN"/>
        </w:rPr>
        <w:t>设备技术</w:t>
      </w:r>
      <w:r>
        <w:rPr>
          <w:rFonts w:hint="eastAsia"/>
          <w:color w:val="000000" w:themeColor="text1"/>
        </w:rPr>
        <w:t>要求</w:t>
      </w:r>
    </w:p>
    <w:tbl>
      <w:tblPr>
        <w:tblStyle w:val="3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93"/>
        <w:gridCol w:w="614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84"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编号</w:t>
            </w:r>
          </w:p>
        </w:tc>
        <w:tc>
          <w:tcPr>
            <w:tcW w:w="1593"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产品名称</w:t>
            </w:r>
          </w:p>
        </w:tc>
        <w:tc>
          <w:tcPr>
            <w:tcW w:w="6146"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性能指标要求</w:t>
            </w:r>
          </w:p>
        </w:tc>
        <w:tc>
          <w:tcPr>
            <w:tcW w:w="1065"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pStyle w:val="7"/>
              <w:spacing w:before="0" w:beforeAutospacing="0"/>
              <w:ind w:firstLine="0" w:firstLineChars="0"/>
              <w:jc w:val="center"/>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1</w:t>
            </w:r>
          </w:p>
        </w:tc>
        <w:tc>
          <w:tcPr>
            <w:tcW w:w="1593" w:type="dxa"/>
            <w:vAlign w:val="center"/>
          </w:tcPr>
          <w:p>
            <w:pPr>
              <w:pStyle w:val="7"/>
              <w:spacing w:beforeAutospacing="0"/>
              <w:ind w:firstLine="0" w:firstLineChars="0"/>
              <w:jc w:val="center"/>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W</w:t>
            </w:r>
            <w:r>
              <w:rPr>
                <w:rFonts w:ascii="宋体" w:hAnsi="宋体" w:eastAsia="宋体" w:cs="宋体"/>
                <w:color w:val="000000" w:themeColor="text1"/>
                <w:sz w:val="21"/>
                <w:szCs w:val="21"/>
                <w:lang w:val="en-US"/>
              </w:rPr>
              <w:t>EB应用安全网关技术参数要求</w:t>
            </w:r>
          </w:p>
        </w:tc>
        <w:tc>
          <w:tcPr>
            <w:tcW w:w="6146" w:type="dxa"/>
            <w:vAlign w:val="center"/>
          </w:tcPr>
          <w:p>
            <w:pPr>
              <w:jc w:val="both"/>
              <w:rPr>
                <w:color w:val="000000" w:themeColor="text1"/>
              </w:rPr>
            </w:pPr>
            <w:r>
              <w:rPr>
                <w:color w:val="000000" w:themeColor="text1"/>
              </w:rPr>
              <w:t>1</w:t>
            </w:r>
            <w:r>
              <w:rPr>
                <w:rFonts w:hint="eastAsia"/>
                <w:color w:val="000000" w:themeColor="text1"/>
              </w:rPr>
              <w:t>、★设备自带≥</w:t>
            </w:r>
            <w:r>
              <w:rPr>
                <w:color w:val="000000" w:themeColor="text1"/>
              </w:rPr>
              <w:t>4</w:t>
            </w:r>
            <w:r>
              <w:rPr>
                <w:rFonts w:hint="eastAsia"/>
                <w:color w:val="000000" w:themeColor="text1"/>
              </w:rPr>
              <w:t>千兆电口，</w:t>
            </w:r>
            <w:r>
              <w:rPr>
                <w:color w:val="000000" w:themeColor="text1"/>
              </w:rPr>
              <w:t>1</w:t>
            </w:r>
            <w:r>
              <w:rPr>
                <w:rFonts w:hint="eastAsia"/>
                <w:color w:val="000000" w:themeColor="text1"/>
              </w:rPr>
              <w:t>个扩展板槽，设备网络层吞吐率≥</w:t>
            </w:r>
            <w:r>
              <w:rPr>
                <w:color w:val="000000" w:themeColor="text1"/>
              </w:rPr>
              <w:t>4</w:t>
            </w:r>
            <w:r>
              <w:rPr>
                <w:rFonts w:hint="eastAsia"/>
                <w:color w:val="000000" w:themeColor="text1"/>
              </w:rPr>
              <w:t>G，应用层吞吐率≥</w:t>
            </w:r>
            <w:r>
              <w:rPr>
                <w:color w:val="000000" w:themeColor="text1"/>
              </w:rPr>
              <w:t>1</w:t>
            </w:r>
            <w:r>
              <w:rPr>
                <w:rFonts w:hint="eastAsia"/>
                <w:color w:val="000000" w:themeColor="text1"/>
              </w:rPr>
              <w:t>G，最大HTTP并发连接数不小于</w:t>
            </w:r>
            <w:r>
              <w:rPr>
                <w:color w:val="000000" w:themeColor="text1"/>
              </w:rPr>
              <w:t>220</w:t>
            </w:r>
            <w:r>
              <w:rPr>
                <w:rFonts w:hint="eastAsia"/>
                <w:color w:val="000000" w:themeColor="text1"/>
              </w:rPr>
              <w:t>万，每秒新建HTTP连接数不少于</w:t>
            </w:r>
            <w:r>
              <w:rPr>
                <w:color w:val="000000" w:themeColor="text1"/>
              </w:rPr>
              <w:t>5500</w:t>
            </w:r>
            <w:r>
              <w:rPr>
                <w:rFonts w:hint="eastAsia"/>
                <w:color w:val="000000" w:themeColor="text1"/>
              </w:rPr>
              <w:t>。</w:t>
            </w:r>
          </w:p>
          <w:p>
            <w:pPr>
              <w:jc w:val="both"/>
              <w:rPr>
                <w:color w:val="000000" w:themeColor="text1"/>
              </w:rPr>
            </w:pPr>
            <w:r>
              <w:rPr>
                <w:rFonts w:hint="eastAsia"/>
                <w:color w:val="000000" w:themeColor="text1"/>
              </w:rPr>
              <w:t>2、支持旁路镜像、透明代理、透明桥、路由代理和反向代理部署，支持三层模式下透明部署。（提供相关界面截图）</w:t>
            </w:r>
          </w:p>
          <w:p>
            <w:pPr>
              <w:jc w:val="both"/>
              <w:rPr>
                <w:color w:val="000000" w:themeColor="text1"/>
              </w:rPr>
            </w:pPr>
            <w:r>
              <w:rPr>
                <w:color w:val="000000" w:themeColor="text1"/>
              </w:rPr>
              <w:t>3</w:t>
            </w:r>
            <w:r>
              <w:rPr>
                <w:rFonts w:hint="eastAsia"/>
                <w:color w:val="000000" w:themeColor="text1"/>
              </w:rPr>
              <w:t xml:space="preserve">、★设备部署时能够自动感知Web应用系统的网络地址和端口，自动生成防护对象（提供相关界面截图）。 </w:t>
            </w:r>
          </w:p>
          <w:p>
            <w:pPr>
              <w:jc w:val="both"/>
              <w:rPr>
                <w:color w:val="000000" w:themeColor="text1"/>
              </w:rPr>
            </w:pPr>
            <w:r>
              <w:rPr>
                <w:rFonts w:hint="eastAsia"/>
                <w:color w:val="000000" w:themeColor="text1"/>
              </w:rPr>
              <w:t>4、应具备恶意重定向防护功能，可以识别重定向发起方和接收方的恶意行为（提供相关界面截图）</w:t>
            </w:r>
          </w:p>
          <w:p>
            <w:pPr>
              <w:jc w:val="both"/>
              <w:rPr>
                <w:color w:val="000000" w:themeColor="text1"/>
              </w:rPr>
            </w:pPr>
            <w:r>
              <w:rPr>
                <w:rFonts w:hint="eastAsia"/>
                <w:color w:val="000000" w:themeColor="text1"/>
              </w:rPr>
              <w:t>5、★支持欺骗攻击检测功能，诱使攻击方对它实施攻击，从而可以对攻击行为进行跟综记录和防御（提供相关界面截图）</w:t>
            </w:r>
          </w:p>
          <w:p>
            <w:pPr>
              <w:jc w:val="both"/>
              <w:rPr>
                <w:color w:val="000000" w:themeColor="text1"/>
              </w:rPr>
            </w:pPr>
            <w:r>
              <w:rPr>
                <w:color w:val="000000" w:themeColor="text1"/>
              </w:rPr>
              <w:t>6</w:t>
            </w:r>
            <w:r>
              <w:rPr>
                <w:rFonts w:hint="eastAsia"/>
                <w:color w:val="000000" w:themeColor="text1"/>
              </w:rPr>
              <w:t>、★为了保证业务可用性，可针对恶意登录、恶意试探攻击、拒绝服务攻击等行为进行检测及拦截，防止因为通过第三方泄露出去的数据造成内部业务系统账号</w:t>
            </w:r>
            <w:r>
              <w:rPr>
                <w:color w:val="000000" w:themeColor="text1"/>
              </w:rPr>
              <w:t>被盗</w:t>
            </w:r>
            <w:r>
              <w:rPr>
                <w:rFonts w:hint="eastAsia"/>
                <w:color w:val="000000" w:themeColor="text1"/>
              </w:rPr>
              <w:t>。（提供相关界面截图）</w:t>
            </w:r>
          </w:p>
          <w:p>
            <w:pPr>
              <w:jc w:val="both"/>
              <w:rPr>
                <w:color w:val="000000" w:themeColor="text1"/>
              </w:rPr>
            </w:pPr>
            <w:r>
              <w:rPr>
                <w:rFonts w:hint="eastAsia"/>
                <w:color w:val="000000" w:themeColor="text1"/>
              </w:rPr>
              <w:t>7、具备网站一键锁定功能，满足特殊时刻防护需求，支持通过策略实现允许静态页面访问且禁止提交表单；可周期性或固定时间灵活设置锁定时刻。（提供相关界面截图）</w:t>
            </w:r>
          </w:p>
          <w:p>
            <w:pPr>
              <w:jc w:val="both"/>
              <w:rPr>
                <w:color w:val="000000" w:themeColor="text1"/>
              </w:rPr>
            </w:pPr>
            <w:r>
              <w:rPr>
                <w:rFonts w:hint="eastAsia"/>
                <w:color w:val="000000" w:themeColor="text1"/>
              </w:rPr>
              <w:t>8、Web安全事件日志存储，应支持主流的服务器操作系统及主流的数据库类型；具备Web安全事件的报表功能，支持一般的单一条件报表输出、专业的多维度统计报表输出。</w:t>
            </w:r>
          </w:p>
          <w:p>
            <w:pPr>
              <w:jc w:val="both"/>
              <w:rPr>
                <w:color w:val="000000" w:themeColor="text1"/>
              </w:rPr>
            </w:pPr>
            <w:r>
              <w:rPr>
                <w:rFonts w:hint="eastAsia"/>
                <w:color w:val="000000" w:themeColor="text1"/>
              </w:rPr>
              <w:t>9、★支持全功能接口Open API，可实现全功能的远程调用；可通过API接口给设备下发策略，应具备API防护功能。（提供相关界面截图）</w:t>
            </w:r>
          </w:p>
          <w:p>
            <w:pPr>
              <w:jc w:val="both"/>
              <w:rPr>
                <w:color w:val="000000" w:themeColor="text1"/>
              </w:rPr>
            </w:pPr>
            <w:r>
              <w:rPr>
                <w:rFonts w:hint="eastAsia"/>
                <w:color w:val="000000" w:themeColor="text1"/>
              </w:rPr>
              <w:t>1</w:t>
            </w:r>
            <w:r>
              <w:rPr>
                <w:color w:val="000000" w:themeColor="text1"/>
              </w:rPr>
              <w:t>0</w:t>
            </w:r>
            <w:r>
              <w:rPr>
                <w:rFonts w:hint="eastAsia"/>
                <w:color w:val="000000" w:themeColor="text1"/>
              </w:rPr>
              <w:t>、支持客户端ACL，可防止恶意的高频率、多层次的访问请求（提供相关界面截图）</w:t>
            </w:r>
          </w:p>
          <w:p>
            <w:pPr>
              <w:jc w:val="both"/>
              <w:rPr>
                <w:color w:val="000000" w:themeColor="text1"/>
              </w:rPr>
            </w:pPr>
            <w:r>
              <w:rPr>
                <w:rFonts w:hint="eastAsia"/>
                <w:color w:val="000000" w:themeColor="text1"/>
              </w:rPr>
              <w:t>11、支持对HTTP协议合法性进行验证，支持对非法统一资源定位符、重复参数、重复编码以及非法编码和解码的灵活控制与处理（提供相关界面截图）</w:t>
            </w:r>
          </w:p>
          <w:p>
            <w:pPr>
              <w:jc w:val="both"/>
              <w:rPr>
                <w:color w:val="000000" w:themeColor="text1"/>
              </w:rPr>
            </w:pPr>
            <w:r>
              <w:rPr>
                <w:rFonts w:hint="eastAsia"/>
                <w:color w:val="000000" w:themeColor="text1"/>
              </w:rPr>
              <w:t>12、应具备防止存储在用户本地的缓存数据被篡改的功能，并且可以通过机器自主学习功能学习需要防护的缓存数据参数（提供相关界面截图）</w:t>
            </w:r>
          </w:p>
          <w:p>
            <w:pPr>
              <w:jc w:val="both"/>
              <w:rPr>
                <w:color w:val="000000" w:themeColor="text1"/>
              </w:rPr>
            </w:pPr>
            <w:r>
              <w:rPr>
                <w:rFonts w:hint="eastAsia"/>
                <w:color w:val="000000" w:themeColor="text1"/>
              </w:rPr>
              <w:t>1</w:t>
            </w:r>
            <w:r>
              <w:rPr>
                <w:color w:val="000000" w:themeColor="text1"/>
              </w:rPr>
              <w:t>3</w:t>
            </w:r>
            <w:r>
              <w:rPr>
                <w:rFonts w:hint="eastAsia"/>
                <w:color w:val="000000" w:themeColor="text1"/>
              </w:rPr>
              <w:t>、具备http协议深层解码能力，支持递归解码，解码方式包括：URL解码、JSON解码、Base64解码、16进制转换、有利于用户查看和分析攻击日志（提供相关界面截图）</w:t>
            </w:r>
          </w:p>
          <w:p>
            <w:pPr>
              <w:jc w:val="both"/>
              <w:rPr>
                <w:color w:val="000000" w:themeColor="text1"/>
              </w:rPr>
            </w:pPr>
            <w:r>
              <w:rPr>
                <w:rFonts w:hint="eastAsia"/>
                <w:color w:val="000000" w:themeColor="text1"/>
              </w:rPr>
              <w:t>1</w:t>
            </w:r>
            <w:r>
              <w:rPr>
                <w:color w:val="000000" w:themeColor="text1"/>
              </w:rPr>
              <w:t>4</w:t>
            </w:r>
            <w:r>
              <w:rPr>
                <w:rFonts w:hint="eastAsia"/>
                <w:color w:val="000000" w:themeColor="text1"/>
              </w:rPr>
              <w:t>、★具备未知威胁的检测和防护能力，能防御0day攻击(要求提供界面盖公章说明)；</w:t>
            </w:r>
          </w:p>
          <w:p>
            <w:pPr>
              <w:jc w:val="both"/>
              <w:rPr>
                <w:color w:val="000000" w:themeColor="text1"/>
              </w:rPr>
            </w:pPr>
            <w:r>
              <w:rPr>
                <w:color w:val="000000" w:themeColor="text1"/>
              </w:rPr>
              <w:t>15</w:t>
            </w:r>
            <w:r>
              <w:rPr>
                <w:rFonts w:hint="eastAsia"/>
                <w:color w:val="000000" w:themeColor="text1"/>
              </w:rPr>
              <w:t>、★支持机器人检测，能够识别扫描器检测、爬虫检测、非浏览器请求；（提供功能截图）</w:t>
            </w:r>
          </w:p>
          <w:p>
            <w:pPr>
              <w:jc w:val="both"/>
              <w:rPr>
                <w:color w:val="000000" w:themeColor="text1"/>
              </w:rPr>
            </w:pPr>
            <w:r>
              <w:rPr>
                <w:color w:val="000000" w:themeColor="text1"/>
              </w:rPr>
              <w:t>16</w:t>
            </w:r>
            <w:r>
              <w:rPr>
                <w:rFonts w:hint="eastAsia"/>
                <w:color w:val="000000" w:themeColor="text1"/>
              </w:rPr>
              <w:t>、★支持流量学习技术，可自动发现业务进行学习，建立不同的流量模型。流量学习建模后生成安全策略，并可根据模型进行流量检测，识别出偏离模型的异常流量。（提供功能截图）</w:t>
            </w:r>
          </w:p>
          <w:p>
            <w:pPr>
              <w:jc w:val="both"/>
              <w:rPr>
                <w:rFonts w:hint="eastAsia"/>
                <w:color w:val="000000" w:themeColor="text1"/>
              </w:rPr>
            </w:pPr>
            <w:r>
              <w:rPr>
                <w:rFonts w:hint="eastAsia"/>
                <w:color w:val="000000" w:themeColor="text1"/>
              </w:rPr>
              <w:t>1</w:t>
            </w:r>
            <w:r>
              <w:rPr>
                <w:color w:val="000000" w:themeColor="text1"/>
              </w:rPr>
              <w:t>7</w:t>
            </w:r>
            <w:r>
              <w:rPr>
                <w:rFonts w:hint="eastAsia"/>
                <w:color w:val="000000" w:themeColor="text1"/>
              </w:rPr>
              <w:t>、</w:t>
            </w:r>
            <w:r>
              <w:rPr>
                <w:color w:val="000000" w:themeColor="text1"/>
              </w:rPr>
              <w:t>提供三年软硬件维保和规则库升级服务；</w:t>
            </w:r>
          </w:p>
        </w:tc>
        <w:tc>
          <w:tcPr>
            <w:tcW w:w="1065" w:type="dxa"/>
            <w:vAlign w:val="center"/>
          </w:tcPr>
          <w:p>
            <w:pPr>
              <w:jc w:val="center"/>
              <w:rPr>
                <w:color w:val="000000" w:themeColor="text1"/>
                <w:szCs w:val="21"/>
              </w:rPr>
            </w:pPr>
            <w:r>
              <w:rPr>
                <w:rFonts w:hint="eastAsia"/>
                <w:color w:val="000000" w:themeColor="text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pStyle w:val="7"/>
              <w:spacing w:before="0" w:beforeAutospacing="0"/>
              <w:ind w:firstLine="0" w:firstLineChars="0"/>
              <w:jc w:val="center"/>
              <w:rPr>
                <w:rFonts w:ascii="宋体" w:hAnsi="宋体" w:eastAsia="宋体" w:cs="宋体"/>
                <w:color w:val="000000" w:themeColor="text1"/>
                <w:sz w:val="21"/>
                <w:szCs w:val="21"/>
                <w:lang w:val="en-US"/>
              </w:rPr>
            </w:pPr>
          </w:p>
        </w:tc>
        <w:tc>
          <w:tcPr>
            <w:tcW w:w="1593" w:type="dxa"/>
            <w:vAlign w:val="center"/>
          </w:tcPr>
          <w:p>
            <w:pPr>
              <w:pStyle w:val="7"/>
              <w:spacing w:beforeAutospacing="0"/>
              <w:ind w:firstLine="0" w:firstLineChars="0"/>
              <w:jc w:val="center"/>
              <w:rPr>
                <w:rFonts w:ascii="宋体" w:hAnsi="宋体" w:eastAsia="宋体" w:cs="宋体"/>
                <w:color w:val="000000" w:themeColor="text1"/>
                <w:sz w:val="21"/>
                <w:szCs w:val="21"/>
                <w:lang w:val="en-US"/>
              </w:rPr>
            </w:pPr>
            <w:r>
              <w:rPr>
                <w:rFonts w:ascii="宋体" w:hAnsi="宋体" w:eastAsia="宋体" w:cs="宋体"/>
                <w:color w:val="000000" w:themeColor="text1"/>
                <w:sz w:val="21"/>
                <w:szCs w:val="21"/>
                <w:lang w:val="en-US"/>
              </w:rPr>
              <w:t>售后及服务</w:t>
            </w:r>
          </w:p>
        </w:tc>
        <w:tc>
          <w:tcPr>
            <w:tcW w:w="6146" w:type="dxa"/>
            <w:vAlign w:val="center"/>
          </w:tcPr>
          <w:p>
            <w:pPr>
              <w:pStyle w:val="34"/>
              <w:numPr>
                <w:ilvl w:val="0"/>
                <w:numId w:val="4"/>
              </w:numPr>
              <w:ind w:firstLineChars="0"/>
              <w:jc w:val="both"/>
              <w:rPr>
                <w:b/>
                <w:bCs/>
                <w:color w:val="000000" w:themeColor="text1"/>
                <w:sz w:val="20"/>
                <w:lang w:eastAsia="zh-Hans"/>
              </w:rPr>
            </w:pPr>
            <w:r>
              <w:rPr>
                <w:rFonts w:hint="eastAsia"/>
                <w:b/>
                <w:bCs/>
                <w:color w:val="000000" w:themeColor="text1"/>
                <w:sz w:val="20"/>
                <w:lang w:eastAsia="zh-Hans"/>
              </w:rPr>
              <w:t>WEB应用安全服务要求：</w:t>
            </w:r>
            <w:r>
              <w:rPr>
                <w:rFonts w:hint="eastAsia"/>
                <w:b/>
                <w:bCs/>
                <w:color w:val="000000" w:themeColor="text1"/>
                <w:sz w:val="20"/>
              </w:rPr>
              <w:t>（含下内容）</w:t>
            </w:r>
          </w:p>
          <w:p>
            <w:pPr>
              <w:pStyle w:val="34"/>
              <w:numPr>
                <w:ilvl w:val="0"/>
                <w:numId w:val="5"/>
              </w:numPr>
              <w:ind w:firstLineChars="0"/>
              <w:jc w:val="both"/>
              <w:rPr>
                <w:color w:val="000000" w:themeColor="text1"/>
                <w:sz w:val="20"/>
                <w:lang w:eastAsia="zh-Hans"/>
              </w:rPr>
            </w:pPr>
            <w:r>
              <w:rPr>
                <w:rFonts w:hint="eastAsia"/>
                <w:b/>
                <w:bCs/>
                <w:color w:val="000000" w:themeColor="text1"/>
                <w:sz w:val="20"/>
                <w:lang w:eastAsia="zh-Hans"/>
              </w:rPr>
              <w:t>资产梳理：</w:t>
            </w:r>
            <w:r>
              <w:rPr>
                <w:rFonts w:hint="eastAsia"/>
                <w:color w:val="000000" w:themeColor="text1"/>
                <w:sz w:val="20"/>
                <w:lang w:eastAsia="zh-Hans"/>
              </w:rPr>
              <w:t>设备在保期间需</w:t>
            </w:r>
            <w:r>
              <w:rPr>
                <w:rFonts w:hint="eastAsia"/>
                <w:color w:val="000000" w:themeColor="text1"/>
                <w:sz w:val="20"/>
              </w:rPr>
              <w:t>协助</w:t>
            </w:r>
            <w:r>
              <w:rPr>
                <w:rFonts w:hint="eastAsia"/>
                <w:color w:val="000000" w:themeColor="text1"/>
                <w:sz w:val="20"/>
                <w:lang w:eastAsia="zh-Hans"/>
              </w:rPr>
              <w:t>对各类服务器主机进行资产清点，及时更新主机资产清单，并关联风险情况，作出修复和加固建议，并协助进行加固。</w:t>
            </w:r>
            <w:r>
              <w:rPr>
                <w:color w:val="000000" w:themeColor="text1"/>
                <w:sz w:val="20"/>
                <w:lang w:eastAsia="zh-Hans"/>
              </w:rPr>
              <w:t>每季度一次</w:t>
            </w:r>
            <w:r>
              <w:rPr>
                <w:rFonts w:hint="eastAsia"/>
                <w:color w:val="000000" w:themeColor="text1"/>
                <w:sz w:val="20"/>
              </w:rPr>
              <w:t>。</w:t>
            </w:r>
          </w:p>
          <w:p>
            <w:pPr>
              <w:pStyle w:val="34"/>
              <w:ind w:left="420" w:firstLine="0" w:firstLineChars="0"/>
              <w:jc w:val="both"/>
              <w:rPr>
                <w:color w:val="000000" w:themeColor="text1"/>
                <w:sz w:val="20"/>
                <w:lang w:eastAsia="zh-Hans"/>
              </w:rPr>
            </w:pPr>
            <w:r>
              <w:rPr>
                <w:rFonts w:hint="eastAsia"/>
                <w:color w:val="000000" w:themeColor="text1"/>
                <w:sz w:val="20"/>
                <w:lang w:eastAsia="zh-Hans"/>
              </w:rPr>
              <w:t>梳理资产内容至少包含</w:t>
            </w:r>
            <w:r>
              <w:rPr>
                <w:rFonts w:hint="eastAsia"/>
                <w:color w:val="000000" w:themeColor="text1"/>
                <w:sz w:val="20"/>
              </w:rPr>
              <w:t>（</w:t>
            </w:r>
            <w:r>
              <w:rPr>
                <w:rFonts w:hint="eastAsia"/>
                <w:color w:val="000000" w:themeColor="text1"/>
                <w:sz w:val="20"/>
                <w:lang w:eastAsia="zh-Hans"/>
              </w:rPr>
              <w:t>梳理操作系统、数据库、各类应用、网络端口等等，主要有主机状态，操作系统版本信息、主机硬件配置信息、网卡信息、磁盘信息、进程名、进程分类、进程状态、进程版本、进程路径、PID、父进程、运行用户、所属用户组、进程启动时间、启动参数、进程MD5，root权限运行进程，僵尸进程等特殊进程，服务器开放的端口信息，至少包括：端口号、端口对应进程名、协议、PID等，Web应用中的插件信息，至少包括插件名称、版本等</w:t>
            </w:r>
            <w:r>
              <w:rPr>
                <w:rFonts w:hint="eastAsia"/>
                <w:color w:val="000000" w:themeColor="text1"/>
                <w:sz w:val="20"/>
              </w:rPr>
              <w:t>）。</w:t>
            </w:r>
          </w:p>
          <w:p>
            <w:pPr>
              <w:pStyle w:val="34"/>
              <w:ind w:left="420" w:firstLine="0" w:firstLineChars="0"/>
              <w:jc w:val="both"/>
              <w:rPr>
                <w:color w:val="000000" w:themeColor="text1"/>
                <w:sz w:val="20"/>
                <w:lang w:eastAsia="zh-Hans"/>
              </w:rPr>
            </w:pPr>
            <w:r>
              <w:rPr>
                <w:rFonts w:hint="eastAsia"/>
                <w:color w:val="000000" w:themeColor="text1"/>
                <w:sz w:val="20"/>
                <w:lang w:eastAsia="zh-Hans"/>
              </w:rPr>
              <w:t>提供相应的报告。</w:t>
            </w:r>
          </w:p>
          <w:p>
            <w:pPr>
              <w:numPr>
                <w:ilvl w:val="0"/>
                <w:numId w:val="5"/>
              </w:numPr>
              <w:jc w:val="both"/>
              <w:rPr>
                <w:color w:val="000000" w:themeColor="text1"/>
                <w:sz w:val="20"/>
                <w:lang w:eastAsia="zh-Hans"/>
              </w:rPr>
            </w:pPr>
            <w:r>
              <w:rPr>
                <w:rFonts w:hint="eastAsia"/>
                <w:b/>
                <w:bCs/>
                <w:color w:val="000000" w:themeColor="text1"/>
                <w:sz w:val="20"/>
                <w:lang w:eastAsia="zh-Hans"/>
              </w:rPr>
              <w:t>风险识别：</w:t>
            </w:r>
            <w:r>
              <w:rPr>
                <w:rFonts w:hint="eastAsia"/>
                <w:color w:val="000000" w:themeColor="text1"/>
                <w:sz w:val="20"/>
                <w:lang w:eastAsia="zh-Hans"/>
              </w:rPr>
              <w:t>设备在保期间定期对本设备防护资产进行风险识别，及时发现资产的风险，并给出详细报告，协助询价人开展修复和加固。节假日、重大会议期间和特殊时期</w:t>
            </w:r>
            <w:r>
              <w:rPr>
                <w:rFonts w:hint="eastAsia"/>
                <w:color w:val="000000" w:themeColor="text1"/>
                <w:sz w:val="20"/>
              </w:rPr>
              <w:t>前</w:t>
            </w:r>
            <w:r>
              <w:rPr>
                <w:rFonts w:hint="eastAsia"/>
                <w:color w:val="000000" w:themeColor="text1"/>
                <w:sz w:val="20"/>
                <w:lang w:eastAsia="zh-Hans"/>
              </w:rPr>
              <w:t>进行；</w:t>
            </w:r>
          </w:p>
          <w:p>
            <w:pPr>
              <w:ind w:left="420"/>
              <w:jc w:val="both"/>
              <w:rPr>
                <w:color w:val="000000" w:themeColor="text1"/>
                <w:sz w:val="20"/>
              </w:rPr>
            </w:pPr>
            <w:r>
              <w:rPr>
                <w:rFonts w:hint="eastAsia"/>
                <w:color w:val="000000" w:themeColor="text1"/>
                <w:sz w:val="20"/>
                <w:lang w:eastAsia="zh-Hans"/>
              </w:rPr>
              <w:t>内容包括</w:t>
            </w:r>
            <w:r>
              <w:rPr>
                <w:rFonts w:hint="eastAsia"/>
                <w:color w:val="000000" w:themeColor="text1"/>
                <w:sz w:val="20"/>
              </w:rPr>
              <w:t>（</w:t>
            </w:r>
            <w:r>
              <w:rPr>
                <w:rFonts w:hint="eastAsia"/>
                <w:color w:val="000000" w:themeColor="text1"/>
                <w:sz w:val="20"/>
                <w:lang w:eastAsia="zh-Hans"/>
              </w:rPr>
              <w:t>分析补丁修复对服务器进程的影响，提供补丁的详细信息，包括补丁的修复建议、修复命令、修复影响，补丁当前版本和修复后版本，并提供各维度的补丁风险特征；风险识别范围应包括：安全补丁、漏洞、弱密码、应用风险、系统风险、账号风险；服务器应用配置缺陷，至少支持：Tomcat、Nginx、Bind、SSH、Apache、Apache2、Redis、httpd等常见应用；弱密码检测，至少包括：Weblogic、Jenkins、Tomcat、OpenLDAP、MySQL、PPTP、VNC、SSH、Redis、vsftpd等</w:t>
            </w:r>
            <w:r>
              <w:rPr>
                <w:rFonts w:hint="eastAsia"/>
                <w:color w:val="000000" w:themeColor="text1"/>
                <w:sz w:val="20"/>
              </w:rPr>
              <w:t>）。</w:t>
            </w:r>
          </w:p>
          <w:p>
            <w:pPr>
              <w:ind w:left="420"/>
              <w:jc w:val="both"/>
              <w:rPr>
                <w:color w:val="000000" w:themeColor="text1"/>
                <w:sz w:val="20"/>
                <w:lang w:eastAsia="zh-Hans"/>
              </w:rPr>
            </w:pPr>
            <w:r>
              <w:rPr>
                <w:rFonts w:hint="eastAsia"/>
                <w:color w:val="000000" w:themeColor="text1"/>
                <w:sz w:val="20"/>
                <w:lang w:eastAsia="zh-Hans"/>
              </w:rPr>
              <w:t>提供相应的报告。</w:t>
            </w:r>
          </w:p>
          <w:p>
            <w:pPr>
              <w:numPr>
                <w:ilvl w:val="0"/>
                <w:numId w:val="5"/>
              </w:numPr>
              <w:jc w:val="both"/>
              <w:rPr>
                <w:b/>
                <w:bCs/>
                <w:color w:val="000000" w:themeColor="text1"/>
                <w:sz w:val="20"/>
                <w:lang w:eastAsia="zh-Hans"/>
              </w:rPr>
            </w:pPr>
            <w:r>
              <w:rPr>
                <w:rFonts w:hint="eastAsia"/>
                <w:b/>
                <w:bCs/>
                <w:color w:val="000000" w:themeColor="text1"/>
                <w:sz w:val="20"/>
                <w:lang w:eastAsia="zh-Hans"/>
              </w:rPr>
              <w:t>入侵行为检测与分析：</w:t>
            </w:r>
          </w:p>
          <w:p>
            <w:pPr>
              <w:ind w:left="420"/>
              <w:jc w:val="both"/>
              <w:rPr>
                <w:color w:val="000000" w:themeColor="text1"/>
                <w:sz w:val="20"/>
                <w:lang w:eastAsia="zh-Hans"/>
              </w:rPr>
            </w:pPr>
            <w:r>
              <w:rPr>
                <w:rFonts w:hint="eastAsia"/>
                <w:color w:val="000000" w:themeColor="text1"/>
                <w:sz w:val="20"/>
                <w:lang w:eastAsia="zh-Hans"/>
              </w:rPr>
              <w:t>设备在保期间对设备的日志和安全事件进行入侵行为检测和分析</w:t>
            </w:r>
            <w:r>
              <w:rPr>
                <w:rFonts w:hint="eastAsia"/>
                <w:color w:val="000000" w:themeColor="text1"/>
                <w:sz w:val="20"/>
              </w:rPr>
              <w:t>。</w:t>
            </w:r>
            <w:r>
              <w:rPr>
                <w:rFonts w:hint="eastAsia"/>
                <w:color w:val="000000" w:themeColor="text1"/>
                <w:sz w:val="20"/>
                <w:lang w:eastAsia="zh-Hans"/>
              </w:rPr>
              <w:t>正常时期每月</w:t>
            </w:r>
            <w:r>
              <w:rPr>
                <w:rFonts w:hint="eastAsia"/>
                <w:color w:val="000000" w:themeColor="text1"/>
                <w:sz w:val="20"/>
              </w:rPr>
              <w:t>1</w:t>
            </w:r>
            <w:r>
              <w:rPr>
                <w:rFonts w:hint="eastAsia"/>
                <w:color w:val="000000" w:themeColor="text1"/>
                <w:sz w:val="20"/>
                <w:lang w:eastAsia="zh-Hans"/>
              </w:rPr>
              <w:t>次，节假日、重大会议期间和特殊时期每天一次；</w:t>
            </w:r>
          </w:p>
          <w:p>
            <w:pPr>
              <w:ind w:left="420"/>
              <w:jc w:val="both"/>
              <w:rPr>
                <w:color w:val="000000" w:themeColor="text1"/>
                <w:sz w:val="20"/>
                <w:lang w:eastAsia="zh-Hans"/>
              </w:rPr>
            </w:pPr>
            <w:r>
              <w:rPr>
                <w:rFonts w:hint="eastAsia"/>
                <w:color w:val="000000" w:themeColor="text1"/>
                <w:sz w:val="20"/>
                <w:lang w:eastAsia="zh-Hans"/>
              </w:rPr>
              <w:t>提供相应的报告。</w:t>
            </w:r>
          </w:p>
          <w:p>
            <w:pPr>
              <w:pStyle w:val="34"/>
              <w:numPr>
                <w:ilvl w:val="0"/>
                <w:numId w:val="4"/>
              </w:numPr>
              <w:ind w:firstLineChars="0"/>
              <w:jc w:val="both"/>
              <w:rPr>
                <w:b/>
                <w:bCs/>
                <w:color w:val="000000" w:themeColor="text1"/>
                <w:sz w:val="20"/>
                <w:lang w:eastAsia="zh-Hans"/>
              </w:rPr>
            </w:pPr>
            <w:r>
              <w:rPr>
                <w:rFonts w:hint="eastAsia"/>
                <w:b/>
                <w:bCs/>
                <w:color w:val="000000" w:themeColor="text1"/>
                <w:sz w:val="20"/>
                <w:lang w:eastAsia="zh-Hans"/>
              </w:rPr>
              <w:t>WEB应用安全架构设计服务：</w:t>
            </w:r>
          </w:p>
          <w:p>
            <w:pPr>
              <w:ind w:firstLine="400" w:firstLineChars="200"/>
              <w:jc w:val="both"/>
              <w:rPr>
                <w:color w:val="000000" w:themeColor="text1"/>
                <w:sz w:val="20"/>
                <w:lang w:eastAsia="zh-Hans"/>
              </w:rPr>
            </w:pPr>
            <w:r>
              <w:rPr>
                <w:color w:val="000000" w:themeColor="text1"/>
                <w:sz w:val="20"/>
              </w:rPr>
              <w:t>设备上架前</w:t>
            </w:r>
            <w:r>
              <w:rPr>
                <w:rFonts w:hint="eastAsia"/>
                <w:color w:val="000000" w:themeColor="text1"/>
                <w:sz w:val="20"/>
                <w:lang w:eastAsia="zh-Hans"/>
              </w:rPr>
              <w:t>提供WEB应用安全架构设计服务，</w:t>
            </w:r>
            <w:r>
              <w:rPr>
                <w:rFonts w:hint="eastAsia"/>
                <w:color w:val="000000" w:themeColor="text1"/>
                <w:sz w:val="20"/>
              </w:rPr>
              <w:t>并</w:t>
            </w:r>
            <w:r>
              <w:rPr>
                <w:rFonts w:hint="eastAsia"/>
                <w:color w:val="000000" w:themeColor="text1"/>
                <w:sz w:val="20"/>
                <w:lang w:eastAsia="zh-Hans"/>
              </w:rPr>
              <w:t>提供</w:t>
            </w:r>
            <w:r>
              <w:rPr>
                <w:rFonts w:hint="eastAsia"/>
                <w:color w:val="000000" w:themeColor="text1"/>
                <w:sz w:val="20"/>
              </w:rPr>
              <w:t>对应</w:t>
            </w:r>
            <w:r>
              <w:rPr>
                <w:rFonts w:hint="eastAsia"/>
                <w:color w:val="000000" w:themeColor="text1"/>
                <w:sz w:val="20"/>
                <w:lang w:eastAsia="zh-Hans"/>
              </w:rPr>
              <w:t>的报告。</w:t>
            </w:r>
          </w:p>
          <w:p>
            <w:pPr>
              <w:jc w:val="both"/>
              <w:rPr>
                <w:color w:val="000000" w:themeColor="text1"/>
                <w:sz w:val="20"/>
              </w:rPr>
            </w:pPr>
          </w:p>
        </w:tc>
        <w:tc>
          <w:tcPr>
            <w:tcW w:w="1065" w:type="dxa"/>
            <w:vAlign w:val="center"/>
          </w:tcPr>
          <w:p>
            <w:pPr>
              <w:jc w:val="center"/>
              <w:rPr>
                <w:color w:val="000000" w:themeColor="text1"/>
                <w:szCs w:val="21"/>
              </w:rPr>
            </w:pPr>
          </w:p>
        </w:tc>
      </w:tr>
    </w:tbl>
    <w:p>
      <w:pPr>
        <w:pStyle w:val="4"/>
        <w:numPr>
          <w:ilvl w:val="1"/>
          <w:numId w:val="0"/>
        </w:numPr>
        <w:jc w:val="center"/>
        <w:rPr>
          <w:b w:val="0"/>
          <w:color w:val="000000" w:themeColor="text1"/>
        </w:rPr>
      </w:pPr>
      <w:r>
        <w:rPr>
          <w:rFonts w:hint="eastAsia"/>
          <w:b w:val="0"/>
          <w:color w:val="000000" w:themeColor="text1"/>
        </w:rPr>
        <w:t>二、产品质量</w:t>
      </w:r>
      <w:r>
        <w:rPr>
          <w:b w:val="0"/>
          <w:color w:val="000000" w:themeColor="text1"/>
        </w:rPr>
        <w:t>及</w:t>
      </w:r>
      <w:r>
        <w:rPr>
          <w:rFonts w:hint="eastAsia"/>
          <w:b w:val="0"/>
          <w:color w:val="000000" w:themeColor="text1"/>
        </w:rPr>
        <w:t>供应商资质</w:t>
      </w:r>
      <w:r>
        <w:rPr>
          <w:b w:val="0"/>
          <w:color w:val="000000" w:themeColor="text1"/>
        </w:rPr>
        <w:t>要求：</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所投产品必须满足以上技术参数、配置（功能）的关键性要求(带★部分</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质量保证：所投设备是全新的、未使用过的、原包装未拆封的商品，完全符合采购设备规定的质量、规格和性能的要求；</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所投产品应属于2</w:t>
      </w:r>
      <w:r>
        <w:rPr>
          <w:rFonts w:ascii="宋体" w:hAnsi="宋体" w:cs="宋体"/>
          <w:color w:val="000000" w:themeColor="text1"/>
          <w:kern w:val="0"/>
          <w:sz w:val="18"/>
          <w:szCs w:val="18"/>
        </w:rPr>
        <w:t>021年IDC发布的</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中国Web应用防火墙（硬件）市场份额，2021：技术融合，多形态发展》排名前五内</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并提供证明</w:t>
      </w:r>
      <w:r>
        <w:rPr>
          <w:rFonts w:hint="eastAsia" w:ascii="宋体" w:hAnsi="宋体" w:cs="宋体"/>
          <w:color w:val="000000" w:themeColor="text1"/>
          <w:kern w:val="0"/>
          <w:sz w:val="18"/>
          <w:szCs w:val="18"/>
        </w:rPr>
        <w:t>。</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投标人所投产品需要具备产品生产厂家针对本项目的销售授权书及售后服务承诺函；</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具有良好的商业信誉和健全的财务会计制度；</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具有履行合同所必须的设备和专业技术能力</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有依法缴纳税收和社会保障资金的良好记录；</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参加招投标活动前三年内,在经营活动中没有重大违法记录；</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w:t>
      </w:r>
      <w:r>
        <w:rPr>
          <w:rFonts w:ascii="宋体" w:hAnsi="宋体" w:cs="宋体"/>
          <w:color w:val="000000" w:themeColor="text1"/>
          <w:kern w:val="0"/>
          <w:sz w:val="18"/>
          <w:szCs w:val="18"/>
        </w:rPr>
        <w:t>需满足</w:t>
      </w:r>
      <w:r>
        <w:rPr>
          <w:rFonts w:hint="eastAsia" w:ascii="宋体" w:hAnsi="宋体" w:cs="宋体"/>
          <w:color w:val="000000" w:themeColor="text1"/>
          <w:kern w:val="0"/>
          <w:sz w:val="18"/>
          <w:szCs w:val="18"/>
        </w:rPr>
        <w:t>在中华人民共和国境内注册、具有独立承担民事责任能力的企业法人营业执照经营范围符合采购项目要求</w:t>
      </w:r>
      <w:r>
        <w:rPr>
          <w:rFonts w:hint="eastAsia"/>
          <w:color w:val="000000" w:themeColor="text1"/>
        </w:rPr>
        <w:t>；</w:t>
      </w:r>
    </w:p>
    <w:p>
      <w:pPr>
        <w:pStyle w:val="2"/>
        <w:spacing w:line="360" w:lineRule="auto"/>
        <w:rPr>
          <w:rFonts w:hAnsi="宋体" w:cs="宋体" w:eastAsiaTheme="minorEastAsia"/>
          <w:kern w:val="2"/>
          <w:sz w:val="21"/>
          <w:szCs w:val="21"/>
        </w:rPr>
      </w:pPr>
      <w:r>
        <w:rPr>
          <w:rFonts w:hint="eastAsia" w:hAnsi="宋体" w:cs="宋体"/>
          <w:color w:val="000000" w:themeColor="text1"/>
          <w:kern w:val="0"/>
          <w:sz w:val="18"/>
          <w:szCs w:val="18"/>
          <w:lang w:val="en-US" w:eastAsia="zh-CN"/>
        </w:rPr>
        <w:t>10、</w:t>
      </w:r>
      <w:r>
        <w:rPr>
          <w:rFonts w:hint="eastAsia" w:ascii="宋体" w:hAnsi="宋体" w:cs="宋体"/>
          <w:color w:val="000000" w:themeColor="text1"/>
          <w:kern w:val="0"/>
          <w:sz w:val="18"/>
          <w:szCs w:val="18"/>
        </w:rPr>
        <w:t>投标人应遵守有关的国家法律、法令和条例；</w:t>
      </w: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14"/>
        <w:spacing w:line="240" w:lineRule="atLeast"/>
        <w:ind w:left="268" w:hanging="268" w:hangingChars="89"/>
        <w:rPr>
          <w:rFonts w:asciiTheme="majorEastAsia" w:hAnsiTheme="majorEastAsia" w:eastAsiaTheme="majorEastAsia"/>
          <w:b/>
          <w:sz w:val="30"/>
          <w:szCs w:val="30"/>
          <w:lang w:eastAsia="zh-CN"/>
        </w:rPr>
      </w:pPr>
      <w:r>
        <w:rPr>
          <w:rFonts w:hint="eastAsia" w:asciiTheme="majorEastAsia" w:hAnsiTheme="majorEastAsia" w:eastAsiaTheme="majorEastAsia"/>
          <w:b/>
          <w:sz w:val="30"/>
          <w:szCs w:val="30"/>
          <w:lang w:eastAsia="zh-CN"/>
        </w:rPr>
        <w:t>附件2：</w:t>
      </w:r>
    </w:p>
    <w:p>
      <w:pPr>
        <w:pStyle w:val="14"/>
        <w:spacing w:after="468" w:afterLines="150" w:line="276" w:lineRule="auto"/>
        <w:ind w:left="-317" w:leftChars="-339" w:hanging="429" w:hangingChars="89"/>
        <w:jc w:val="center"/>
        <w:rPr>
          <w:rFonts w:ascii="黑体" w:hAnsi="宋体" w:eastAsia="黑体"/>
          <w:b/>
          <w:sz w:val="48"/>
          <w:szCs w:val="48"/>
        </w:rPr>
      </w:pPr>
      <w:r>
        <w:rPr>
          <w:rFonts w:hint="eastAsia" w:ascii="黑体" w:hAnsi="宋体" w:eastAsia="黑体"/>
          <w:b/>
          <w:sz w:val="48"/>
          <w:szCs w:val="48"/>
        </w:rPr>
        <w:t>安全环保协议书</w:t>
      </w:r>
    </w:p>
    <w:p>
      <w:pPr>
        <w:spacing w:line="360" w:lineRule="auto"/>
        <w:ind w:left="-147" w:leftChars="-67"/>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w:t>
      </w:r>
      <w:r>
        <w:rPr>
          <w:rFonts w:hint="eastAsia" w:ascii="宋体" w:hAnsi="宋体"/>
          <w:szCs w:val="21"/>
          <w:u w:val="single"/>
          <w:lang w:eastAsia="zh-CN"/>
        </w:rPr>
        <w:t>福建福海创石油化工有限公司</w:t>
      </w:r>
      <w:r>
        <w:rPr>
          <w:rFonts w:hint="eastAsia" w:ascii="宋体" w:hAnsi="宋体"/>
          <w:szCs w:val="21"/>
          <w:u w:val="single"/>
        </w:rPr>
        <w:t xml:space="preserve">            </w:t>
      </w:r>
      <w:r>
        <w:rPr>
          <w:rFonts w:hint="eastAsia" w:ascii="宋体" w:hAnsi="宋体"/>
          <w:szCs w:val="21"/>
        </w:rPr>
        <w:t xml:space="preserve">   </w:t>
      </w:r>
    </w:p>
    <w:p>
      <w:pPr>
        <w:spacing w:line="360" w:lineRule="auto"/>
        <w:ind w:left="-636" w:leftChars="-289" w:firstLine="440" w:firstLineChars="200"/>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w:t>
      </w:r>
      <w:r>
        <w:rPr>
          <w:rFonts w:hint="eastAsia" w:ascii="宋体" w:hAnsi="宋体"/>
          <w:szCs w:val="21"/>
        </w:rPr>
        <w:t xml:space="preserve">   </w:t>
      </w:r>
      <w:r>
        <w:rPr>
          <w:rFonts w:hint="eastAsia" w:asciiTheme="minorEastAsia" w:hAnsiTheme="minorEastAsia" w:eastAsiaTheme="minorEastAsia"/>
          <w:szCs w:val="21"/>
        </w:rPr>
        <w:t xml:space="preserve">                   </w:t>
      </w:r>
    </w:p>
    <w:p>
      <w:pPr>
        <w:spacing w:line="36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34"/>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1、 甲方有权对乙方的资质进行审查，确认其符合且具备进厂条件，方可进厂施工。</w:t>
      </w:r>
    </w:p>
    <w:p>
      <w:pPr>
        <w:pStyle w:val="34"/>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rPr>
      </w:pPr>
      <w:r>
        <w:rPr>
          <w:rFonts w:hint="eastAsia" w:asciiTheme="minorEastAsia" w:hAnsiTheme="minorEastAsia" w:eastAsiaTheme="minorEastAsia"/>
          <w:szCs w:val="21"/>
        </w:rPr>
        <w:t>5、 甲方有权对乙方不服从管理和严重违章者，驱除施工现场。</w:t>
      </w:r>
    </w:p>
    <w:p>
      <w:pPr>
        <w:pStyle w:val="34"/>
        <w:spacing w:line="360" w:lineRule="auto"/>
        <w:ind w:left="-636" w:leftChars="-289" w:firstLine="110" w:firstLineChars="50"/>
        <w:rPr>
          <w:rFonts w:asciiTheme="minorEastAsia" w:hAnsiTheme="minorEastAsia" w:eastAsiaTheme="minorEastAsia"/>
          <w:b/>
          <w:szCs w:val="21"/>
        </w:rPr>
      </w:pPr>
      <w:r>
        <w:rPr>
          <w:rFonts w:hint="eastAsia" w:asciiTheme="minorEastAsia" w:hAnsiTheme="minorEastAsia" w:eastAsiaTheme="minorEastAsia"/>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8、 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乙方有权对甲方安全管理工作提出合理化建议或改进措施。</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Theme="minorEastAsia" w:hAnsiTheme="minorEastAsia" w:eastAsiaTheme="minorEastAsia"/>
          <w:szCs w:val="21"/>
        </w:rPr>
        <w:t>6、 乙方</w:t>
      </w:r>
      <w:r>
        <w:rPr>
          <w:rFonts w:hint="eastAsia" w:ascii="宋体" w:hAnsi="宋体"/>
          <w:szCs w:val="21"/>
        </w:rPr>
        <w:t>有权要求甲方提供相关的安全资料。</w:t>
      </w:r>
    </w:p>
    <w:p>
      <w:pPr>
        <w:spacing w:line="360" w:lineRule="auto"/>
        <w:ind w:left="-636" w:leftChars="-289" w:firstLine="110" w:firstLineChars="50"/>
        <w:rPr>
          <w:rFonts w:ascii="宋体" w:hAnsi="宋体"/>
          <w:b/>
          <w:szCs w:val="21"/>
        </w:rPr>
      </w:pPr>
      <w:r>
        <w:rPr>
          <w:rFonts w:hint="eastAsia" w:asciiTheme="minorEastAsia" w:hAnsiTheme="minorEastAsia" w:eastAsiaTheme="minorEastAsia"/>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rPr>
      </w:pPr>
      <w:r>
        <w:rPr>
          <w:rFonts w:hint="eastAsia" w:asciiTheme="minorEastAsia" w:hAnsiTheme="minorEastAsia" w:eastAsiaTheme="minorEastAsia"/>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11、乙方应按《中华人民共和国劳动法》等法律、法规、规定用工，严禁使用未成年工和有职业禁忌的人员进行施工作业。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12、 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13、 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14、 </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15、 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16、 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17、 </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rPr>
      </w:pPr>
      <w:r>
        <w:rPr>
          <w:rFonts w:hint="eastAsia" w:asciiTheme="minorEastAsia" w:hAnsiTheme="minorEastAsia" w:eastAsiaTheme="minorEastAsia"/>
          <w:bCs/>
        </w:rPr>
        <w:t xml:space="preserve">18、 </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20、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spacing w:line="360" w:lineRule="auto"/>
        <w:ind w:left="-551" w:leftChars="-289" w:hanging="85" w:hangingChars="39"/>
        <w:rPr>
          <w:rFonts w:asciiTheme="minorEastAsia" w:hAnsiTheme="minorEastAsia" w:eastAsiaTheme="minorEastAsia"/>
          <w:sz w:val="24"/>
        </w:rPr>
      </w:pPr>
      <w:r>
        <w:rPr>
          <w:rFonts w:hint="eastAsia" w:asciiTheme="minorEastAsia" w:hAnsiTheme="minorEastAsia" w:eastAsiaTheme="minorEastAsia"/>
          <w:szCs w:val="21"/>
        </w:rPr>
        <w:t xml:space="preserve">21、 </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22、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4"/>
        <w:numPr>
          <w:ilvl w:val="0"/>
          <w:numId w:val="7"/>
        </w:numPr>
        <w:spacing w:line="550" w:lineRule="exact"/>
        <w:ind w:firstLineChars="0"/>
        <w:rPr>
          <w:rFonts w:asciiTheme="minorEastAsia" w:hAnsiTheme="minorEastAsia" w:eastAsiaTheme="minorEastAsia"/>
          <w:b/>
          <w:szCs w:val="21"/>
        </w:rPr>
      </w:pPr>
      <w:r>
        <w:rPr>
          <w:rFonts w:hint="eastAsia" w:ascii="宋体" w:hAnsi="宋体"/>
          <w:szCs w:val="21"/>
        </w:rPr>
        <w:t>乙方不得将工程违法转包、分包。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rPr>
      </w:pPr>
      <w:r>
        <w:rPr>
          <w:rFonts w:hint="eastAsia" w:asciiTheme="minorEastAsia" w:hAnsiTheme="minorEastAsia" w:eastAsiaTheme="minorEastAsia"/>
          <w:szCs w:val="21"/>
        </w:rPr>
        <w:t>5、 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rPr>
      </w:pPr>
      <w:r>
        <w:rPr>
          <w:rFonts w:hint="eastAsia" w:asciiTheme="minorEastAsia" w:hAnsiTheme="minorEastAsia" w:eastAsiaTheme="minorEastAsia"/>
          <w:szCs w:val="21"/>
        </w:rPr>
        <w:t>6、 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rPr>
      </w:pPr>
      <w:r>
        <w:rPr>
          <w:rFonts w:hint="eastAsia" w:asciiTheme="minorEastAsia" w:hAnsiTheme="minorEastAsia" w:eastAsiaTheme="minorEastAsia"/>
          <w:szCs w:val="21"/>
        </w:rPr>
        <w:t>7、 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 xml:space="preserve">甲方 (章)： </w:t>
      </w:r>
      <w:r>
        <w:rPr>
          <w:rFonts w:hint="eastAsia" w:ascii="宋体" w:hAnsi="宋体"/>
          <w:szCs w:val="21"/>
          <w:lang w:eastAsia="zh-CN"/>
        </w:rPr>
        <w:t>福建福海创石油化工有限公司</w:t>
      </w:r>
      <w:r>
        <w:rPr>
          <w:rFonts w:hint="eastAsia" w:ascii="宋体" w:hAnsi="宋体"/>
          <w:szCs w:val="21"/>
        </w:rPr>
        <w:t xml:space="preserve">      </w:t>
      </w:r>
      <w:r>
        <w:rPr>
          <w:rFonts w:hint="eastAsia"/>
          <w:szCs w:val="21"/>
          <w:lang w:val="en-US" w:eastAsia="zh-CN"/>
        </w:rPr>
        <w:t xml:space="preserve"> </w:t>
      </w:r>
      <w:r>
        <w:rPr>
          <w:rFonts w:hint="eastAsia" w:ascii="宋体" w:hAnsi="宋体"/>
          <w:szCs w:val="21"/>
        </w:rPr>
        <w:t>乙方(章)：</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法人代表:                                     法人代表:</w:t>
      </w:r>
    </w:p>
    <w:p>
      <w:pPr>
        <w:spacing w:line="276" w:lineRule="auto"/>
        <w:rPr>
          <w:rFonts w:ascii="宋体" w:hAnsi="宋体"/>
          <w:szCs w:val="21"/>
        </w:rPr>
      </w:pPr>
    </w:p>
    <w:p>
      <w:pPr>
        <w:spacing w:line="276" w:lineRule="auto"/>
        <w:rPr>
          <w:rFonts w:ascii="宋体" w:hAnsi="宋体"/>
          <w:szCs w:val="21"/>
        </w:rPr>
      </w:pPr>
    </w:p>
    <w:p>
      <w:pPr>
        <w:spacing w:line="276" w:lineRule="auto"/>
        <w:ind w:left="-551" w:leftChars="-339" w:hanging="195" w:hangingChars="89"/>
        <w:rPr>
          <w:rFonts w:ascii="宋体" w:hAnsi="宋体"/>
          <w:szCs w:val="21"/>
        </w:rPr>
      </w:pPr>
      <w:r>
        <w:rPr>
          <w:rFonts w:hint="eastAsia" w:ascii="宋体" w:hAnsi="宋体"/>
          <w:szCs w:val="21"/>
        </w:rPr>
        <w:t>法人委托代理人 :                              法人委托代理人:</w:t>
      </w:r>
    </w:p>
    <w:p>
      <w:pPr>
        <w:spacing w:line="276" w:lineRule="auto"/>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360" w:lineRule="auto"/>
        <w:rPr>
          <w:rFonts w:asciiTheme="majorEastAsia" w:hAnsiTheme="majorEastAsia" w:eastAsiaTheme="majorEastAsia"/>
          <w:b/>
          <w:lang w:eastAsia="zh-CN"/>
        </w:rPr>
      </w:pPr>
      <w:r>
        <w:rPr>
          <w:rFonts w:hint="eastAsia" w:ascii="宋体" w:hAnsi="宋体"/>
          <w:szCs w:val="21"/>
        </w:rPr>
        <w:t>签定日期：    年    月    日                   年    月    日</w:t>
      </w:r>
      <w:r>
        <w:rPr>
          <w:rFonts w:hint="eastAsia" w:asciiTheme="majorEastAsia" w:hAnsiTheme="majorEastAsia" w:eastAsiaTheme="majorEastAsia"/>
          <w:lang w:eastAsia="zh-CN"/>
        </w:rPr>
        <w:t xml:space="preserve">                     </w:t>
      </w: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jc w:val="left"/>
        <w:rPr>
          <w:b/>
          <w:sz w:val="28"/>
          <w:szCs w:val="28"/>
        </w:rPr>
      </w:pPr>
    </w:p>
    <w:p>
      <w:pPr>
        <w:pStyle w:val="2"/>
        <w:jc w:val="left"/>
        <w:rPr>
          <w:b/>
          <w:sz w:val="28"/>
          <w:szCs w:val="28"/>
        </w:rPr>
      </w:pPr>
    </w:p>
    <w:p>
      <w:pPr>
        <w:pStyle w:val="2"/>
        <w:jc w:val="left"/>
        <w:rPr>
          <w:b/>
          <w:sz w:val="28"/>
          <w:szCs w:val="28"/>
        </w:rPr>
      </w:pPr>
      <w:r>
        <w:rPr>
          <w:rFonts w:hint="eastAsia"/>
          <w:b/>
          <w:sz w:val="28"/>
          <w:szCs w:val="28"/>
        </w:rPr>
        <w:t>一、</w:t>
      </w:r>
    </w:p>
    <w:p>
      <w:pPr>
        <w:pStyle w:val="14"/>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840" w:firstLineChars="160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WAF（Web应用防护系统）采购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asciiTheme="minorEastAsia" w:hAnsiTheme="minorEastAsia" w:eastAsiaTheme="minorEastAsia"/>
          <w:sz w:val="24"/>
          <w:szCs w:val="24"/>
          <w:u w:val="single"/>
          <w:lang w:eastAsia="zh-CN"/>
        </w:rPr>
        <w:t>WAF（Web应用防护系统）采购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WAF（Web应用防护系统）</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lang w:val="en-US" w:eastAsia="zh-CN"/>
        </w:rPr>
        <w:t>无预付款，货到付款</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4"/>
        <w:spacing w:before="0" w:line="360" w:lineRule="auto"/>
        <w:ind w:left="360" w:firstLine="0"/>
        <w:rPr>
          <w:rFonts w:hint="eastAsia" w:ascii="Times New Roman"/>
          <w:b/>
          <w:bCs/>
          <w:sz w:val="28"/>
          <w:szCs w:val="28"/>
          <w:lang w:val="en-US" w:eastAsia="zh-CN"/>
        </w:rPr>
      </w:pPr>
      <w:r>
        <w:rPr>
          <w:rFonts w:hint="eastAsia" w:ascii="Times New Roman"/>
          <w:b/>
          <w:bCs/>
          <w:sz w:val="28"/>
          <w:szCs w:val="28"/>
          <w:lang w:eastAsia="zh-CN"/>
        </w:rPr>
        <w:t>注明：</w:t>
      </w:r>
      <w:r>
        <w:rPr>
          <w:rFonts w:hint="eastAsia" w:ascii="Times New Roman"/>
          <w:b/>
          <w:bCs/>
          <w:sz w:val="28"/>
          <w:szCs w:val="28"/>
          <w:lang w:val="en-US" w:eastAsia="zh-CN"/>
        </w:rPr>
        <w:t>报价完全符合如下技术要求</w:t>
      </w:r>
    </w:p>
    <w:p>
      <w:pPr>
        <w:pStyle w:val="4"/>
        <w:numPr>
          <w:ilvl w:val="1"/>
          <w:numId w:val="0"/>
        </w:numPr>
        <w:jc w:val="center"/>
        <w:rPr>
          <w:color w:val="000000" w:themeColor="text1"/>
        </w:rPr>
      </w:pPr>
      <w:r>
        <w:rPr>
          <w:color w:val="000000" w:themeColor="text1"/>
        </w:rPr>
        <w:t>WAF</w:t>
      </w:r>
      <w:r>
        <w:rPr>
          <w:rFonts w:hint="eastAsia"/>
          <w:color w:val="000000" w:themeColor="text1"/>
          <w:lang w:val="en-US" w:eastAsia="zh-CN"/>
        </w:rPr>
        <w:t>设备技术</w:t>
      </w:r>
      <w:r>
        <w:rPr>
          <w:rFonts w:hint="eastAsia"/>
          <w:color w:val="000000" w:themeColor="text1"/>
        </w:rPr>
        <w:t>要求</w:t>
      </w:r>
    </w:p>
    <w:tbl>
      <w:tblPr>
        <w:tblStyle w:val="3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93"/>
        <w:gridCol w:w="640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84"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编号</w:t>
            </w:r>
          </w:p>
        </w:tc>
        <w:tc>
          <w:tcPr>
            <w:tcW w:w="1593"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产品名称</w:t>
            </w:r>
          </w:p>
        </w:tc>
        <w:tc>
          <w:tcPr>
            <w:tcW w:w="6401"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性能指标要求</w:t>
            </w:r>
          </w:p>
        </w:tc>
        <w:tc>
          <w:tcPr>
            <w:tcW w:w="810" w:type="dxa"/>
            <w:vAlign w:val="center"/>
          </w:tcPr>
          <w:p>
            <w:pPr>
              <w:pStyle w:val="7"/>
              <w:spacing w:before="0" w:beforeAutospacing="0"/>
              <w:ind w:firstLine="0" w:firstLineChars="0"/>
              <w:jc w:val="center"/>
              <w:rPr>
                <w:rFonts w:ascii="宋体" w:hAnsi="宋体" w:eastAsia="宋体" w:cs="宋体"/>
                <w:b/>
                <w:bCs/>
                <w:color w:val="000000" w:themeColor="text1"/>
                <w:sz w:val="21"/>
                <w:szCs w:val="21"/>
                <w:lang w:val="en-US"/>
              </w:rPr>
            </w:pPr>
            <w:r>
              <w:rPr>
                <w:rFonts w:hint="eastAsia" w:ascii="宋体" w:hAnsi="宋体" w:eastAsia="宋体" w:cs="宋体"/>
                <w:b/>
                <w:bCs/>
                <w:color w:val="000000" w:themeColor="text1"/>
                <w:sz w:val="21"/>
                <w:szCs w:val="21"/>
                <w:lang w:val="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pStyle w:val="7"/>
              <w:spacing w:before="0" w:beforeAutospacing="0"/>
              <w:ind w:firstLine="0" w:firstLineChars="0"/>
              <w:jc w:val="center"/>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1</w:t>
            </w:r>
          </w:p>
        </w:tc>
        <w:tc>
          <w:tcPr>
            <w:tcW w:w="1593" w:type="dxa"/>
            <w:vAlign w:val="center"/>
          </w:tcPr>
          <w:p>
            <w:pPr>
              <w:pStyle w:val="7"/>
              <w:spacing w:beforeAutospacing="0"/>
              <w:ind w:firstLine="0" w:firstLineChars="0"/>
              <w:jc w:val="center"/>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W</w:t>
            </w:r>
            <w:r>
              <w:rPr>
                <w:rFonts w:ascii="宋体" w:hAnsi="宋体" w:eastAsia="宋体" w:cs="宋体"/>
                <w:color w:val="000000" w:themeColor="text1"/>
                <w:sz w:val="21"/>
                <w:szCs w:val="21"/>
                <w:lang w:val="en-US"/>
              </w:rPr>
              <w:t>EB应用安全网关技术参数要求</w:t>
            </w:r>
          </w:p>
        </w:tc>
        <w:tc>
          <w:tcPr>
            <w:tcW w:w="6401" w:type="dxa"/>
            <w:vAlign w:val="center"/>
          </w:tcPr>
          <w:p>
            <w:pPr>
              <w:jc w:val="both"/>
              <w:rPr>
                <w:color w:val="000000" w:themeColor="text1"/>
              </w:rPr>
            </w:pPr>
            <w:r>
              <w:rPr>
                <w:color w:val="000000" w:themeColor="text1"/>
              </w:rPr>
              <w:t>1</w:t>
            </w:r>
            <w:r>
              <w:rPr>
                <w:rFonts w:hint="eastAsia"/>
                <w:color w:val="000000" w:themeColor="text1"/>
              </w:rPr>
              <w:t>、★设备自带≥</w:t>
            </w:r>
            <w:r>
              <w:rPr>
                <w:color w:val="000000" w:themeColor="text1"/>
              </w:rPr>
              <w:t>4</w:t>
            </w:r>
            <w:r>
              <w:rPr>
                <w:rFonts w:hint="eastAsia"/>
                <w:color w:val="000000" w:themeColor="text1"/>
              </w:rPr>
              <w:t>千兆电口，</w:t>
            </w:r>
            <w:r>
              <w:rPr>
                <w:color w:val="000000" w:themeColor="text1"/>
              </w:rPr>
              <w:t>1</w:t>
            </w:r>
            <w:r>
              <w:rPr>
                <w:rFonts w:hint="eastAsia"/>
                <w:color w:val="000000" w:themeColor="text1"/>
              </w:rPr>
              <w:t>个扩展板槽，设备网络层吞吐率≥</w:t>
            </w:r>
            <w:r>
              <w:rPr>
                <w:color w:val="000000" w:themeColor="text1"/>
              </w:rPr>
              <w:t>4</w:t>
            </w:r>
            <w:r>
              <w:rPr>
                <w:rFonts w:hint="eastAsia"/>
                <w:color w:val="000000" w:themeColor="text1"/>
              </w:rPr>
              <w:t>G，应用层吞吐率≥</w:t>
            </w:r>
            <w:r>
              <w:rPr>
                <w:color w:val="000000" w:themeColor="text1"/>
              </w:rPr>
              <w:t>1</w:t>
            </w:r>
            <w:r>
              <w:rPr>
                <w:rFonts w:hint="eastAsia"/>
                <w:color w:val="000000" w:themeColor="text1"/>
              </w:rPr>
              <w:t>G，最大HTTP并发连接数不小于</w:t>
            </w:r>
            <w:r>
              <w:rPr>
                <w:color w:val="000000" w:themeColor="text1"/>
              </w:rPr>
              <w:t>220</w:t>
            </w:r>
            <w:r>
              <w:rPr>
                <w:rFonts w:hint="eastAsia"/>
                <w:color w:val="000000" w:themeColor="text1"/>
              </w:rPr>
              <w:t>万，每秒新建HTTP连接数不少于</w:t>
            </w:r>
            <w:r>
              <w:rPr>
                <w:color w:val="000000" w:themeColor="text1"/>
              </w:rPr>
              <w:t>5500</w:t>
            </w:r>
            <w:r>
              <w:rPr>
                <w:rFonts w:hint="eastAsia"/>
                <w:color w:val="000000" w:themeColor="text1"/>
              </w:rPr>
              <w:t>。</w:t>
            </w:r>
          </w:p>
          <w:p>
            <w:pPr>
              <w:jc w:val="both"/>
              <w:rPr>
                <w:color w:val="000000" w:themeColor="text1"/>
              </w:rPr>
            </w:pPr>
            <w:r>
              <w:rPr>
                <w:rFonts w:hint="eastAsia"/>
                <w:color w:val="000000" w:themeColor="text1"/>
              </w:rPr>
              <w:t>2、支持旁路镜像、透明代理、透明桥、路由代理和反向代理部署，支持三层模式下透明部署。（提供相关界面截图）</w:t>
            </w:r>
          </w:p>
          <w:p>
            <w:pPr>
              <w:jc w:val="both"/>
              <w:rPr>
                <w:color w:val="000000" w:themeColor="text1"/>
              </w:rPr>
            </w:pPr>
            <w:r>
              <w:rPr>
                <w:color w:val="000000" w:themeColor="text1"/>
              </w:rPr>
              <w:t>3</w:t>
            </w:r>
            <w:r>
              <w:rPr>
                <w:rFonts w:hint="eastAsia"/>
                <w:color w:val="000000" w:themeColor="text1"/>
              </w:rPr>
              <w:t xml:space="preserve">、★设备部署时能够自动感知Web应用系统的网络地址和端口，自动生成防护对象（提供相关界面截图）。 </w:t>
            </w:r>
          </w:p>
          <w:p>
            <w:pPr>
              <w:jc w:val="both"/>
              <w:rPr>
                <w:color w:val="000000" w:themeColor="text1"/>
              </w:rPr>
            </w:pPr>
            <w:r>
              <w:rPr>
                <w:rFonts w:hint="eastAsia"/>
                <w:color w:val="000000" w:themeColor="text1"/>
              </w:rPr>
              <w:t>4、应具备恶意重定向防护功能，可以识别重定向发起方和接收方的恶意行为（提供相关界面截图）</w:t>
            </w:r>
          </w:p>
          <w:p>
            <w:pPr>
              <w:jc w:val="both"/>
              <w:rPr>
                <w:color w:val="000000" w:themeColor="text1"/>
              </w:rPr>
            </w:pPr>
            <w:r>
              <w:rPr>
                <w:rFonts w:hint="eastAsia"/>
                <w:color w:val="000000" w:themeColor="text1"/>
              </w:rPr>
              <w:t>5、★支持欺骗攻击检测功能，诱使攻击方对它实施攻击，从而可以对攻击行为进行跟综记录和防御（提供相关界面截图）</w:t>
            </w:r>
          </w:p>
          <w:p>
            <w:pPr>
              <w:jc w:val="both"/>
              <w:rPr>
                <w:color w:val="000000" w:themeColor="text1"/>
              </w:rPr>
            </w:pPr>
            <w:r>
              <w:rPr>
                <w:color w:val="000000" w:themeColor="text1"/>
              </w:rPr>
              <w:t>6</w:t>
            </w:r>
            <w:r>
              <w:rPr>
                <w:rFonts w:hint="eastAsia"/>
                <w:color w:val="000000" w:themeColor="text1"/>
              </w:rPr>
              <w:t>、★为了保证业务可用性，可针对恶意登录、恶意试探攻击、拒绝服务攻击等行为进行检测及拦截，防止因为通过第三方泄露出去的数据造成内部业务系统账号</w:t>
            </w:r>
            <w:r>
              <w:rPr>
                <w:color w:val="000000" w:themeColor="text1"/>
              </w:rPr>
              <w:t>被盗</w:t>
            </w:r>
            <w:r>
              <w:rPr>
                <w:rFonts w:hint="eastAsia"/>
                <w:color w:val="000000" w:themeColor="text1"/>
              </w:rPr>
              <w:t>。（提供相关界面截图）</w:t>
            </w:r>
          </w:p>
          <w:p>
            <w:pPr>
              <w:jc w:val="both"/>
              <w:rPr>
                <w:color w:val="000000" w:themeColor="text1"/>
              </w:rPr>
            </w:pPr>
            <w:r>
              <w:rPr>
                <w:rFonts w:hint="eastAsia"/>
                <w:color w:val="000000" w:themeColor="text1"/>
              </w:rPr>
              <w:t>7、具备网站一键锁定功能，满足特殊时刻防护需求，支持通过策略实现允许静态页面访问且禁止提交表单；可周期性或固定时间灵活设置锁定时刻。（提供相关界面截图）</w:t>
            </w:r>
          </w:p>
          <w:p>
            <w:pPr>
              <w:jc w:val="both"/>
              <w:rPr>
                <w:color w:val="000000" w:themeColor="text1"/>
              </w:rPr>
            </w:pPr>
            <w:r>
              <w:rPr>
                <w:rFonts w:hint="eastAsia"/>
                <w:color w:val="000000" w:themeColor="text1"/>
              </w:rPr>
              <w:t>8、Web安全事件日志存储，应支持主流的服务器操作系统及主流的数据库类型；具备Web安全事件的报表功能，支持一般的单一条件报表输出、专业的多维度统计报表输出。</w:t>
            </w:r>
          </w:p>
          <w:p>
            <w:pPr>
              <w:jc w:val="both"/>
              <w:rPr>
                <w:color w:val="000000" w:themeColor="text1"/>
              </w:rPr>
            </w:pPr>
            <w:r>
              <w:rPr>
                <w:rFonts w:hint="eastAsia"/>
                <w:color w:val="000000" w:themeColor="text1"/>
              </w:rPr>
              <w:t>9、★支持全功能接口Open API，可实现全功能的远程调用；可通过API接口给设备下发策略，应具备API防护功能。（提供相关界面截图）</w:t>
            </w:r>
          </w:p>
          <w:p>
            <w:pPr>
              <w:jc w:val="both"/>
              <w:rPr>
                <w:color w:val="000000" w:themeColor="text1"/>
              </w:rPr>
            </w:pPr>
            <w:r>
              <w:rPr>
                <w:rFonts w:hint="eastAsia"/>
                <w:color w:val="000000" w:themeColor="text1"/>
              </w:rPr>
              <w:t>1</w:t>
            </w:r>
            <w:r>
              <w:rPr>
                <w:color w:val="000000" w:themeColor="text1"/>
              </w:rPr>
              <w:t>0</w:t>
            </w:r>
            <w:r>
              <w:rPr>
                <w:rFonts w:hint="eastAsia"/>
                <w:color w:val="000000" w:themeColor="text1"/>
              </w:rPr>
              <w:t>、支持客户端ACL，可防止恶意的高频率、多层次的访问请求（提供相关界面截图）</w:t>
            </w:r>
          </w:p>
          <w:p>
            <w:pPr>
              <w:jc w:val="both"/>
              <w:rPr>
                <w:color w:val="000000" w:themeColor="text1"/>
              </w:rPr>
            </w:pPr>
            <w:r>
              <w:rPr>
                <w:rFonts w:hint="eastAsia"/>
                <w:color w:val="000000" w:themeColor="text1"/>
              </w:rPr>
              <w:t>11、支持对HTTP协议合法性进行验证，支持对非法统一资源定位符、重复参数、重复编码以及非法编码和解码的灵活控制与处理（提供相关界面截图）</w:t>
            </w:r>
          </w:p>
          <w:p>
            <w:pPr>
              <w:jc w:val="both"/>
              <w:rPr>
                <w:color w:val="000000" w:themeColor="text1"/>
              </w:rPr>
            </w:pPr>
            <w:r>
              <w:rPr>
                <w:rFonts w:hint="eastAsia"/>
                <w:color w:val="000000" w:themeColor="text1"/>
              </w:rPr>
              <w:t>12、应具备防止存储在用户本地的缓存数据被篡改的功能，并且可以通过机器自主学习功能学习需要防护的缓存数据参数（提供相关界面截图）</w:t>
            </w:r>
          </w:p>
          <w:p>
            <w:pPr>
              <w:jc w:val="both"/>
              <w:rPr>
                <w:color w:val="000000" w:themeColor="text1"/>
              </w:rPr>
            </w:pPr>
            <w:r>
              <w:rPr>
                <w:rFonts w:hint="eastAsia"/>
                <w:color w:val="000000" w:themeColor="text1"/>
              </w:rPr>
              <w:t>1</w:t>
            </w:r>
            <w:r>
              <w:rPr>
                <w:color w:val="000000" w:themeColor="text1"/>
              </w:rPr>
              <w:t>3</w:t>
            </w:r>
            <w:r>
              <w:rPr>
                <w:rFonts w:hint="eastAsia"/>
                <w:color w:val="000000" w:themeColor="text1"/>
              </w:rPr>
              <w:t>、具备http协议深层解码能力，支持递归解码，解码方式包括：URL解码、JSON解码、Base64解码、16进制转换、有利于用户查看和分析攻击日志（提供相关界面截图）</w:t>
            </w:r>
          </w:p>
          <w:p>
            <w:pPr>
              <w:jc w:val="both"/>
              <w:rPr>
                <w:color w:val="000000" w:themeColor="text1"/>
              </w:rPr>
            </w:pPr>
            <w:r>
              <w:rPr>
                <w:rFonts w:hint="eastAsia"/>
                <w:color w:val="000000" w:themeColor="text1"/>
              </w:rPr>
              <w:t>1</w:t>
            </w:r>
            <w:r>
              <w:rPr>
                <w:color w:val="000000" w:themeColor="text1"/>
              </w:rPr>
              <w:t>4</w:t>
            </w:r>
            <w:r>
              <w:rPr>
                <w:rFonts w:hint="eastAsia"/>
                <w:color w:val="000000" w:themeColor="text1"/>
              </w:rPr>
              <w:t>、★具备未知威胁的检测和防护能力，能防御0day攻击(要求提供界面盖公章说明)；</w:t>
            </w:r>
          </w:p>
          <w:p>
            <w:pPr>
              <w:jc w:val="both"/>
              <w:rPr>
                <w:color w:val="000000" w:themeColor="text1"/>
              </w:rPr>
            </w:pPr>
            <w:r>
              <w:rPr>
                <w:color w:val="000000" w:themeColor="text1"/>
              </w:rPr>
              <w:t>15</w:t>
            </w:r>
            <w:r>
              <w:rPr>
                <w:rFonts w:hint="eastAsia"/>
                <w:color w:val="000000" w:themeColor="text1"/>
              </w:rPr>
              <w:t>、★支持机器人检测，能够识别扫描器检测、爬虫检测、非浏览器请求；（提供功能截图）</w:t>
            </w:r>
          </w:p>
          <w:p>
            <w:pPr>
              <w:jc w:val="both"/>
              <w:rPr>
                <w:color w:val="000000" w:themeColor="text1"/>
              </w:rPr>
            </w:pPr>
            <w:r>
              <w:rPr>
                <w:color w:val="000000" w:themeColor="text1"/>
              </w:rPr>
              <w:t>16</w:t>
            </w:r>
            <w:r>
              <w:rPr>
                <w:rFonts w:hint="eastAsia"/>
                <w:color w:val="000000" w:themeColor="text1"/>
              </w:rPr>
              <w:t>、★支持流量学习技术，可自动发现业务进行学习，建立不同的流量模型。流量学习建模后生成安全策略，并可根据模型进行流量检测，识别出偏离模型的异常流量。（提供功能截图）</w:t>
            </w:r>
          </w:p>
          <w:p>
            <w:pPr>
              <w:jc w:val="both"/>
              <w:rPr>
                <w:rFonts w:hint="eastAsia"/>
                <w:color w:val="000000" w:themeColor="text1"/>
              </w:rPr>
            </w:pPr>
            <w:r>
              <w:rPr>
                <w:rFonts w:hint="eastAsia"/>
                <w:color w:val="000000" w:themeColor="text1"/>
              </w:rPr>
              <w:t>1</w:t>
            </w:r>
            <w:r>
              <w:rPr>
                <w:color w:val="000000" w:themeColor="text1"/>
              </w:rPr>
              <w:t>7</w:t>
            </w:r>
            <w:r>
              <w:rPr>
                <w:rFonts w:hint="eastAsia"/>
                <w:color w:val="000000" w:themeColor="text1"/>
              </w:rPr>
              <w:t>、</w:t>
            </w:r>
            <w:r>
              <w:rPr>
                <w:color w:val="000000" w:themeColor="text1"/>
              </w:rPr>
              <w:t>提供三年软硬件维保和规则库升级服务；</w:t>
            </w:r>
          </w:p>
        </w:tc>
        <w:tc>
          <w:tcPr>
            <w:tcW w:w="810" w:type="dxa"/>
            <w:vAlign w:val="center"/>
          </w:tcPr>
          <w:p>
            <w:pPr>
              <w:jc w:val="center"/>
              <w:rPr>
                <w:color w:val="000000" w:themeColor="text1"/>
                <w:szCs w:val="21"/>
              </w:rPr>
            </w:pPr>
            <w:r>
              <w:rPr>
                <w:rFonts w:hint="eastAsia"/>
                <w:color w:val="000000" w:themeColor="text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vAlign w:val="center"/>
          </w:tcPr>
          <w:p>
            <w:pPr>
              <w:pStyle w:val="7"/>
              <w:spacing w:before="0" w:beforeAutospacing="0"/>
              <w:ind w:firstLine="0" w:firstLineChars="0"/>
              <w:jc w:val="center"/>
              <w:rPr>
                <w:rFonts w:ascii="宋体" w:hAnsi="宋体" w:eastAsia="宋体" w:cs="宋体"/>
                <w:color w:val="000000" w:themeColor="text1"/>
                <w:sz w:val="21"/>
                <w:szCs w:val="21"/>
                <w:lang w:val="en-US"/>
              </w:rPr>
            </w:pPr>
          </w:p>
        </w:tc>
        <w:tc>
          <w:tcPr>
            <w:tcW w:w="1593" w:type="dxa"/>
            <w:vAlign w:val="center"/>
          </w:tcPr>
          <w:p>
            <w:pPr>
              <w:pStyle w:val="7"/>
              <w:spacing w:beforeAutospacing="0"/>
              <w:ind w:firstLine="0" w:firstLineChars="0"/>
              <w:jc w:val="center"/>
              <w:rPr>
                <w:rFonts w:ascii="宋体" w:hAnsi="宋体" w:eastAsia="宋体" w:cs="宋体"/>
                <w:color w:val="000000" w:themeColor="text1"/>
                <w:sz w:val="21"/>
                <w:szCs w:val="21"/>
                <w:lang w:val="en-US"/>
              </w:rPr>
            </w:pPr>
            <w:r>
              <w:rPr>
                <w:rFonts w:ascii="宋体" w:hAnsi="宋体" w:eastAsia="宋体" w:cs="宋体"/>
                <w:color w:val="000000" w:themeColor="text1"/>
                <w:sz w:val="21"/>
                <w:szCs w:val="21"/>
                <w:lang w:val="en-US"/>
              </w:rPr>
              <w:t>售后及服务</w:t>
            </w:r>
          </w:p>
        </w:tc>
        <w:tc>
          <w:tcPr>
            <w:tcW w:w="6401" w:type="dxa"/>
            <w:vAlign w:val="center"/>
          </w:tcPr>
          <w:p>
            <w:pPr>
              <w:pStyle w:val="34"/>
              <w:numPr>
                <w:ilvl w:val="0"/>
                <w:numId w:val="4"/>
              </w:numPr>
              <w:ind w:firstLineChars="0"/>
              <w:jc w:val="both"/>
              <w:rPr>
                <w:b/>
                <w:bCs/>
                <w:color w:val="000000" w:themeColor="text1"/>
                <w:sz w:val="20"/>
                <w:lang w:eastAsia="zh-Hans"/>
              </w:rPr>
            </w:pPr>
            <w:r>
              <w:rPr>
                <w:rFonts w:hint="eastAsia"/>
                <w:b/>
                <w:bCs/>
                <w:color w:val="000000" w:themeColor="text1"/>
                <w:sz w:val="20"/>
                <w:lang w:eastAsia="zh-Hans"/>
              </w:rPr>
              <w:t>WEB应用安全服务要求：</w:t>
            </w:r>
            <w:r>
              <w:rPr>
                <w:rFonts w:hint="eastAsia"/>
                <w:b/>
                <w:bCs/>
                <w:color w:val="000000" w:themeColor="text1"/>
                <w:sz w:val="20"/>
              </w:rPr>
              <w:t>（含下内容）</w:t>
            </w:r>
          </w:p>
          <w:p>
            <w:pPr>
              <w:pStyle w:val="34"/>
              <w:numPr>
                <w:ilvl w:val="0"/>
                <w:numId w:val="5"/>
              </w:numPr>
              <w:ind w:firstLineChars="0"/>
              <w:jc w:val="both"/>
              <w:rPr>
                <w:color w:val="000000" w:themeColor="text1"/>
                <w:sz w:val="20"/>
                <w:lang w:eastAsia="zh-Hans"/>
              </w:rPr>
            </w:pPr>
            <w:r>
              <w:rPr>
                <w:rFonts w:hint="eastAsia"/>
                <w:b/>
                <w:bCs/>
                <w:color w:val="000000" w:themeColor="text1"/>
                <w:sz w:val="20"/>
                <w:lang w:eastAsia="zh-Hans"/>
              </w:rPr>
              <w:t>资产梳理：</w:t>
            </w:r>
            <w:r>
              <w:rPr>
                <w:rFonts w:hint="eastAsia"/>
                <w:color w:val="000000" w:themeColor="text1"/>
                <w:sz w:val="20"/>
                <w:lang w:eastAsia="zh-Hans"/>
              </w:rPr>
              <w:t>设备在保期间需</w:t>
            </w:r>
            <w:r>
              <w:rPr>
                <w:rFonts w:hint="eastAsia"/>
                <w:color w:val="000000" w:themeColor="text1"/>
                <w:sz w:val="20"/>
              </w:rPr>
              <w:t>协助</w:t>
            </w:r>
            <w:r>
              <w:rPr>
                <w:rFonts w:hint="eastAsia"/>
                <w:color w:val="000000" w:themeColor="text1"/>
                <w:sz w:val="20"/>
                <w:lang w:eastAsia="zh-Hans"/>
              </w:rPr>
              <w:t>对各类服务器主机进行资产清点，及时更新主机资产清单，并关联风险情况，作出修复和加固建议，并协助进行加固。</w:t>
            </w:r>
            <w:r>
              <w:rPr>
                <w:color w:val="000000" w:themeColor="text1"/>
                <w:sz w:val="20"/>
                <w:lang w:eastAsia="zh-Hans"/>
              </w:rPr>
              <w:t>每季度一次</w:t>
            </w:r>
            <w:r>
              <w:rPr>
                <w:rFonts w:hint="eastAsia"/>
                <w:color w:val="000000" w:themeColor="text1"/>
                <w:sz w:val="20"/>
              </w:rPr>
              <w:t>。</w:t>
            </w:r>
          </w:p>
          <w:p>
            <w:pPr>
              <w:pStyle w:val="34"/>
              <w:ind w:left="420" w:firstLine="0" w:firstLineChars="0"/>
              <w:jc w:val="both"/>
              <w:rPr>
                <w:color w:val="000000" w:themeColor="text1"/>
                <w:sz w:val="20"/>
                <w:lang w:eastAsia="zh-Hans"/>
              </w:rPr>
            </w:pPr>
            <w:r>
              <w:rPr>
                <w:rFonts w:hint="eastAsia"/>
                <w:color w:val="000000" w:themeColor="text1"/>
                <w:sz w:val="20"/>
                <w:lang w:eastAsia="zh-Hans"/>
              </w:rPr>
              <w:t>梳理资产内容至少包含</w:t>
            </w:r>
            <w:r>
              <w:rPr>
                <w:rFonts w:hint="eastAsia"/>
                <w:color w:val="000000" w:themeColor="text1"/>
                <w:sz w:val="20"/>
              </w:rPr>
              <w:t>（</w:t>
            </w:r>
            <w:r>
              <w:rPr>
                <w:rFonts w:hint="eastAsia"/>
                <w:color w:val="000000" w:themeColor="text1"/>
                <w:sz w:val="20"/>
                <w:lang w:eastAsia="zh-Hans"/>
              </w:rPr>
              <w:t>梳理操作系统、数据库、各类应用、网络端口等等，主要有主机状态，操作系统版本信息、主机硬件配置信息、网卡信息、磁盘信息、进程名、进程分类、进程状态、进程版本、进程路径、PID、父进程、运行用户、所属用户组、进程启动时间、启动参数、进程MD5，root权限运行进程，僵尸进程等特殊进程，服务器开放的端口信息，至少包括：端口号、端口对应进程名、协议、PID等，Web应用中的插件信息，至少包括插件名称、版本等</w:t>
            </w:r>
            <w:r>
              <w:rPr>
                <w:rFonts w:hint="eastAsia"/>
                <w:color w:val="000000" w:themeColor="text1"/>
                <w:sz w:val="20"/>
              </w:rPr>
              <w:t>）。</w:t>
            </w:r>
          </w:p>
          <w:p>
            <w:pPr>
              <w:pStyle w:val="34"/>
              <w:ind w:left="420" w:firstLine="0" w:firstLineChars="0"/>
              <w:jc w:val="both"/>
              <w:rPr>
                <w:color w:val="000000" w:themeColor="text1"/>
                <w:sz w:val="20"/>
                <w:lang w:eastAsia="zh-Hans"/>
              </w:rPr>
            </w:pPr>
            <w:r>
              <w:rPr>
                <w:rFonts w:hint="eastAsia"/>
                <w:color w:val="000000" w:themeColor="text1"/>
                <w:sz w:val="20"/>
                <w:lang w:eastAsia="zh-Hans"/>
              </w:rPr>
              <w:t>提供相应的报告。</w:t>
            </w:r>
          </w:p>
          <w:p>
            <w:pPr>
              <w:numPr>
                <w:ilvl w:val="0"/>
                <w:numId w:val="5"/>
              </w:numPr>
              <w:jc w:val="both"/>
              <w:rPr>
                <w:color w:val="000000" w:themeColor="text1"/>
                <w:sz w:val="20"/>
                <w:lang w:eastAsia="zh-Hans"/>
              </w:rPr>
            </w:pPr>
            <w:r>
              <w:rPr>
                <w:rFonts w:hint="eastAsia"/>
                <w:b/>
                <w:bCs/>
                <w:color w:val="000000" w:themeColor="text1"/>
                <w:sz w:val="20"/>
                <w:lang w:eastAsia="zh-Hans"/>
              </w:rPr>
              <w:t>风险识别：</w:t>
            </w:r>
            <w:r>
              <w:rPr>
                <w:rFonts w:hint="eastAsia"/>
                <w:color w:val="000000" w:themeColor="text1"/>
                <w:sz w:val="20"/>
                <w:lang w:eastAsia="zh-Hans"/>
              </w:rPr>
              <w:t>设备在保期间定期对本设备防护资产进行风险识别，及时发现资产的风险，并给出详细报告，协助询价人开展修复和加固。节假日、重大会议期间和特殊时期</w:t>
            </w:r>
            <w:r>
              <w:rPr>
                <w:rFonts w:hint="eastAsia"/>
                <w:color w:val="000000" w:themeColor="text1"/>
                <w:sz w:val="20"/>
              </w:rPr>
              <w:t>前</w:t>
            </w:r>
            <w:r>
              <w:rPr>
                <w:rFonts w:hint="eastAsia"/>
                <w:color w:val="000000" w:themeColor="text1"/>
                <w:sz w:val="20"/>
                <w:lang w:eastAsia="zh-Hans"/>
              </w:rPr>
              <w:t>进行；</w:t>
            </w:r>
          </w:p>
          <w:p>
            <w:pPr>
              <w:ind w:left="420"/>
              <w:jc w:val="both"/>
              <w:rPr>
                <w:color w:val="000000" w:themeColor="text1"/>
                <w:sz w:val="20"/>
              </w:rPr>
            </w:pPr>
            <w:r>
              <w:rPr>
                <w:rFonts w:hint="eastAsia"/>
                <w:color w:val="000000" w:themeColor="text1"/>
                <w:sz w:val="20"/>
                <w:lang w:eastAsia="zh-Hans"/>
              </w:rPr>
              <w:t>内容包括</w:t>
            </w:r>
            <w:r>
              <w:rPr>
                <w:rFonts w:hint="eastAsia"/>
                <w:color w:val="000000" w:themeColor="text1"/>
                <w:sz w:val="20"/>
              </w:rPr>
              <w:t>（</w:t>
            </w:r>
            <w:r>
              <w:rPr>
                <w:rFonts w:hint="eastAsia"/>
                <w:color w:val="000000" w:themeColor="text1"/>
                <w:sz w:val="20"/>
                <w:lang w:eastAsia="zh-Hans"/>
              </w:rPr>
              <w:t>分析补丁修复对服务器进程的影响，提供补丁的详细信息，包括补丁的修复建议、修复命令、修复影响，补丁当前版本和修复后版本，并提供各维度的补丁风险特征；风险识别范围应包括：安全补丁、漏洞、弱密码、应用风险、系统风险、账号风险；服务器应用配置缺陷，至少支持：Tomcat、Nginx、Bind、SSH、Apache、Apache2、Redis、httpd等常见应用；弱密码检测，至少包括：Weblogic、Jenkins、Tomcat、OpenLDAP、MySQL、PPTP、VNC、SSH、Redis、vsftpd等</w:t>
            </w:r>
            <w:r>
              <w:rPr>
                <w:rFonts w:hint="eastAsia"/>
                <w:color w:val="000000" w:themeColor="text1"/>
                <w:sz w:val="20"/>
              </w:rPr>
              <w:t>）。</w:t>
            </w:r>
          </w:p>
          <w:p>
            <w:pPr>
              <w:ind w:left="420"/>
              <w:jc w:val="both"/>
              <w:rPr>
                <w:color w:val="000000" w:themeColor="text1"/>
                <w:sz w:val="20"/>
                <w:lang w:eastAsia="zh-Hans"/>
              </w:rPr>
            </w:pPr>
            <w:r>
              <w:rPr>
                <w:rFonts w:hint="eastAsia"/>
                <w:color w:val="000000" w:themeColor="text1"/>
                <w:sz w:val="20"/>
                <w:lang w:eastAsia="zh-Hans"/>
              </w:rPr>
              <w:t>提供相应的报告。</w:t>
            </w:r>
          </w:p>
          <w:p>
            <w:pPr>
              <w:numPr>
                <w:ilvl w:val="0"/>
                <w:numId w:val="5"/>
              </w:numPr>
              <w:jc w:val="both"/>
              <w:rPr>
                <w:b/>
                <w:bCs/>
                <w:color w:val="000000" w:themeColor="text1"/>
                <w:sz w:val="20"/>
                <w:lang w:eastAsia="zh-Hans"/>
              </w:rPr>
            </w:pPr>
            <w:r>
              <w:rPr>
                <w:rFonts w:hint="eastAsia"/>
                <w:b/>
                <w:bCs/>
                <w:color w:val="000000" w:themeColor="text1"/>
                <w:sz w:val="20"/>
                <w:lang w:eastAsia="zh-Hans"/>
              </w:rPr>
              <w:t>入侵行为检测与分析：</w:t>
            </w:r>
          </w:p>
          <w:p>
            <w:pPr>
              <w:ind w:left="420"/>
              <w:jc w:val="both"/>
              <w:rPr>
                <w:color w:val="000000" w:themeColor="text1"/>
                <w:sz w:val="20"/>
                <w:lang w:eastAsia="zh-Hans"/>
              </w:rPr>
            </w:pPr>
            <w:r>
              <w:rPr>
                <w:rFonts w:hint="eastAsia"/>
                <w:color w:val="000000" w:themeColor="text1"/>
                <w:sz w:val="20"/>
                <w:lang w:eastAsia="zh-Hans"/>
              </w:rPr>
              <w:t>设备在保期间对设备的日志和安全事件进行入侵行为检测和分析</w:t>
            </w:r>
            <w:r>
              <w:rPr>
                <w:rFonts w:hint="eastAsia"/>
                <w:color w:val="000000" w:themeColor="text1"/>
                <w:sz w:val="20"/>
              </w:rPr>
              <w:t>。</w:t>
            </w:r>
            <w:r>
              <w:rPr>
                <w:rFonts w:hint="eastAsia"/>
                <w:color w:val="000000" w:themeColor="text1"/>
                <w:sz w:val="20"/>
                <w:lang w:eastAsia="zh-Hans"/>
              </w:rPr>
              <w:t>正常时期每月</w:t>
            </w:r>
            <w:r>
              <w:rPr>
                <w:rFonts w:hint="eastAsia"/>
                <w:color w:val="000000" w:themeColor="text1"/>
                <w:sz w:val="20"/>
              </w:rPr>
              <w:t>1</w:t>
            </w:r>
            <w:r>
              <w:rPr>
                <w:rFonts w:hint="eastAsia"/>
                <w:color w:val="000000" w:themeColor="text1"/>
                <w:sz w:val="20"/>
                <w:lang w:eastAsia="zh-Hans"/>
              </w:rPr>
              <w:t>次，节假日、重大会议期间和特殊时期每天一次；</w:t>
            </w:r>
          </w:p>
          <w:p>
            <w:pPr>
              <w:ind w:left="420"/>
              <w:jc w:val="both"/>
              <w:rPr>
                <w:color w:val="000000" w:themeColor="text1"/>
                <w:sz w:val="20"/>
                <w:lang w:eastAsia="zh-Hans"/>
              </w:rPr>
            </w:pPr>
            <w:r>
              <w:rPr>
                <w:rFonts w:hint="eastAsia"/>
                <w:color w:val="000000" w:themeColor="text1"/>
                <w:sz w:val="20"/>
                <w:lang w:eastAsia="zh-Hans"/>
              </w:rPr>
              <w:t>提供相应的报告。</w:t>
            </w:r>
          </w:p>
          <w:p>
            <w:pPr>
              <w:pStyle w:val="34"/>
              <w:numPr>
                <w:ilvl w:val="0"/>
                <w:numId w:val="4"/>
              </w:numPr>
              <w:ind w:firstLineChars="0"/>
              <w:jc w:val="both"/>
              <w:rPr>
                <w:b/>
                <w:bCs/>
                <w:color w:val="000000" w:themeColor="text1"/>
                <w:sz w:val="20"/>
                <w:lang w:eastAsia="zh-Hans"/>
              </w:rPr>
            </w:pPr>
            <w:r>
              <w:rPr>
                <w:rFonts w:hint="eastAsia"/>
                <w:b/>
                <w:bCs/>
                <w:color w:val="000000" w:themeColor="text1"/>
                <w:sz w:val="20"/>
                <w:lang w:eastAsia="zh-Hans"/>
              </w:rPr>
              <w:t>WEB应用安全架构设计服务：</w:t>
            </w:r>
          </w:p>
          <w:p>
            <w:pPr>
              <w:ind w:firstLine="400" w:firstLineChars="200"/>
              <w:jc w:val="both"/>
              <w:rPr>
                <w:color w:val="000000" w:themeColor="text1"/>
                <w:sz w:val="20"/>
                <w:lang w:eastAsia="zh-Hans"/>
              </w:rPr>
            </w:pPr>
            <w:r>
              <w:rPr>
                <w:color w:val="000000" w:themeColor="text1"/>
                <w:sz w:val="20"/>
              </w:rPr>
              <w:t>设备上架前</w:t>
            </w:r>
            <w:r>
              <w:rPr>
                <w:rFonts w:hint="eastAsia"/>
                <w:color w:val="000000" w:themeColor="text1"/>
                <w:sz w:val="20"/>
                <w:lang w:eastAsia="zh-Hans"/>
              </w:rPr>
              <w:t>提供WEB应用安全架构设计服务，</w:t>
            </w:r>
            <w:r>
              <w:rPr>
                <w:rFonts w:hint="eastAsia"/>
                <w:color w:val="000000" w:themeColor="text1"/>
                <w:sz w:val="20"/>
              </w:rPr>
              <w:t>并</w:t>
            </w:r>
            <w:r>
              <w:rPr>
                <w:rFonts w:hint="eastAsia"/>
                <w:color w:val="000000" w:themeColor="text1"/>
                <w:sz w:val="20"/>
                <w:lang w:eastAsia="zh-Hans"/>
              </w:rPr>
              <w:t>提供</w:t>
            </w:r>
            <w:r>
              <w:rPr>
                <w:rFonts w:hint="eastAsia"/>
                <w:color w:val="000000" w:themeColor="text1"/>
                <w:sz w:val="20"/>
              </w:rPr>
              <w:t>对应</w:t>
            </w:r>
            <w:r>
              <w:rPr>
                <w:rFonts w:hint="eastAsia"/>
                <w:color w:val="000000" w:themeColor="text1"/>
                <w:sz w:val="20"/>
                <w:lang w:eastAsia="zh-Hans"/>
              </w:rPr>
              <w:t>的报告。</w:t>
            </w:r>
          </w:p>
          <w:p>
            <w:pPr>
              <w:jc w:val="both"/>
              <w:rPr>
                <w:color w:val="000000" w:themeColor="text1"/>
                <w:sz w:val="20"/>
              </w:rPr>
            </w:pPr>
          </w:p>
        </w:tc>
        <w:tc>
          <w:tcPr>
            <w:tcW w:w="810" w:type="dxa"/>
            <w:vAlign w:val="center"/>
          </w:tcPr>
          <w:p>
            <w:pPr>
              <w:jc w:val="center"/>
              <w:rPr>
                <w:color w:val="000000" w:themeColor="text1"/>
                <w:szCs w:val="21"/>
              </w:rPr>
            </w:pPr>
          </w:p>
        </w:tc>
      </w:tr>
    </w:tbl>
    <w:p>
      <w:pPr>
        <w:pStyle w:val="34"/>
        <w:spacing w:before="0" w:line="360" w:lineRule="auto"/>
        <w:ind w:left="360" w:firstLine="0"/>
        <w:rPr>
          <w:rFonts w:hint="eastAsia" w:ascii="Times New Roman"/>
          <w:b/>
          <w:bCs/>
          <w:sz w:val="28"/>
          <w:szCs w:val="28"/>
          <w:lang w:val="en-US" w:eastAsia="zh-CN"/>
        </w:rPr>
      </w:pPr>
    </w:p>
    <w:p>
      <w:pPr>
        <w:pStyle w:val="4"/>
        <w:numPr>
          <w:ilvl w:val="1"/>
          <w:numId w:val="0"/>
        </w:numPr>
        <w:jc w:val="center"/>
        <w:rPr>
          <w:b w:val="0"/>
          <w:color w:val="000000" w:themeColor="text1"/>
        </w:rPr>
      </w:pPr>
      <w:r>
        <w:rPr>
          <w:rFonts w:hint="eastAsia"/>
          <w:b w:val="0"/>
          <w:color w:val="000000" w:themeColor="text1"/>
        </w:rPr>
        <w:t>产品质量</w:t>
      </w:r>
      <w:r>
        <w:rPr>
          <w:b w:val="0"/>
          <w:color w:val="000000" w:themeColor="text1"/>
        </w:rPr>
        <w:t>及</w:t>
      </w:r>
      <w:r>
        <w:rPr>
          <w:rFonts w:hint="eastAsia"/>
          <w:b w:val="0"/>
          <w:color w:val="000000" w:themeColor="text1"/>
        </w:rPr>
        <w:t>供应商资质</w:t>
      </w:r>
      <w:r>
        <w:rPr>
          <w:b w:val="0"/>
          <w:color w:val="000000" w:themeColor="text1"/>
        </w:rPr>
        <w:t>要求：</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所投产品必须满足以上技术参数、配置（功能）的关键性要求(带★部分</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质量保证：所投设备是全新的、未使用过的、原包装未拆封的商品，完全符合采购设备规定的质量、规格和性能的要求；</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所投产品应属于2</w:t>
      </w:r>
      <w:r>
        <w:rPr>
          <w:rFonts w:ascii="宋体" w:hAnsi="宋体" w:cs="宋体"/>
          <w:color w:val="000000" w:themeColor="text1"/>
          <w:kern w:val="0"/>
          <w:sz w:val="18"/>
          <w:szCs w:val="18"/>
        </w:rPr>
        <w:t>021年IDC发布的</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中国Web应用防火墙（硬件）市场份额，2021：技术融合，多形态发展》排名前五内</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并提供证明</w:t>
      </w:r>
      <w:r>
        <w:rPr>
          <w:rFonts w:hint="eastAsia" w:ascii="宋体" w:hAnsi="宋体" w:cs="宋体"/>
          <w:color w:val="000000" w:themeColor="text1"/>
          <w:kern w:val="0"/>
          <w:sz w:val="18"/>
          <w:szCs w:val="18"/>
        </w:rPr>
        <w:t>。</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投标人所投产品需要具备产品生产厂家针对本项目的销售授权书及售后服务承诺函；</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具有良好的商业信誉和健全的财务会计制度；</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具有履行合同所必须的设备和专业技术能力</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有依法缴纳税收和社会保障资金的良好记录；</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参加招投标活动前三年内,在经营活动中没有重大违法记录；</w:t>
      </w:r>
    </w:p>
    <w:p>
      <w:pPr>
        <w:widowControl/>
        <w:numPr>
          <w:ilvl w:val="0"/>
          <w:numId w:val="6"/>
        </w:numPr>
        <w:shd w:val="clear" w:color="auto" w:fill="F7FAFF"/>
        <w:spacing w:line="300" w:lineRule="atLeas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w:t>
      </w:r>
      <w:r>
        <w:rPr>
          <w:rFonts w:ascii="宋体" w:hAnsi="宋体" w:cs="宋体"/>
          <w:color w:val="000000" w:themeColor="text1"/>
          <w:kern w:val="0"/>
          <w:sz w:val="18"/>
          <w:szCs w:val="18"/>
        </w:rPr>
        <w:t>需满足</w:t>
      </w:r>
      <w:r>
        <w:rPr>
          <w:rFonts w:hint="eastAsia" w:ascii="宋体" w:hAnsi="宋体" w:cs="宋体"/>
          <w:color w:val="000000" w:themeColor="text1"/>
          <w:kern w:val="0"/>
          <w:sz w:val="18"/>
          <w:szCs w:val="18"/>
        </w:rPr>
        <w:t>在中华人民共和国境内注册、具有独立承担民事责任能力的企业法人营业执照经营范围符合采购项目要求</w:t>
      </w:r>
      <w:r>
        <w:rPr>
          <w:rFonts w:hint="eastAsia"/>
          <w:color w:val="000000" w:themeColor="text1"/>
        </w:rPr>
        <w:t>；</w:t>
      </w:r>
    </w:p>
    <w:p>
      <w:pPr>
        <w:widowControl/>
        <w:shd w:val="clear" w:color="auto" w:fill="F7FAFF"/>
        <w:autoSpaceDE/>
        <w:autoSpaceDN/>
        <w:spacing w:line="300" w:lineRule="atLeast"/>
        <w:ind w:left="692" w:leftChars="192" w:hanging="270" w:hangingChars="150"/>
        <w:rPr>
          <w:color w:val="000000"/>
          <w:sz w:val="21"/>
          <w:szCs w:val="21"/>
          <w:lang w:eastAsia="zh-CN"/>
        </w:rPr>
      </w:pPr>
      <w:r>
        <w:rPr>
          <w:rFonts w:hint="eastAsia" w:ascii="宋体" w:hAnsi="宋体" w:cs="宋体"/>
          <w:color w:val="000000" w:themeColor="text1"/>
          <w:kern w:val="0"/>
          <w:sz w:val="18"/>
          <w:szCs w:val="18"/>
        </w:rPr>
        <w:t>投标人应遵守有关的国家法律、法令和条例；</w:t>
      </w:r>
    </w:p>
    <w:p>
      <w:pPr>
        <w:pStyle w:val="34"/>
        <w:spacing w:before="0" w:line="360" w:lineRule="auto"/>
        <w:ind w:left="360" w:firstLine="0"/>
        <w:rPr>
          <w:rFonts w:ascii="Times New Roman"/>
          <w:bCs/>
          <w:sz w:val="24"/>
          <w:szCs w:val="24"/>
          <w:lang w:eastAsia="zh-CN"/>
        </w:rPr>
      </w:pPr>
    </w:p>
    <w:sectPr>
      <w:footerReference r:id="rId4"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auto"/>
    <w:pitch w:val="default"/>
    <w:sig w:usb0="00000000" w:usb1="00000000" w:usb2="00000010" w:usb3="00000000" w:csb0="00040000"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8"/>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659FC"/>
    <w:multiLevelType w:val="multilevel"/>
    <w:tmpl w:val="204659F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4">
    <w:nsid w:val="5B853D01"/>
    <w:multiLevelType w:val="multilevel"/>
    <w:tmpl w:val="5B853D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6F68A2"/>
    <w:multiLevelType w:val="singleLevel"/>
    <w:tmpl w:val="636F68A2"/>
    <w:lvl w:ilvl="0" w:tentative="0">
      <w:start w:val="1"/>
      <w:numFmt w:val="decimal"/>
      <w:lvlText w:val="（%1）"/>
      <w:lvlJc w:val="left"/>
      <w:pPr>
        <w:ind w:left="420" w:hanging="420"/>
      </w:pPr>
      <w:rPr>
        <w:rFonts w:asciiTheme="minorHAnsi" w:hAnsiTheme="minorHAnsi" w:eastAsiaTheme="minorEastAsia" w:cstheme="minorBidi"/>
      </w:rPr>
    </w:lvl>
  </w:abstractNum>
  <w:abstractNum w:abstractNumId="6">
    <w:nsid w:val="63884960"/>
    <w:multiLevelType w:val="singleLevel"/>
    <w:tmpl w:val="63884960"/>
    <w:lvl w:ilvl="0" w:tentative="0">
      <w:start w:val="12"/>
      <w:numFmt w:val="decimal"/>
      <w:suff w:val="nothing"/>
      <w:lvlText w:val="%1、"/>
      <w:lvlJc w:val="left"/>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CD0"/>
    <w:rsid w:val="00006300"/>
    <w:rsid w:val="000160E4"/>
    <w:rsid w:val="000162E8"/>
    <w:rsid w:val="000202CA"/>
    <w:rsid w:val="00023EC0"/>
    <w:rsid w:val="000324A5"/>
    <w:rsid w:val="00032CC7"/>
    <w:rsid w:val="00033C26"/>
    <w:rsid w:val="00046CE9"/>
    <w:rsid w:val="000507D3"/>
    <w:rsid w:val="000566C1"/>
    <w:rsid w:val="000574D8"/>
    <w:rsid w:val="00057B80"/>
    <w:rsid w:val="00061920"/>
    <w:rsid w:val="00076167"/>
    <w:rsid w:val="00077A12"/>
    <w:rsid w:val="00083E6F"/>
    <w:rsid w:val="000A3EC0"/>
    <w:rsid w:val="000B32D4"/>
    <w:rsid w:val="000C5DCC"/>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45"/>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5CC3"/>
    <w:rsid w:val="00240817"/>
    <w:rsid w:val="002432A4"/>
    <w:rsid w:val="00255354"/>
    <w:rsid w:val="00261F6C"/>
    <w:rsid w:val="00262FE0"/>
    <w:rsid w:val="00272C67"/>
    <w:rsid w:val="0028289E"/>
    <w:rsid w:val="002A0C8B"/>
    <w:rsid w:val="002B0A06"/>
    <w:rsid w:val="002C18CA"/>
    <w:rsid w:val="002C2BBC"/>
    <w:rsid w:val="002D2646"/>
    <w:rsid w:val="002E1E41"/>
    <w:rsid w:val="002E210C"/>
    <w:rsid w:val="002E7B18"/>
    <w:rsid w:val="002F0FE0"/>
    <w:rsid w:val="002F6261"/>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E7DAE"/>
    <w:rsid w:val="003F1FAC"/>
    <w:rsid w:val="00401F63"/>
    <w:rsid w:val="0040417A"/>
    <w:rsid w:val="0040778F"/>
    <w:rsid w:val="004109E6"/>
    <w:rsid w:val="0041690E"/>
    <w:rsid w:val="00417B06"/>
    <w:rsid w:val="00456A83"/>
    <w:rsid w:val="00457C17"/>
    <w:rsid w:val="004624AD"/>
    <w:rsid w:val="0046424B"/>
    <w:rsid w:val="004646E5"/>
    <w:rsid w:val="0047282D"/>
    <w:rsid w:val="0047550A"/>
    <w:rsid w:val="00475ACD"/>
    <w:rsid w:val="004761E7"/>
    <w:rsid w:val="004763B4"/>
    <w:rsid w:val="00480447"/>
    <w:rsid w:val="00480FC3"/>
    <w:rsid w:val="004835AF"/>
    <w:rsid w:val="0048745A"/>
    <w:rsid w:val="004919EE"/>
    <w:rsid w:val="004D0BAC"/>
    <w:rsid w:val="004D16FD"/>
    <w:rsid w:val="004E0E75"/>
    <w:rsid w:val="004F6F78"/>
    <w:rsid w:val="00500194"/>
    <w:rsid w:val="00517DCA"/>
    <w:rsid w:val="00520B04"/>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1BDD"/>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55F"/>
    <w:rsid w:val="006E572C"/>
    <w:rsid w:val="006E61B5"/>
    <w:rsid w:val="006E62DE"/>
    <w:rsid w:val="006E765E"/>
    <w:rsid w:val="006F4E9D"/>
    <w:rsid w:val="00701934"/>
    <w:rsid w:val="00703FAF"/>
    <w:rsid w:val="00714F36"/>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C6A6C"/>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1281B"/>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B7AA8"/>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328AC"/>
    <w:rsid w:val="00B44FC3"/>
    <w:rsid w:val="00B67632"/>
    <w:rsid w:val="00B705AE"/>
    <w:rsid w:val="00B71ECE"/>
    <w:rsid w:val="00B727BC"/>
    <w:rsid w:val="00B73A92"/>
    <w:rsid w:val="00B75E16"/>
    <w:rsid w:val="00B75EC9"/>
    <w:rsid w:val="00B777E1"/>
    <w:rsid w:val="00B826B4"/>
    <w:rsid w:val="00B841C5"/>
    <w:rsid w:val="00B90394"/>
    <w:rsid w:val="00B92675"/>
    <w:rsid w:val="00B93FAE"/>
    <w:rsid w:val="00B966DA"/>
    <w:rsid w:val="00BA03F2"/>
    <w:rsid w:val="00BA29FE"/>
    <w:rsid w:val="00BB01F8"/>
    <w:rsid w:val="00BB500B"/>
    <w:rsid w:val="00BC5696"/>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DF7B31"/>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A69B4"/>
    <w:rsid w:val="00FB3167"/>
    <w:rsid w:val="00FC0F19"/>
    <w:rsid w:val="00FD2D2E"/>
    <w:rsid w:val="00FE30FE"/>
    <w:rsid w:val="00FE3FD9"/>
    <w:rsid w:val="00FE63CC"/>
    <w:rsid w:val="00FE775B"/>
    <w:rsid w:val="00FF618B"/>
    <w:rsid w:val="00FF7A44"/>
    <w:rsid w:val="01F934CB"/>
    <w:rsid w:val="0367315B"/>
    <w:rsid w:val="040119C3"/>
    <w:rsid w:val="04B6621D"/>
    <w:rsid w:val="061139E5"/>
    <w:rsid w:val="06F50B00"/>
    <w:rsid w:val="076E1278"/>
    <w:rsid w:val="08D1141D"/>
    <w:rsid w:val="0939714C"/>
    <w:rsid w:val="095E771F"/>
    <w:rsid w:val="0B296DE2"/>
    <w:rsid w:val="0EAB3FAD"/>
    <w:rsid w:val="10294AA3"/>
    <w:rsid w:val="10D40E2D"/>
    <w:rsid w:val="10E40CA0"/>
    <w:rsid w:val="136130D9"/>
    <w:rsid w:val="149F3F27"/>
    <w:rsid w:val="16E82AE1"/>
    <w:rsid w:val="18453FB2"/>
    <w:rsid w:val="18D80854"/>
    <w:rsid w:val="18DD4F7E"/>
    <w:rsid w:val="195B58A2"/>
    <w:rsid w:val="19CF1710"/>
    <w:rsid w:val="1E085A14"/>
    <w:rsid w:val="1FF43DDB"/>
    <w:rsid w:val="209E4C59"/>
    <w:rsid w:val="21933AA2"/>
    <w:rsid w:val="237A57E8"/>
    <w:rsid w:val="25BF356F"/>
    <w:rsid w:val="25DB0C2D"/>
    <w:rsid w:val="269469E7"/>
    <w:rsid w:val="27D86A03"/>
    <w:rsid w:val="29FC3B14"/>
    <w:rsid w:val="2B11792E"/>
    <w:rsid w:val="2C8132A1"/>
    <w:rsid w:val="2FE53ECC"/>
    <w:rsid w:val="308B5084"/>
    <w:rsid w:val="31C54755"/>
    <w:rsid w:val="3216608C"/>
    <w:rsid w:val="32847634"/>
    <w:rsid w:val="34CE14C6"/>
    <w:rsid w:val="34D84CEC"/>
    <w:rsid w:val="37AF5AB7"/>
    <w:rsid w:val="38DB52D0"/>
    <w:rsid w:val="3B1C3371"/>
    <w:rsid w:val="3C7739BE"/>
    <w:rsid w:val="3CC23198"/>
    <w:rsid w:val="3DDF4815"/>
    <w:rsid w:val="3E2848EB"/>
    <w:rsid w:val="3F76696D"/>
    <w:rsid w:val="3F89670C"/>
    <w:rsid w:val="3FE669E5"/>
    <w:rsid w:val="40E6608D"/>
    <w:rsid w:val="46B215E9"/>
    <w:rsid w:val="47D36F05"/>
    <w:rsid w:val="4AD50A98"/>
    <w:rsid w:val="50F63E28"/>
    <w:rsid w:val="5221007F"/>
    <w:rsid w:val="52926B5A"/>
    <w:rsid w:val="54352472"/>
    <w:rsid w:val="545C5E51"/>
    <w:rsid w:val="5486175B"/>
    <w:rsid w:val="57667D24"/>
    <w:rsid w:val="57CE5BC3"/>
    <w:rsid w:val="5908319B"/>
    <w:rsid w:val="594633C1"/>
    <w:rsid w:val="5AE1516A"/>
    <w:rsid w:val="5B6A3A79"/>
    <w:rsid w:val="5BB51DC5"/>
    <w:rsid w:val="5C1A5F7B"/>
    <w:rsid w:val="5D604AFB"/>
    <w:rsid w:val="645771F8"/>
    <w:rsid w:val="678E5D7F"/>
    <w:rsid w:val="6A54112D"/>
    <w:rsid w:val="6AA035AE"/>
    <w:rsid w:val="6E0F2E14"/>
    <w:rsid w:val="6F1E141D"/>
    <w:rsid w:val="6F5354F8"/>
    <w:rsid w:val="725C5F22"/>
    <w:rsid w:val="740A2BDE"/>
    <w:rsid w:val="751839E0"/>
    <w:rsid w:val="76274F93"/>
    <w:rsid w:val="79EB3F2F"/>
    <w:rsid w:val="7B11789E"/>
    <w:rsid w:val="7DC94A0A"/>
    <w:rsid w:val="7FD3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5">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Body Text First Indent"/>
    <w:basedOn w:val="8"/>
    <w:uiPriority w:val="0"/>
    <w:pPr>
      <w:ind w:firstLine="498"/>
    </w:pPr>
    <w:rPr>
      <w:lang w:val="zh-CN"/>
    </w:rPr>
  </w:style>
  <w:style w:type="paragraph" w:styleId="8">
    <w:name w:val="Body Text"/>
    <w:basedOn w:val="1"/>
    <w:link w:val="55"/>
    <w:qFormat/>
    <w:uiPriority w:val="1"/>
    <w:rPr>
      <w:sz w:val="24"/>
      <w:szCs w:val="24"/>
    </w:rPr>
  </w:style>
  <w:style w:type="paragraph" w:styleId="9">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11">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2">
    <w:name w:val="Body Text Indent"/>
    <w:basedOn w:val="1"/>
    <w:link w:val="59"/>
    <w:qFormat/>
    <w:uiPriority w:val="0"/>
    <w:pPr>
      <w:spacing w:after="120"/>
      <w:ind w:left="420" w:leftChars="200"/>
    </w:pPr>
  </w:style>
  <w:style w:type="paragraph" w:styleId="13">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4">
    <w:name w:val="Plain Text"/>
    <w:basedOn w:val="1"/>
    <w:link w:val="51"/>
    <w:qFormat/>
    <w:uiPriority w:val="99"/>
    <w:rPr>
      <w:rFonts w:hAnsi="Courier New" w:cs="Courier New"/>
      <w:szCs w:val="21"/>
    </w:rPr>
  </w:style>
  <w:style w:type="paragraph" w:styleId="15">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6">
    <w:name w:val="Body Text Indent 2"/>
    <w:basedOn w:val="1"/>
    <w:link w:val="50"/>
    <w:qFormat/>
    <w:uiPriority w:val="0"/>
    <w:pPr>
      <w:spacing w:after="120" w:line="480" w:lineRule="auto"/>
      <w:ind w:left="420" w:leftChars="200"/>
    </w:pPr>
  </w:style>
  <w:style w:type="paragraph" w:styleId="17">
    <w:name w:val="Balloon Text"/>
    <w:basedOn w:val="1"/>
    <w:link w:val="41"/>
    <w:qFormat/>
    <w:uiPriority w:val="99"/>
    <w:rPr>
      <w:sz w:val="18"/>
      <w:szCs w:val="18"/>
    </w:rPr>
  </w:style>
  <w:style w:type="paragraph" w:styleId="18">
    <w:name w:val="footer"/>
    <w:basedOn w:val="1"/>
    <w:link w:val="42"/>
    <w:qFormat/>
    <w:uiPriority w:val="99"/>
    <w:pPr>
      <w:tabs>
        <w:tab w:val="center" w:pos="4153"/>
        <w:tab w:val="right" w:pos="8306"/>
      </w:tabs>
      <w:snapToGrid w:val="0"/>
    </w:pPr>
    <w:rPr>
      <w:sz w:val="18"/>
      <w:szCs w:val="18"/>
    </w:rPr>
  </w:style>
  <w:style w:type="paragraph" w:styleId="19">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1">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2"/>
    <w:basedOn w:val="1"/>
    <w:link w:val="49"/>
    <w:uiPriority w:val="0"/>
    <w:pPr>
      <w:spacing w:after="120" w:line="480" w:lineRule="auto"/>
    </w:p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6">
    <w:name w:val="Strong"/>
    <w:qFormat/>
    <w:uiPriority w:val="99"/>
    <w:rPr>
      <w:b/>
      <w:bCs/>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20"/>
    <w:rPr>
      <w:i/>
      <w:iCs/>
    </w:rPr>
  </w:style>
  <w:style w:type="character" w:styleId="30">
    <w:name w:val="Hyperlink"/>
    <w:basedOn w:val="25"/>
    <w:qFormat/>
    <w:uiPriority w:val="99"/>
    <w:rPr>
      <w:color w:val="0000FF"/>
      <w:u w:val="single"/>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List Paragraph"/>
    <w:basedOn w:val="1"/>
    <w:qFormat/>
    <w:uiPriority w:val="34"/>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5"/>
    <w:link w:val="15"/>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5"/>
    <w:qFormat/>
    <w:uiPriority w:val="0"/>
    <w:rPr>
      <w:color w:val="0000FF"/>
      <w:sz w:val="18"/>
      <w:szCs w:val="18"/>
      <w:u w:val="none"/>
      <w:bdr w:val="single" w:color="DCDCDC" w:sz="8" w:space="0"/>
      <w:shd w:val="clear" w:color="auto" w:fill="FFFFFF"/>
    </w:rPr>
  </w:style>
  <w:style w:type="character" w:customStyle="1" w:styleId="41">
    <w:name w:val="批注框文本 Char"/>
    <w:basedOn w:val="25"/>
    <w:link w:val="17"/>
    <w:qFormat/>
    <w:uiPriority w:val="99"/>
    <w:rPr>
      <w:rFonts w:ascii="宋体" w:hAnsi="宋体" w:cs="宋体"/>
      <w:sz w:val="18"/>
      <w:szCs w:val="18"/>
      <w:lang w:eastAsia="en-US"/>
    </w:rPr>
  </w:style>
  <w:style w:type="character" w:customStyle="1" w:styleId="42">
    <w:name w:val="页脚 Char"/>
    <w:basedOn w:val="25"/>
    <w:link w:val="18"/>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5"/>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5"/>
    <w:link w:val="5"/>
    <w:qFormat/>
    <w:uiPriority w:val="0"/>
    <w:rPr>
      <w:rFonts w:ascii="宋体" w:hAnsi="宋体" w:cs="宋体"/>
      <w:b/>
      <w:bCs/>
      <w:sz w:val="32"/>
      <w:szCs w:val="32"/>
      <w:lang w:eastAsia="en-US"/>
    </w:rPr>
  </w:style>
  <w:style w:type="character" w:customStyle="1" w:styleId="47">
    <w:name w:val="批注文字 Char"/>
    <w:basedOn w:val="25"/>
    <w:link w:val="11"/>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5"/>
    <w:link w:val="23"/>
    <w:qFormat/>
    <w:uiPriority w:val="0"/>
    <w:rPr>
      <w:rFonts w:ascii="宋体" w:hAnsi="宋体" w:cs="宋体"/>
      <w:sz w:val="22"/>
      <w:szCs w:val="22"/>
      <w:lang w:eastAsia="en-US"/>
    </w:rPr>
  </w:style>
  <w:style w:type="character" w:customStyle="1" w:styleId="50">
    <w:name w:val="正文文本缩进 2 Char"/>
    <w:basedOn w:val="25"/>
    <w:link w:val="16"/>
    <w:qFormat/>
    <w:uiPriority w:val="0"/>
    <w:rPr>
      <w:rFonts w:ascii="宋体" w:hAnsi="宋体" w:cs="宋体"/>
      <w:sz w:val="22"/>
      <w:szCs w:val="22"/>
      <w:lang w:eastAsia="en-US"/>
    </w:rPr>
  </w:style>
  <w:style w:type="character" w:customStyle="1" w:styleId="51">
    <w:name w:val="纯文本 Char1"/>
    <w:basedOn w:val="25"/>
    <w:link w:val="14"/>
    <w:qFormat/>
    <w:uiPriority w:val="99"/>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5"/>
    <w:link w:val="4"/>
    <w:qFormat/>
    <w:uiPriority w:val="9"/>
    <w:rPr>
      <w:rFonts w:ascii="宋体" w:hAnsi="宋体" w:cs="宋体"/>
      <w:b/>
      <w:bCs/>
      <w:sz w:val="24"/>
      <w:szCs w:val="24"/>
      <w:lang w:eastAsia="en-US"/>
    </w:rPr>
  </w:style>
  <w:style w:type="character" w:customStyle="1" w:styleId="54">
    <w:name w:val="正文缩进 Char"/>
    <w:link w:val="9"/>
    <w:qFormat/>
    <w:uiPriority w:val="0"/>
    <w:rPr>
      <w:sz w:val="24"/>
    </w:rPr>
  </w:style>
  <w:style w:type="character" w:customStyle="1" w:styleId="55">
    <w:name w:val="正文文本 Char"/>
    <w:basedOn w:val="25"/>
    <w:link w:val="8"/>
    <w:qFormat/>
    <w:uiPriority w:val="0"/>
    <w:rPr>
      <w:rFonts w:ascii="宋体" w:hAnsi="宋体" w:cs="宋体"/>
      <w:sz w:val="24"/>
      <w:szCs w:val="24"/>
      <w:lang w:eastAsia="en-US"/>
    </w:rPr>
  </w:style>
  <w:style w:type="character" w:customStyle="1" w:styleId="56">
    <w:name w:val="普通文字 Char2"/>
    <w:basedOn w:val="25"/>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5"/>
    <w:link w:val="2"/>
    <w:qFormat/>
    <w:locked/>
    <w:uiPriority w:val="0"/>
    <w:rPr>
      <w:rFonts w:ascii="宋体" w:hAnsi="Calibri"/>
      <w:sz w:val="34"/>
      <w:szCs w:val="22"/>
    </w:rPr>
  </w:style>
  <w:style w:type="character" w:customStyle="1" w:styleId="59">
    <w:name w:val="正文文本缩进 Char"/>
    <w:basedOn w:val="25"/>
    <w:link w:val="12"/>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5"/>
    <w:link w:val="6"/>
    <w:qFormat/>
    <w:uiPriority w:val="99"/>
    <w:rPr>
      <w:rFonts w:ascii="Arial" w:hAnsi="Arial" w:eastAsia="黑体"/>
      <w:b/>
      <w:bCs/>
      <w:kern w:val="2"/>
      <w:sz w:val="28"/>
      <w:szCs w:val="28"/>
    </w:rPr>
  </w:style>
  <w:style w:type="character" w:customStyle="1" w:styleId="62">
    <w:name w:val="文档结构图 Char"/>
    <w:basedOn w:val="25"/>
    <w:link w:val="10"/>
    <w:qFormat/>
    <w:uiPriority w:val="99"/>
    <w:rPr>
      <w:rFonts w:ascii="宋体"/>
      <w:kern w:val="2"/>
      <w:sz w:val="18"/>
      <w:szCs w:val="18"/>
    </w:rPr>
  </w:style>
  <w:style w:type="character" w:customStyle="1" w:styleId="63">
    <w:name w:val="副标题 Char"/>
    <w:basedOn w:val="25"/>
    <w:link w:val="21"/>
    <w:qFormat/>
    <w:uiPriority w:val="99"/>
    <w:rPr>
      <w:rFonts w:ascii="Cambria" w:hAnsi="Cambria"/>
      <w:b/>
      <w:bCs/>
      <w:kern w:val="28"/>
      <w:sz w:val="32"/>
      <w:szCs w:val="32"/>
    </w:rPr>
  </w:style>
  <w:style w:type="character" w:customStyle="1" w:styleId="64">
    <w:name w:val="标题 Char"/>
    <w:basedOn w:val="25"/>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5"/>
    <w:link w:val="19"/>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7F427-28D0-457F-8620-E928F298C71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3413</Words>
  <Characters>19455</Characters>
  <Lines>162</Lines>
  <Paragraphs>45</Paragraphs>
  <TotalTime>1</TotalTime>
  <ScaleCrop>false</ScaleCrop>
  <LinksUpToDate>false</LinksUpToDate>
  <CharactersWithSpaces>22823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2021-12-02T06:38:00Z</dcterms:created>
  <dc:creator>CGC</dc:creator>
  <cp:lastModifiedBy>333</cp:lastModifiedBy>
  <dcterms:modified xsi:type="dcterms:W3CDTF">2022-12-02T06:13:35Z</dcterms:modified>
  <dc:title>公开招标文件（货物服务类）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