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r>
        <w:rPr>
          <w:rFonts w:hint="eastAsia" w:ascii="宋体" w:hAnsi="宋体"/>
          <w:b/>
          <w:color w:val="000000"/>
          <w:sz w:val="24"/>
          <w:lang w:eastAsia="zh-CN"/>
        </w:rPr>
        <w:t>）</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合同编号：FHC-TLFT-202</w:t>
      </w:r>
      <w:r>
        <w:rPr>
          <w:rFonts w:hint="eastAsia" w:ascii="宋体" w:hAnsi="宋体"/>
          <w:color w:val="000000"/>
          <w:sz w:val="18"/>
          <w:szCs w:val="18"/>
          <w:lang w:val="en-US" w:eastAsia="zh-CN"/>
        </w:rPr>
        <w:t>3</w:t>
      </w:r>
      <w:r>
        <w:rPr>
          <w:rFonts w:hint="eastAsia" w:ascii="宋体" w:hAnsi="宋体"/>
          <w:color w:val="000000"/>
          <w:sz w:val="18"/>
          <w:szCs w:val="18"/>
        </w:rPr>
        <w:t>-CG-CLSN-</w:t>
      </w:r>
      <w:r>
        <w:rPr>
          <w:rFonts w:hint="eastAsia" w:ascii="宋体" w:hAnsi="宋体"/>
          <w:color w:val="000000"/>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宋体" w:hAnsi="宋体"/>
          <w:b/>
          <w:color w:val="000000"/>
          <w:szCs w:val="21"/>
          <w:lang w:val="en-US" w:eastAsia="zh-CN"/>
        </w:rPr>
        <w:t>***</w:t>
      </w:r>
      <w:r>
        <w:rPr>
          <w:rFonts w:hint="eastAsia" w:ascii="宋体" w:hAnsi="宋体"/>
          <w:b/>
          <w:color w:val="000000"/>
          <w:szCs w:val="21"/>
        </w:rPr>
        <w:t>有限公司</w:t>
      </w:r>
      <w:r>
        <w:rPr>
          <w:rFonts w:hint="eastAsia" w:ascii="宋体" w:hAnsi="宋体" w:cs="宋体"/>
          <w:b/>
          <w:bCs/>
        </w:rPr>
        <w:t xml:space="preserve"> </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b/>
          <w:color w:val="000000"/>
          <w:szCs w:val="21"/>
        </w:rPr>
        <w:t>腾龙芳烃（漳州）有限公司</w:t>
      </w:r>
      <w:r>
        <w:rPr>
          <w:rFonts w:hint="eastAsia" w:ascii="宋体" w:hAnsi="宋体"/>
          <w:b/>
          <w:szCs w:val="21"/>
        </w:rPr>
        <w:t xml:space="preserve"> </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《中华人民共和国民法典》</w:t>
      </w:r>
      <w:r>
        <w:rPr>
          <w:rFonts w:hint="eastAsia" w:ascii="宋体" w:hAnsi="宋体"/>
          <w:szCs w:val="21"/>
        </w:rPr>
        <w:t>及相关法律法规，本着平等互利、诚信合作的原则，于</w:t>
      </w:r>
      <w:r>
        <w:rPr>
          <w:rFonts w:hint="eastAsia" w:ascii="宋体" w:hAnsi="宋体"/>
          <w:szCs w:val="21"/>
          <w:u w:val="single"/>
        </w:rPr>
        <w:t xml:space="preserve"> 2022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1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626"/>
        <w:gridCol w:w="1432"/>
        <w:gridCol w:w="1091"/>
        <w:gridCol w:w="657"/>
        <w:gridCol w:w="1848"/>
        <w:gridCol w:w="130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3" w:type="dxa"/>
            <w:vAlign w:val="center"/>
          </w:tcPr>
          <w:p>
            <w:pPr>
              <w:spacing w:line="280" w:lineRule="exact"/>
              <w:jc w:val="center"/>
              <w:rPr>
                <w:rFonts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1626" w:type="dxa"/>
            <w:vAlign w:val="center"/>
          </w:tcPr>
          <w:p>
            <w:pPr>
              <w:spacing w:line="280" w:lineRule="exact"/>
              <w:jc w:val="center"/>
              <w:rPr>
                <w:rFonts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1432"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1091"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657"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848"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含税单价（13%）</w:t>
            </w:r>
          </w:p>
          <w:p>
            <w:pPr>
              <w:spacing w:line="280" w:lineRule="exact"/>
              <w:jc w:val="center"/>
              <w:rPr>
                <w:rFonts w:ascii="宋体" w:hAnsi="宋体"/>
                <w:color w:val="000000"/>
                <w:szCs w:val="21"/>
              </w:rPr>
            </w:pPr>
            <w:r>
              <w:rPr>
                <w:rFonts w:hint="eastAsia" w:ascii="宋体" w:hAnsi="宋体"/>
                <w:color w:val="000000"/>
                <w:szCs w:val="21"/>
              </w:rPr>
              <w:t>（元/吨）</w:t>
            </w:r>
          </w:p>
        </w:tc>
        <w:tc>
          <w:tcPr>
            <w:tcW w:w="1306" w:type="dxa"/>
            <w:vAlign w:val="center"/>
          </w:tcPr>
          <w:p>
            <w:pPr>
              <w:spacing w:line="280" w:lineRule="exact"/>
              <w:jc w:val="center"/>
              <w:rPr>
                <w:rFonts w:ascii="宋体" w:hAnsi="宋体"/>
                <w:color w:val="000000"/>
                <w:szCs w:val="21"/>
              </w:rPr>
            </w:pPr>
            <w:r>
              <w:rPr>
                <w:rFonts w:hint="eastAsia" w:ascii="宋体" w:hAnsi="宋体"/>
                <w:color w:val="000000"/>
                <w:szCs w:val="21"/>
              </w:rPr>
              <w:t>含税总金额</w:t>
            </w:r>
          </w:p>
          <w:p>
            <w:pPr>
              <w:spacing w:line="280" w:lineRule="exact"/>
              <w:jc w:val="center"/>
              <w:rPr>
                <w:rFonts w:ascii="宋体" w:hAnsi="宋体"/>
                <w:color w:val="000000"/>
                <w:szCs w:val="21"/>
              </w:rPr>
            </w:pPr>
            <w:r>
              <w:rPr>
                <w:rFonts w:hint="eastAsia" w:ascii="宋体" w:hAnsi="宋体"/>
                <w:color w:val="000000"/>
                <w:szCs w:val="21"/>
              </w:rPr>
              <w:t>13%（元）</w:t>
            </w:r>
          </w:p>
        </w:tc>
        <w:tc>
          <w:tcPr>
            <w:tcW w:w="661"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393"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次氯酸钠</w:t>
            </w:r>
          </w:p>
        </w:tc>
        <w:tc>
          <w:tcPr>
            <w:tcW w:w="1626" w:type="dxa"/>
            <w:vAlign w:val="center"/>
          </w:tcPr>
          <w:p>
            <w:pPr>
              <w:spacing w:line="280" w:lineRule="exact"/>
              <w:jc w:val="center"/>
              <w:rPr>
                <w:rFonts w:ascii="宋体" w:hAnsi="宋体"/>
                <w:color w:val="000000"/>
                <w:sz w:val="18"/>
                <w:szCs w:val="18"/>
              </w:rPr>
            </w:pPr>
            <w:r>
              <w:rPr>
                <w:rFonts w:ascii="宋体" w:hAnsi="宋体" w:cs="宋体"/>
                <w:color w:val="000000"/>
                <w:szCs w:val="21"/>
              </w:rPr>
              <w:t>/</w:t>
            </w:r>
          </w:p>
        </w:tc>
        <w:tc>
          <w:tcPr>
            <w:tcW w:w="143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10%，详见附件</w:t>
            </w:r>
          </w:p>
        </w:tc>
        <w:tc>
          <w:tcPr>
            <w:tcW w:w="1091" w:type="dxa"/>
            <w:vAlign w:val="center"/>
          </w:tcPr>
          <w:p>
            <w:pPr>
              <w:spacing w:line="280" w:lineRule="exact"/>
              <w:jc w:val="center"/>
              <w:rPr>
                <w:rFonts w:ascii="宋体" w:hAnsi="宋体"/>
                <w:color w:val="000000"/>
                <w:sz w:val="18"/>
                <w:szCs w:val="18"/>
              </w:rPr>
            </w:pPr>
            <w:r>
              <w:rPr>
                <w:rFonts w:hint="eastAsia" w:ascii="宋体" w:hAnsi="宋体" w:cs="宋体"/>
                <w:color w:val="000000"/>
                <w:szCs w:val="21"/>
              </w:rPr>
              <w:t>吨</w:t>
            </w:r>
          </w:p>
        </w:tc>
        <w:tc>
          <w:tcPr>
            <w:tcW w:w="657"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48</w:t>
            </w:r>
            <w:r>
              <w:rPr>
                <w:rFonts w:hint="eastAsia" w:ascii="宋体" w:hAnsi="宋体"/>
                <w:color w:val="000000"/>
                <w:sz w:val="18"/>
                <w:szCs w:val="18"/>
              </w:rPr>
              <w:t>0</w:t>
            </w:r>
          </w:p>
        </w:tc>
        <w:tc>
          <w:tcPr>
            <w:tcW w:w="1848"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1306"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lang w:val="en-US" w:eastAsia="zh-CN"/>
              </w:rPr>
              <w:t>***</w:t>
            </w:r>
          </w:p>
        </w:tc>
        <w:tc>
          <w:tcPr>
            <w:tcW w:w="661" w:type="dxa"/>
            <w:vAlign w:val="center"/>
          </w:tcPr>
          <w:p>
            <w:pPr>
              <w:spacing w:line="2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019" w:type="dxa"/>
            <w:gridSpan w:val="2"/>
            <w:vAlign w:val="center"/>
          </w:tcPr>
          <w:p>
            <w:pPr>
              <w:spacing w:line="280" w:lineRule="exact"/>
              <w:rPr>
                <w:rFonts w:ascii="宋体" w:hAnsi="宋体"/>
                <w:color w:val="000000"/>
                <w:szCs w:val="21"/>
              </w:rPr>
            </w:pPr>
            <w:r>
              <w:rPr>
                <w:rFonts w:hint="eastAsia" w:ascii="宋体" w:hAnsi="宋体"/>
                <w:color w:val="000000"/>
                <w:szCs w:val="21"/>
              </w:rPr>
              <w:t xml:space="preserve">合计人民币含税（13%）金额（大写）：                   </w:t>
            </w:r>
          </w:p>
        </w:tc>
        <w:tc>
          <w:tcPr>
            <w:tcW w:w="6995" w:type="dxa"/>
            <w:gridSpan w:val="6"/>
            <w:shd w:val="clear" w:color="auto" w:fill="auto"/>
            <w:vAlign w:val="center"/>
          </w:tcPr>
          <w:p>
            <w:pPr>
              <w:widowControl/>
            </w:pPr>
            <w:r>
              <w:rPr>
                <w:rFonts w:hint="eastAsia" w:ascii="宋体" w:hAnsi="宋体"/>
                <w:color w:val="000000"/>
                <w:sz w:val="18"/>
                <w:szCs w:val="18"/>
                <w:lang w:val="en-US" w:eastAsia="zh-CN"/>
              </w:rPr>
              <w:t>***</w:t>
            </w:r>
            <w:r>
              <w:rPr>
                <w:rFonts w:hint="eastAsia"/>
              </w:rPr>
              <w:t>元整</w:t>
            </w: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w:t>
      </w:r>
      <w:r>
        <w:rPr>
          <w:rFonts w:hint="eastAsia" w:ascii="宋体" w:hAnsi="宋体"/>
          <w:color w:val="000000"/>
          <w:szCs w:val="21"/>
          <w:u w:val="single"/>
        </w:rPr>
        <w:t xml:space="preserve">1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3</w:t>
      </w:r>
      <w:r>
        <w:rPr>
          <w:rFonts w:hint="eastAsia" w:ascii="宋体" w:hAnsi="宋体"/>
          <w:color w:val="000000"/>
          <w:szCs w:val="21"/>
          <w:u w:val="single"/>
          <w:lang w:val="en-US" w:eastAsia="zh-CN"/>
        </w:rPr>
        <w:t>0</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供方需提供所供产品质量检验证明，以需方指定单位验收为准，如化验不合格，需方有权</w:t>
      </w:r>
      <w:r>
        <w:rPr>
          <w:rFonts w:hint="eastAsia" w:ascii="宋体" w:hAnsi="宋体"/>
          <w:color w:val="000000"/>
          <w:szCs w:val="21"/>
          <w:u w:val="single"/>
        </w:rPr>
        <w:t xml:space="preserve">退换货，退换货所需的各项费用由供方承担。 </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 xml:space="preserve"> 3、散装：</w:t>
      </w:r>
      <w:r>
        <w:rPr>
          <w:rFonts w:hint="eastAsia" w:ascii="宋体" w:hAnsi="宋体"/>
          <w:color w:val="000000"/>
          <w:szCs w:val="21"/>
          <w:u w:val="single"/>
        </w:rPr>
        <w:t xml:space="preserve">  槽车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根据本合同约定的质量、数量标准验收合格后，供方提供相应金额的13%增值税专用发票以及结算所需的各类清单，需方收到并确认无误后向供方支付货款（分批验收，分批付款）。实际结算数量范围为订单约定数量的±5%。</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福建福海创石油化工有限公司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cs="宋体"/>
                <w:b/>
                <w:bCs/>
                <w:color w:val="000000"/>
              </w:rPr>
              <w:t>供方（章）</w:t>
            </w:r>
            <w:r>
              <w:rPr>
                <w:rFonts w:ascii="宋体" w:hAnsi="宋体" w:cs="宋体"/>
                <w:b/>
                <w:bCs/>
                <w:color w:val="000000"/>
              </w:rPr>
              <w:t>:</w:t>
            </w:r>
          </w:p>
        </w:tc>
        <w:tc>
          <w:tcPr>
            <w:tcW w:w="3883" w:type="dxa"/>
            <w:gridSpan w:val="2"/>
            <w:shd w:val="clear" w:color="auto" w:fill="auto"/>
            <w:vAlign w:val="center"/>
          </w:tcPr>
          <w:p>
            <w:pPr>
              <w:spacing w:line="280" w:lineRule="exact"/>
              <w:rPr>
                <w:b/>
                <w:color w:val="000000"/>
                <w:szCs w:val="21"/>
              </w:rPr>
            </w:pPr>
            <w:r>
              <w:rPr>
                <w:rFonts w:hint="eastAsia" w:ascii="宋体" w:hAnsi="宋体"/>
                <w:color w:val="000000"/>
                <w:sz w:val="18"/>
                <w:szCs w:val="18"/>
                <w:lang w:val="en-US" w:eastAsia="zh-CN"/>
              </w:rPr>
              <w:t>***</w:t>
            </w:r>
            <w:r>
              <w:rPr>
                <w:rFonts w:hint="eastAsia" w:ascii="宋体" w:hAnsi="宋体"/>
                <w:b/>
                <w:color w:val="000000"/>
                <w:szCs w:val="21"/>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b/>
                <w:color w:val="000000"/>
                <w:szCs w:val="21"/>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color w:val="000000"/>
                <w:szCs w:val="21"/>
              </w:rPr>
            </w:pPr>
            <w:r>
              <w:rPr>
                <w:rFonts w:hint="eastAsia" w:ascii="宋体" w:hAnsi="宋体"/>
                <w:color w:val="000000"/>
              </w:rPr>
              <w:t>工商注册号：</w:t>
            </w:r>
          </w:p>
        </w:tc>
        <w:tc>
          <w:tcPr>
            <w:tcW w:w="3883" w:type="dxa"/>
            <w:gridSpan w:val="2"/>
            <w:shd w:val="clear" w:color="auto" w:fill="auto"/>
            <w:vAlign w:val="center"/>
          </w:tcPr>
          <w:p>
            <w:pPr>
              <w:spacing w:line="280" w:lineRule="exact"/>
              <w:rPr>
                <w:color w:val="000000"/>
                <w:szCs w:val="21"/>
              </w:rPr>
            </w:pPr>
          </w:p>
        </w:tc>
        <w:tc>
          <w:tcPr>
            <w:tcW w:w="1377" w:type="dxa"/>
            <w:gridSpan w:val="4"/>
            <w:shd w:val="clear" w:color="auto" w:fill="auto"/>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shd w:val="clear" w:color="auto" w:fill="auto"/>
            <w:vAlign w:val="center"/>
          </w:tcPr>
          <w:p>
            <w:pPr>
              <w:spacing w:line="280" w:lineRule="exact"/>
              <w:rPr>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地址：</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地址：</w:t>
            </w:r>
          </w:p>
        </w:tc>
        <w:tc>
          <w:tcPr>
            <w:tcW w:w="4510" w:type="dxa"/>
            <w:gridSpan w:val="5"/>
            <w:shd w:val="clear" w:color="auto" w:fill="auto"/>
            <w:vAlign w:val="center"/>
          </w:tcPr>
          <w:p>
            <w:pPr>
              <w:spacing w:line="280" w:lineRule="exact"/>
              <w:rPr>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邮政编码：</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shd w:val="clear" w:color="auto" w:fill="auto"/>
            <w:vAlign w:val="center"/>
          </w:tcPr>
          <w:p>
            <w:pPr>
              <w:spacing w:line="280" w:lineRule="exact"/>
              <w:rPr>
                <w:color w:val="000000"/>
                <w:szCs w:val="21"/>
              </w:rPr>
            </w:pPr>
          </w:p>
        </w:tc>
      </w:tr>
      <w:tr>
        <w:tblPrEx>
          <w:tblLayout w:type="fixed"/>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color w:val="000000"/>
                <w:szCs w:val="21"/>
              </w:rPr>
            </w:pPr>
            <w:r>
              <w:rPr>
                <w:rFonts w:hint="eastAsia" w:ascii="宋体" w:hAnsi="宋体" w:cs="宋体"/>
                <w:color w:val="000000"/>
              </w:rPr>
              <w:t>法定代表人或委托代理人：</w:t>
            </w:r>
          </w:p>
        </w:tc>
        <w:tc>
          <w:tcPr>
            <w:tcW w:w="2623" w:type="dxa"/>
            <w:shd w:val="clear" w:color="auto" w:fill="auto"/>
            <w:vAlign w:val="center"/>
          </w:tcPr>
          <w:p>
            <w:pPr>
              <w:spacing w:line="280" w:lineRule="exact"/>
              <w:rPr>
                <w:color w:val="000000"/>
                <w:szCs w:val="21"/>
              </w:rPr>
            </w:pPr>
          </w:p>
        </w:tc>
        <w:tc>
          <w:tcPr>
            <w:tcW w:w="2732" w:type="dxa"/>
            <w:gridSpan w:val="5"/>
            <w:shd w:val="clear" w:color="auto" w:fill="auto"/>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shd w:val="clear" w:color="auto" w:fill="auto"/>
            <w:vAlign w:val="center"/>
          </w:tcPr>
          <w:p>
            <w:pPr>
              <w:spacing w:line="280" w:lineRule="exact"/>
              <w:rPr>
                <w:color w:val="000000"/>
                <w:szCs w:val="21"/>
              </w:rPr>
            </w:pPr>
          </w:p>
        </w:tc>
      </w:tr>
      <w:tr>
        <w:tblPrEx>
          <w:tblLayout w:type="fixed"/>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color w:val="000000"/>
                <w:szCs w:val="21"/>
              </w:rPr>
            </w:pPr>
            <w:r>
              <w:rPr>
                <w:rFonts w:hint="eastAsia" w:ascii="宋体" w:hAnsi="宋体" w:cs="宋体"/>
                <w:color w:val="000000"/>
              </w:rPr>
              <w:t>经办人：</w:t>
            </w:r>
          </w:p>
        </w:tc>
        <w:tc>
          <w:tcPr>
            <w:tcW w:w="4306" w:type="dxa"/>
            <w:gridSpan w:val="4"/>
            <w:shd w:val="clear" w:color="auto" w:fill="auto"/>
            <w:vAlign w:val="center"/>
          </w:tcPr>
          <w:p>
            <w:pPr>
              <w:spacing w:line="280" w:lineRule="exact"/>
              <w:rPr>
                <w:color w:val="000000"/>
                <w:szCs w:val="21"/>
              </w:rPr>
            </w:pPr>
          </w:p>
        </w:tc>
        <w:tc>
          <w:tcPr>
            <w:tcW w:w="1052" w:type="dxa"/>
            <w:gridSpan w:val="2"/>
            <w:shd w:val="clear" w:color="auto" w:fill="auto"/>
            <w:vAlign w:val="center"/>
          </w:tcPr>
          <w:p>
            <w:pPr>
              <w:spacing w:line="280" w:lineRule="exact"/>
              <w:rPr>
                <w:color w:val="000000"/>
                <w:szCs w:val="21"/>
              </w:rPr>
            </w:pPr>
            <w:r>
              <w:rPr>
                <w:rFonts w:hint="eastAsia" w:ascii="宋体" w:hAnsi="宋体"/>
                <w:color w:val="000000"/>
                <w:szCs w:val="21"/>
              </w:rPr>
              <w:t>经办人：</w:t>
            </w:r>
          </w:p>
        </w:tc>
        <w:tc>
          <w:tcPr>
            <w:tcW w:w="4300" w:type="dxa"/>
            <w:gridSpan w:val="4"/>
            <w:shd w:val="clear" w:color="auto" w:fill="auto"/>
            <w:vAlign w:val="center"/>
          </w:tcPr>
          <w:p>
            <w:pPr>
              <w:spacing w:line="280" w:lineRule="exact"/>
              <w:rPr>
                <w:rFonts w:hint="default" w:eastAsia="宋体"/>
                <w:color w:val="000000"/>
                <w:szCs w:val="21"/>
                <w:lang w:val="en-US" w:eastAsia="zh-CN"/>
              </w:rPr>
            </w:pPr>
            <w:r>
              <w:rPr>
                <w:rFonts w:hint="eastAsia"/>
                <w:color w:val="000000"/>
                <w:szCs w:val="21"/>
                <w:lang w:val="en-US" w:eastAsia="zh-CN"/>
              </w:rPr>
              <w:t>许智敏</w:t>
            </w:r>
          </w:p>
        </w:tc>
      </w:tr>
      <w:tr>
        <w:tblPrEx>
          <w:tblLayout w:type="fixed"/>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电话：</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电话：</w:t>
            </w:r>
          </w:p>
        </w:tc>
        <w:tc>
          <w:tcPr>
            <w:tcW w:w="4510" w:type="dxa"/>
            <w:gridSpan w:val="5"/>
            <w:shd w:val="clear" w:color="auto" w:fill="auto"/>
            <w:vAlign w:val="center"/>
          </w:tcPr>
          <w:p>
            <w:pPr>
              <w:spacing w:line="280" w:lineRule="exact"/>
              <w:rPr>
                <w:color w:val="000000"/>
                <w:szCs w:val="21"/>
              </w:rPr>
            </w:pPr>
            <w:bookmarkStart w:id="0" w:name="_GoBack"/>
            <w:bookmarkEnd w:id="0"/>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传真：</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传真：</w:t>
            </w:r>
          </w:p>
        </w:tc>
        <w:tc>
          <w:tcPr>
            <w:tcW w:w="4510" w:type="dxa"/>
            <w:gridSpan w:val="5"/>
            <w:shd w:val="clear" w:color="auto" w:fill="auto"/>
            <w:vAlign w:val="center"/>
          </w:tcPr>
          <w:p>
            <w:pPr>
              <w:spacing w:line="280" w:lineRule="exact"/>
              <w:rPr>
                <w:color w:val="000000"/>
                <w:szCs w:val="21"/>
              </w:rPr>
            </w:pP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电子邮箱：</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电子邮箱：</w:t>
            </w:r>
          </w:p>
        </w:tc>
        <w:tc>
          <w:tcPr>
            <w:tcW w:w="4092" w:type="dxa"/>
            <w:gridSpan w:val="3"/>
            <w:shd w:val="clear" w:color="auto" w:fill="auto"/>
            <w:vAlign w:val="center"/>
          </w:tcPr>
          <w:p>
            <w:pPr>
              <w:spacing w:line="280" w:lineRule="exact"/>
              <w:rPr>
                <w:color w:val="000000"/>
                <w:szCs w:val="21"/>
              </w:rPr>
            </w:pPr>
            <w:r>
              <w:rPr>
                <w:rFonts w:hint="eastAsia"/>
                <w:color w:val="000000"/>
                <w:szCs w:val="21"/>
              </w:rPr>
              <w:t>wzcgb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color w:val="000000"/>
                <w:szCs w:val="21"/>
              </w:rPr>
            </w:pPr>
            <w:r>
              <w:rPr>
                <w:rFonts w:hint="eastAsia" w:ascii="宋体" w:hAnsi="宋体" w:cs="宋体"/>
                <w:color w:val="000000"/>
              </w:rPr>
              <w:t>开户银行：</w:t>
            </w:r>
          </w:p>
        </w:tc>
        <w:tc>
          <w:tcPr>
            <w:tcW w:w="4093" w:type="dxa"/>
            <w:gridSpan w:val="3"/>
            <w:shd w:val="clear" w:color="auto" w:fill="auto"/>
            <w:vAlign w:val="center"/>
          </w:tcPr>
          <w:p>
            <w:pPr>
              <w:spacing w:line="280" w:lineRule="exact"/>
              <w:rPr>
                <w:color w:val="000000"/>
                <w:szCs w:val="21"/>
              </w:rPr>
            </w:pPr>
          </w:p>
        </w:tc>
        <w:tc>
          <w:tcPr>
            <w:tcW w:w="1260" w:type="dxa"/>
            <w:gridSpan w:val="3"/>
            <w:shd w:val="clear" w:color="auto" w:fill="auto"/>
            <w:vAlign w:val="center"/>
          </w:tcPr>
          <w:p>
            <w:pPr>
              <w:spacing w:line="280" w:lineRule="exact"/>
              <w:rPr>
                <w:color w:val="000000"/>
                <w:szCs w:val="21"/>
              </w:rPr>
            </w:pPr>
            <w:r>
              <w:rPr>
                <w:rFonts w:hint="eastAsia" w:ascii="宋体" w:hAnsi="宋体"/>
                <w:color w:val="000000"/>
                <w:szCs w:val="21"/>
              </w:rPr>
              <w:t>开户银行：</w:t>
            </w:r>
          </w:p>
        </w:tc>
        <w:tc>
          <w:tcPr>
            <w:tcW w:w="4092" w:type="dxa"/>
            <w:gridSpan w:val="3"/>
            <w:shd w:val="clear" w:color="auto" w:fill="auto"/>
            <w:vAlign w:val="center"/>
          </w:tcPr>
          <w:p>
            <w:pPr>
              <w:spacing w:line="280" w:lineRule="exact"/>
              <w:rPr>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帐号：</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帐号：</w:t>
            </w:r>
          </w:p>
        </w:tc>
        <w:tc>
          <w:tcPr>
            <w:tcW w:w="4510" w:type="dxa"/>
            <w:gridSpan w:val="5"/>
            <w:shd w:val="clear" w:color="auto" w:fill="auto"/>
            <w:vAlign w:val="center"/>
          </w:tcPr>
          <w:p>
            <w:pPr>
              <w:spacing w:line="280" w:lineRule="exact"/>
              <w:rPr>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color w:val="000000"/>
                <w:szCs w:val="21"/>
              </w:rPr>
            </w:pPr>
            <w:r>
              <w:rPr>
                <w:rFonts w:hint="eastAsia" w:ascii="宋体" w:hAnsi="宋体" w:cs="宋体"/>
                <w:color w:val="000000"/>
              </w:rPr>
              <w:t>税号：</w:t>
            </w:r>
          </w:p>
        </w:tc>
        <w:tc>
          <w:tcPr>
            <w:tcW w:w="4513" w:type="dxa"/>
            <w:gridSpan w:val="5"/>
            <w:shd w:val="clear" w:color="auto" w:fill="auto"/>
            <w:vAlign w:val="center"/>
          </w:tcPr>
          <w:p>
            <w:pPr>
              <w:spacing w:line="280" w:lineRule="exact"/>
              <w:rPr>
                <w:color w:val="000000"/>
                <w:szCs w:val="21"/>
              </w:rPr>
            </w:pPr>
          </w:p>
        </w:tc>
        <w:tc>
          <w:tcPr>
            <w:tcW w:w="842" w:type="dxa"/>
            <w:shd w:val="clear" w:color="auto" w:fill="auto"/>
            <w:vAlign w:val="center"/>
          </w:tcPr>
          <w:p>
            <w:pPr>
              <w:spacing w:line="280" w:lineRule="exact"/>
              <w:rPr>
                <w:color w:val="000000"/>
                <w:szCs w:val="21"/>
              </w:rPr>
            </w:pPr>
            <w:r>
              <w:rPr>
                <w:rFonts w:hint="eastAsia" w:ascii="宋体" w:hAnsi="宋体"/>
                <w:color w:val="000000"/>
                <w:szCs w:val="21"/>
              </w:rPr>
              <w:t>税号：</w:t>
            </w:r>
          </w:p>
        </w:tc>
        <w:tc>
          <w:tcPr>
            <w:tcW w:w="4510" w:type="dxa"/>
            <w:gridSpan w:val="5"/>
            <w:shd w:val="clear" w:color="auto" w:fill="auto"/>
            <w:vAlign w:val="center"/>
          </w:tcPr>
          <w:p>
            <w:pPr>
              <w:spacing w:line="280" w:lineRule="exact"/>
              <w:rPr>
                <w:color w:val="000000"/>
                <w:szCs w:val="21"/>
              </w:rPr>
            </w:pPr>
            <w:r>
              <w:rPr>
                <w:rFonts w:hint="eastAsia"/>
                <w:color w:val="000000"/>
                <w:szCs w:val="21"/>
              </w:rPr>
              <w:t>91350600717866709A</w:t>
            </w: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300" w:lineRule="exact"/>
        <w:jc w:val="center"/>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7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5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300" w:lineRule="exact"/>
        <w:rPr>
          <w:rFonts w:ascii="宋体" w:hAnsi="宋体"/>
          <w:b/>
          <w:color w:val="000000"/>
          <w:szCs w:val="21"/>
        </w:rPr>
      </w:pP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三十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壹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壹  </w:t>
      </w:r>
      <w:r>
        <w:rPr>
          <w:rFonts w:hint="eastAsia" w:ascii="宋体" w:hAnsi="宋体"/>
          <w:color w:val="000000"/>
          <w:szCs w:val="21"/>
        </w:rPr>
        <w:t>笔订单，需方有权解除合同。</w:t>
      </w:r>
    </w:p>
    <w:p>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20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ascii="宋体" w:hAnsi="宋体"/>
          <w:color w:val="000000"/>
          <w:szCs w:val="21"/>
        </w:rPr>
      </w:pPr>
      <w:r>
        <w:rPr>
          <w:rFonts w:hint="eastAsia" w:ascii="宋体" w:hAnsi="宋体"/>
          <w:color w:val="000000"/>
          <w:szCs w:val="21"/>
        </w:rPr>
        <w:t>5.其他约定事项：</w:t>
      </w:r>
    </w:p>
    <w:p>
      <w:pPr>
        <w:spacing w:line="300" w:lineRule="exact"/>
        <w:ind w:firstLine="420" w:firstLineChars="200"/>
        <w:rPr>
          <w:rFonts w:ascii="宋体" w:hAnsi="宋体" w:cs="宋体"/>
          <w:b/>
          <w:bCs/>
          <w:sz w:val="36"/>
          <w:szCs w:val="36"/>
        </w:rPr>
      </w:pPr>
      <w:r>
        <w:rPr>
          <w:rFonts w:hint="eastAsia" w:ascii="宋体" w:hAnsi="宋体"/>
          <w:color w:val="000000"/>
          <w:szCs w:val="21"/>
        </w:rPr>
        <w:t>①履约保证金：供方的伍万元整参选保证金转为履约保证金，待本合同执行完后30天内需方无息返还该笔履约保证金至供方指定账户。</w:t>
      </w:r>
    </w:p>
    <w:p>
      <w:pPr>
        <w:spacing w:line="300" w:lineRule="exact"/>
        <w:ind w:firstLine="420" w:firstLineChars="200"/>
        <w:rPr>
          <w:rFonts w:ascii="宋体" w:hAnsi="宋体"/>
          <w:color w:val="000000"/>
          <w:szCs w:val="21"/>
        </w:rPr>
      </w:pPr>
    </w:p>
    <w:p>
      <w:pPr>
        <w:spacing w:line="220" w:lineRule="exact"/>
        <w:ind w:firstLine="360" w:firstLineChars="200"/>
        <w:rPr>
          <w:rFonts w:cs="宋体"/>
          <w:sz w:val="18"/>
          <w:szCs w:val="18"/>
        </w:rPr>
      </w:pPr>
    </w:p>
    <w:p>
      <w:pPr>
        <w:jc w:val="left"/>
        <w:rPr>
          <w:rFonts w:cs="宋体"/>
          <w:sz w:val="18"/>
          <w:szCs w:val="18"/>
        </w:rPr>
      </w:pPr>
      <w:r>
        <w:rPr>
          <w:rFonts w:hint="eastAsia" w:cs="宋体"/>
          <w:sz w:val="18"/>
          <w:szCs w:val="18"/>
        </w:rPr>
        <w:t>附件</w:t>
      </w:r>
    </w:p>
    <w:p>
      <w:pPr>
        <w:spacing w:line="460" w:lineRule="exact"/>
        <w:ind w:right="4023"/>
        <w:jc w:val="center"/>
        <w:rPr>
          <w:rFonts w:ascii="宋体" w:hAnsi="宋体" w:cs="宋体"/>
          <w:b/>
          <w:bCs/>
          <w:sz w:val="36"/>
          <w:szCs w:val="36"/>
        </w:rPr>
      </w:pPr>
      <w:r>
        <w:rPr>
          <w:rFonts w:hint="eastAsia" w:ascii="宋体" w:hAnsi="宋体" w:cs="宋体"/>
          <w:b/>
          <w:bCs/>
          <w:sz w:val="36"/>
          <w:szCs w:val="36"/>
        </w:rPr>
        <w:t xml:space="preserve">                    </w:t>
      </w:r>
    </w:p>
    <w:p>
      <w:pPr>
        <w:spacing w:line="460" w:lineRule="exact"/>
        <w:ind w:right="4023"/>
        <w:jc w:val="center"/>
        <w:rPr>
          <w:rFonts w:ascii="宋体" w:hAnsi="宋体" w:cs="宋体"/>
          <w:sz w:val="36"/>
          <w:szCs w:val="36"/>
        </w:rPr>
      </w:pPr>
      <w:r>
        <w:rPr>
          <w:rFonts w:hint="eastAsia" w:ascii="宋体" w:hAnsi="宋体" w:cs="宋体"/>
          <w:b/>
          <w:bCs/>
          <w:sz w:val="36"/>
          <w:szCs w:val="36"/>
        </w:rPr>
        <w:t xml:space="preserve">                  次氯酸钠</w:t>
      </w:r>
    </w:p>
    <w:p>
      <w:pPr>
        <w:pStyle w:val="2"/>
        <w:spacing w:before="323" w:line="288" w:lineRule="auto"/>
      </w:pPr>
      <w:r>
        <w:t>执行标准：</w:t>
      </w:r>
      <w:r>
        <w:rPr>
          <w:rFonts w:ascii="宋体" w:hAnsi="宋体" w:cs="宋体"/>
        </w:rPr>
        <w:t xml:space="preserve">GB/T 19106-2013 </w:t>
      </w:r>
      <w:r>
        <w:t xml:space="preserve">次氯酸钠溶液（型号 </w:t>
      </w:r>
      <w:r>
        <w:rPr>
          <w:rFonts w:ascii="宋体" w:hAnsi="宋体" w:cs="宋体"/>
        </w:rPr>
        <w:t>A</w:t>
      </w:r>
      <w:r>
        <w:rPr>
          <w:rFonts w:ascii="宋体" w:hAnsi="宋体" w:cs="宋体"/>
          <w:spacing w:val="-81"/>
        </w:rPr>
        <w:t xml:space="preserve"> </w:t>
      </w:r>
      <w:r>
        <w:t>规格Ⅱ项）</w:t>
      </w:r>
    </w:p>
    <w:p>
      <w:pPr>
        <w:pStyle w:val="2"/>
        <w:spacing w:before="323" w:line="288" w:lineRule="auto"/>
        <w:rPr>
          <w:spacing w:val="-29"/>
        </w:rPr>
      </w:pPr>
      <w:r>
        <w:t>说明：</w:t>
      </w:r>
      <w:r>
        <w:rPr>
          <w:rFonts w:ascii="宋体" w:hAnsi="宋体" w:cs="宋体"/>
        </w:rPr>
        <w:t>1</w:t>
      </w:r>
      <w:r>
        <w:t>、次氯酸钠采购指标。用于水气团队（</w:t>
      </w:r>
      <w:r>
        <w:rPr>
          <w:rFonts w:ascii="宋体" w:hAnsi="宋体" w:cs="宋体"/>
        </w:rPr>
        <w:t>PX/PTA</w:t>
      </w:r>
      <w:r>
        <w:rPr>
          <w:rFonts w:ascii="宋体" w:hAnsi="宋体" w:cs="宋体"/>
          <w:spacing w:val="-71"/>
        </w:rPr>
        <w:t xml:space="preserve"> </w:t>
      </w:r>
      <w:r>
        <w:rPr>
          <w:spacing w:val="-29"/>
        </w:rPr>
        <w:t>杀菌剂）。</w:t>
      </w:r>
    </w:p>
    <w:p>
      <w:pPr>
        <w:pStyle w:val="2"/>
        <w:spacing w:before="323" w:line="288" w:lineRule="auto"/>
        <w:ind w:firstLine="460" w:firstLineChars="200"/>
      </w:pPr>
      <w:r>
        <w:rPr>
          <w:rFonts w:ascii="宋体" w:hAnsi="宋体" w:cs="宋体"/>
          <w:spacing w:val="-5"/>
        </w:rPr>
        <w:t>2</w:t>
      </w:r>
      <w:r>
        <w:rPr>
          <w:spacing w:val="-5"/>
        </w:rPr>
        <w:t>、</w:t>
      </w:r>
      <w:r>
        <w:rPr>
          <w:rFonts w:ascii="宋体" w:hAnsi="宋体" w:cs="宋体"/>
          <w:spacing w:val="-5"/>
        </w:rPr>
        <w:t>PX</w:t>
      </w:r>
      <w:r>
        <w:rPr>
          <w:rFonts w:ascii="宋体" w:hAnsi="宋体" w:cs="宋体"/>
          <w:spacing w:val="-95"/>
        </w:rPr>
        <w:t xml:space="preserve"> </w:t>
      </w:r>
      <w:r>
        <w:t>厂验收时检测有效氯项。</w:t>
      </w:r>
      <w:r>
        <w:rPr>
          <w:rFonts w:ascii="宋体" w:hAnsi="宋体" w:cs="宋体"/>
        </w:rPr>
        <w:t>PTA</w:t>
      </w:r>
      <w:r>
        <w:rPr>
          <w:rFonts w:ascii="宋体" w:hAnsi="宋体" w:cs="宋体"/>
          <w:spacing w:val="-95"/>
        </w:rPr>
        <w:t xml:space="preserve"> </w:t>
      </w:r>
      <w:r>
        <w:t>厂验收时检测外观、有效氯项和</w:t>
      </w:r>
      <w:r>
        <w:rPr>
          <w:w w:val="99"/>
        </w:rPr>
        <w:t xml:space="preserve"> </w:t>
      </w:r>
      <w:r>
        <w:t>游离碱项。</w:t>
      </w:r>
    </w:p>
    <w:p>
      <w:pPr>
        <w:ind w:right="4020"/>
        <w:rPr>
          <w:rFonts w:ascii="宋体" w:hAnsi="宋体"/>
          <w:sz w:val="28"/>
          <w:szCs w:val="28"/>
        </w:rPr>
      </w:pPr>
    </w:p>
    <w:tbl>
      <w:tblPr>
        <w:tblStyle w:val="6"/>
        <w:tblpPr w:leftFromText="180" w:rightFromText="180" w:vertAnchor="text" w:horzAnchor="page" w:tblpX="1209" w:tblpY="285"/>
        <w:tblOverlap w:val="never"/>
        <w:tblW w:w="9311" w:type="dxa"/>
        <w:tblInd w:w="0" w:type="dxa"/>
        <w:tblLayout w:type="fixed"/>
        <w:tblCellMar>
          <w:top w:w="0" w:type="dxa"/>
          <w:left w:w="0" w:type="dxa"/>
          <w:bottom w:w="0" w:type="dxa"/>
          <w:right w:w="0" w:type="dxa"/>
        </w:tblCellMar>
      </w:tblPr>
      <w:tblGrid>
        <w:gridCol w:w="3299"/>
        <w:gridCol w:w="896"/>
        <w:gridCol w:w="2450"/>
        <w:gridCol w:w="2666"/>
      </w:tblGrid>
      <w:tr>
        <w:tblPrEx>
          <w:tblLayout w:type="fixed"/>
          <w:tblCellMar>
            <w:top w:w="0" w:type="dxa"/>
            <w:left w:w="0" w:type="dxa"/>
            <w:bottom w:w="0" w:type="dxa"/>
            <w:right w:w="0" w:type="dxa"/>
          </w:tblCellMar>
        </w:tblPrEx>
        <w:trPr>
          <w:trHeight w:val="576" w:hRule="exact"/>
        </w:trPr>
        <w:tc>
          <w:tcPr>
            <w:tcW w:w="4195" w:type="dxa"/>
            <w:gridSpan w:val="2"/>
            <w:tcBorders>
              <w:top w:val="single" w:color="000000" w:sz="4" w:space="0"/>
              <w:left w:val="single" w:color="000000" w:sz="4" w:space="0"/>
              <w:bottom w:val="single" w:color="000000" w:sz="4" w:space="0"/>
              <w:right w:val="single" w:color="000000" w:sz="4" w:space="0"/>
            </w:tcBorders>
            <w:shd w:val="clear" w:color="auto" w:fill="C1C1C1"/>
          </w:tcPr>
          <w:p>
            <w:pPr>
              <w:pStyle w:val="11"/>
              <w:spacing w:before="77"/>
              <w:ind w:left="1202"/>
              <w:jc w:val="center"/>
              <w:rPr>
                <w:rFonts w:ascii="宋体" w:hAnsi="宋体" w:cs="宋体"/>
              </w:rPr>
            </w:pPr>
            <w:r>
              <w:rPr>
                <w:rFonts w:ascii="宋体" w:hAnsi="宋体" w:cs="宋体"/>
                <w:b/>
                <w:bCs/>
              </w:rPr>
              <w:t>分析项目</w:t>
            </w:r>
          </w:p>
        </w:tc>
        <w:tc>
          <w:tcPr>
            <w:tcW w:w="2450" w:type="dxa"/>
            <w:tcBorders>
              <w:top w:val="single" w:color="000000" w:sz="4" w:space="0"/>
              <w:left w:val="single" w:color="000000" w:sz="4" w:space="0"/>
              <w:bottom w:val="single" w:color="000000" w:sz="4" w:space="0"/>
              <w:right w:val="single" w:color="000000" w:sz="4" w:space="0"/>
            </w:tcBorders>
            <w:shd w:val="clear" w:color="auto" w:fill="C1C1C1"/>
          </w:tcPr>
          <w:p>
            <w:pPr>
              <w:pStyle w:val="11"/>
              <w:spacing w:before="77"/>
              <w:ind w:left="736"/>
              <w:jc w:val="center"/>
              <w:rPr>
                <w:rFonts w:ascii="宋体" w:hAnsi="宋体" w:cs="宋体"/>
              </w:rPr>
            </w:pPr>
            <w:r>
              <w:rPr>
                <w:rFonts w:ascii="宋体" w:hAnsi="宋体" w:cs="宋体"/>
                <w:b/>
                <w:bCs/>
              </w:rPr>
              <w:t>质量指标</w:t>
            </w:r>
          </w:p>
        </w:tc>
        <w:tc>
          <w:tcPr>
            <w:tcW w:w="2666" w:type="dxa"/>
            <w:tcBorders>
              <w:top w:val="single" w:color="000000" w:sz="4" w:space="0"/>
              <w:left w:val="single" w:color="000000" w:sz="4" w:space="0"/>
              <w:bottom w:val="single" w:color="000000" w:sz="4" w:space="0"/>
              <w:right w:val="single" w:color="000000" w:sz="4" w:space="0"/>
            </w:tcBorders>
            <w:shd w:val="clear" w:color="auto" w:fill="C1C1C1"/>
          </w:tcPr>
          <w:p>
            <w:pPr>
              <w:pStyle w:val="11"/>
              <w:spacing w:before="77"/>
              <w:ind w:left="844"/>
              <w:jc w:val="center"/>
              <w:rPr>
                <w:rFonts w:ascii="宋体" w:hAnsi="宋体" w:cs="宋体"/>
              </w:rPr>
            </w:pPr>
            <w:r>
              <w:rPr>
                <w:rFonts w:ascii="宋体" w:hAnsi="宋体" w:cs="宋体"/>
                <w:b/>
                <w:bCs/>
              </w:rPr>
              <w:t>试验方法</w:t>
            </w:r>
          </w:p>
        </w:tc>
      </w:tr>
      <w:tr>
        <w:tblPrEx>
          <w:tblLayout w:type="fixed"/>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外观</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浅黄色液体</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目测</w:t>
            </w:r>
          </w:p>
        </w:tc>
      </w:tr>
      <w:tr>
        <w:tblPrEx>
          <w:tblLayout w:type="fixed"/>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1"/>
              <w:spacing w:before="75"/>
              <w:ind w:left="103"/>
              <w:jc w:val="center"/>
              <w:rPr>
                <w:rFonts w:ascii="宋体" w:hAnsi="宋体" w:cs="宋体"/>
              </w:rPr>
            </w:pPr>
            <w:r>
              <w:rPr>
                <w:rFonts w:ascii="宋体" w:hAnsi="宋体" w:cs="宋体"/>
              </w:rPr>
              <w:t>有效氯（以</w:t>
            </w:r>
            <w:r>
              <w:rPr>
                <w:rFonts w:ascii="宋体" w:hAnsi="宋体" w:cs="宋体"/>
                <w:spacing w:val="-61"/>
              </w:rPr>
              <w:t xml:space="preserve"> </w:t>
            </w:r>
            <w:r>
              <w:rPr>
                <w:rFonts w:ascii="宋体" w:hAnsi="宋体" w:cs="宋体"/>
              </w:rPr>
              <w:t>Cl</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896" w:type="dxa"/>
            <w:tcBorders>
              <w:top w:val="single" w:color="000000" w:sz="4" w:space="0"/>
              <w:left w:val="nil"/>
              <w:bottom w:val="single" w:color="000000" w:sz="4" w:space="0"/>
              <w:right w:val="single" w:color="000000" w:sz="4" w:space="0"/>
            </w:tcBorders>
          </w:tcPr>
          <w:p>
            <w:pPr>
              <w:pStyle w:val="11"/>
              <w:spacing w:before="75"/>
              <w:ind w:left="548"/>
              <w:jc w:val="center"/>
              <w:rPr>
                <w:rFonts w:ascii="宋体" w:hAnsi="宋体" w:cs="宋体"/>
              </w:rPr>
            </w:pP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75"/>
              <w:ind w:left="103"/>
              <w:jc w:val="center"/>
              <w:rPr>
                <w:rFonts w:ascii="宋体" w:hAnsi="宋体" w:cs="宋体"/>
              </w:rPr>
            </w:pPr>
            <w:r>
              <w:rPr>
                <w:rFonts w:ascii="宋体"/>
              </w:rPr>
              <w:t>10.0</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75"/>
              <w:ind w:left="103"/>
              <w:jc w:val="center"/>
              <w:rPr>
                <w:rFonts w:ascii="宋体" w:hAnsi="宋体" w:cs="宋体"/>
              </w:rPr>
            </w:pPr>
            <w:r>
              <w:rPr>
                <w:rFonts w:ascii="宋体"/>
              </w:rPr>
              <w:t>GB/T 19106</w:t>
            </w:r>
          </w:p>
        </w:tc>
      </w:tr>
      <w:tr>
        <w:tblPrEx>
          <w:tblLayout w:type="fixed"/>
          <w:tblCellMar>
            <w:top w:w="0" w:type="dxa"/>
            <w:left w:w="0" w:type="dxa"/>
            <w:bottom w:w="0" w:type="dxa"/>
            <w:right w:w="0" w:type="dxa"/>
          </w:tblCellMar>
        </w:tblPrEx>
        <w:trPr>
          <w:trHeight w:val="578" w:hRule="exact"/>
        </w:trPr>
        <w:tc>
          <w:tcPr>
            <w:tcW w:w="4195" w:type="dxa"/>
            <w:gridSpan w:val="2"/>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游离碱（以</w:t>
            </w:r>
            <w:r>
              <w:rPr>
                <w:rFonts w:ascii="宋体" w:hAnsi="宋体" w:cs="宋体"/>
                <w:spacing w:val="-61"/>
              </w:rPr>
              <w:t xml:space="preserve"> </w:t>
            </w:r>
            <w:r>
              <w:rPr>
                <w:rFonts w:ascii="宋体" w:hAnsi="宋体" w:cs="宋体"/>
              </w:rPr>
              <w:t>NaOH</w:t>
            </w:r>
            <w:r>
              <w:rPr>
                <w:rFonts w:ascii="宋体" w:hAnsi="宋体" w:cs="宋体"/>
                <w:spacing w:val="-61"/>
              </w:rPr>
              <w:t xml:space="preserve"> </w:t>
            </w:r>
            <w:r>
              <w:rPr>
                <w:rFonts w:ascii="宋体" w:hAnsi="宋体" w:cs="宋体"/>
              </w:rPr>
              <w:t>计）</w:t>
            </w:r>
            <w:r>
              <w:rPr>
                <w:rFonts w:ascii="Californian FB" w:hAnsi="Californian FB" w:eastAsia="Californian FB" w:cs="Californian FB"/>
                <w:i/>
                <w:sz w:val="21"/>
                <w:szCs w:val="21"/>
              </w:rPr>
              <w:t>w</w:t>
            </w:r>
            <w:r>
              <w:rPr>
                <w:rFonts w:ascii="宋体" w:hAnsi="宋体" w:cs="宋体"/>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hAnsi="宋体" w:cs="宋体"/>
              </w:rPr>
              <w:t>0.1～1.0</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77"/>
              <w:ind w:left="103"/>
              <w:jc w:val="center"/>
              <w:rPr>
                <w:rFonts w:ascii="宋体" w:hAnsi="宋体" w:cs="宋体"/>
              </w:rPr>
            </w:pPr>
            <w:r>
              <w:rPr>
                <w:rFonts w:ascii="宋体"/>
              </w:rPr>
              <w:t>GB/T 19106</w:t>
            </w:r>
          </w:p>
        </w:tc>
      </w:tr>
      <w:tr>
        <w:tblPrEx>
          <w:tblLayout w:type="fixed"/>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1"/>
              <w:spacing w:before="63"/>
              <w:ind w:left="103"/>
              <w:jc w:val="center"/>
              <w:rPr>
                <w:rFonts w:ascii="宋体" w:hAnsi="宋体" w:cs="宋体"/>
                <w:sz w:val="25"/>
                <w:szCs w:val="25"/>
              </w:rPr>
            </w:pPr>
            <w:r>
              <w:rPr>
                <w:rFonts w:ascii="宋体" w:hAnsi="宋体" w:cs="宋体"/>
                <w:i/>
                <w:color w:val="818181"/>
                <w:sz w:val="25"/>
                <w:szCs w:val="25"/>
              </w:rPr>
              <w:t>▲铁（Fe）</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1"/>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0.005</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Layout w:type="fixed"/>
          <w:tblCellMar>
            <w:top w:w="0" w:type="dxa"/>
            <w:left w:w="0" w:type="dxa"/>
            <w:bottom w:w="0" w:type="dxa"/>
            <w:right w:w="0" w:type="dxa"/>
          </w:tblCellMar>
        </w:tblPrEx>
        <w:trPr>
          <w:trHeight w:val="578" w:hRule="exact"/>
        </w:trPr>
        <w:tc>
          <w:tcPr>
            <w:tcW w:w="3299" w:type="dxa"/>
            <w:tcBorders>
              <w:top w:val="single" w:color="000000" w:sz="4" w:space="0"/>
              <w:left w:val="single" w:color="000000" w:sz="4" w:space="0"/>
              <w:bottom w:val="single" w:color="000000" w:sz="4" w:space="0"/>
              <w:right w:val="nil"/>
            </w:tcBorders>
          </w:tcPr>
          <w:p>
            <w:pPr>
              <w:pStyle w:val="11"/>
              <w:spacing w:before="66"/>
              <w:ind w:left="103"/>
              <w:jc w:val="center"/>
              <w:rPr>
                <w:rFonts w:ascii="宋体" w:hAnsi="宋体" w:cs="宋体"/>
                <w:sz w:val="25"/>
                <w:szCs w:val="25"/>
              </w:rPr>
            </w:pPr>
            <w:r>
              <w:rPr>
                <w:rFonts w:ascii="宋体" w:hAnsi="宋体" w:cs="宋体"/>
                <w:i/>
                <w:color w:val="818181"/>
                <w:w w:val="95"/>
                <w:sz w:val="25"/>
                <w:szCs w:val="25"/>
              </w:rPr>
              <w:t>▲重金属（以 Pb</w:t>
            </w:r>
            <w:r>
              <w:rPr>
                <w:rFonts w:ascii="宋体" w:hAnsi="宋体" w:cs="宋体"/>
                <w:i/>
                <w:color w:val="818181"/>
                <w:spacing w:val="-88"/>
                <w:w w:val="95"/>
                <w:sz w:val="25"/>
                <w:szCs w:val="25"/>
              </w:rPr>
              <w:t xml:space="preserve"> </w:t>
            </w:r>
            <w:r>
              <w:rPr>
                <w:rFonts w:ascii="宋体" w:hAnsi="宋体" w:cs="宋体"/>
                <w:i/>
                <w:color w:val="818181"/>
                <w:w w:val="95"/>
                <w:sz w:val="25"/>
                <w:szCs w:val="25"/>
              </w:rPr>
              <w:t>计）</w:t>
            </w:r>
            <w:r>
              <w:rPr>
                <w:rFonts w:ascii="Californian FB" w:hAnsi="Californian FB" w:eastAsia="Californian FB" w:cs="Californian FB"/>
                <w:i/>
                <w:color w:val="818181"/>
                <w:w w:val="95"/>
                <w:sz w:val="21"/>
                <w:szCs w:val="21"/>
              </w:rPr>
              <w:t>w</w:t>
            </w:r>
            <w:r>
              <w:rPr>
                <w:rFonts w:ascii="宋体" w:hAnsi="宋体" w:cs="宋体"/>
                <w:i/>
                <w:color w:val="818181"/>
                <w:w w:val="95"/>
                <w:sz w:val="25"/>
                <w:szCs w:val="25"/>
              </w:rPr>
              <w:t>/%</w:t>
            </w:r>
          </w:p>
        </w:tc>
        <w:tc>
          <w:tcPr>
            <w:tcW w:w="896" w:type="dxa"/>
            <w:tcBorders>
              <w:top w:val="single" w:color="000000" w:sz="4" w:space="0"/>
              <w:left w:val="nil"/>
              <w:bottom w:val="single" w:color="000000" w:sz="4" w:space="0"/>
              <w:right w:val="single" w:color="000000" w:sz="4" w:space="0"/>
            </w:tcBorders>
          </w:tcPr>
          <w:p>
            <w:pPr>
              <w:pStyle w:val="11"/>
              <w:spacing w:before="66"/>
              <w:ind w:left="548"/>
              <w:jc w:val="center"/>
              <w:rPr>
                <w:rFonts w:ascii="宋体" w:hAnsi="宋体" w:cs="宋体"/>
                <w:sz w:val="25"/>
                <w:szCs w:val="25"/>
              </w:rPr>
            </w:pPr>
            <w:r>
              <w:rPr>
                <w:rFonts w:ascii="宋体" w:hAnsi="宋体" w:cs="宋体"/>
                <w:i/>
                <w:color w:val="818181"/>
                <w:w w:val="96"/>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66"/>
              <w:ind w:left="103"/>
              <w:jc w:val="center"/>
              <w:rPr>
                <w:rFonts w:ascii="宋体" w:hAnsi="宋体" w:cs="宋体"/>
                <w:sz w:val="25"/>
                <w:szCs w:val="25"/>
              </w:rPr>
            </w:pPr>
            <w:r>
              <w:rPr>
                <w:rFonts w:ascii="宋体"/>
                <w:i/>
                <w:color w:val="818181"/>
                <w:sz w:val="25"/>
              </w:rPr>
              <w:t>0.001</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66"/>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r>
        <w:tblPrEx>
          <w:tblLayout w:type="fixed"/>
          <w:tblCellMar>
            <w:top w:w="0" w:type="dxa"/>
            <w:left w:w="0" w:type="dxa"/>
            <w:bottom w:w="0" w:type="dxa"/>
            <w:right w:w="0" w:type="dxa"/>
          </w:tblCellMar>
        </w:tblPrEx>
        <w:trPr>
          <w:trHeight w:val="576" w:hRule="exact"/>
        </w:trPr>
        <w:tc>
          <w:tcPr>
            <w:tcW w:w="3299" w:type="dxa"/>
            <w:tcBorders>
              <w:top w:val="single" w:color="000000" w:sz="4" w:space="0"/>
              <w:left w:val="single" w:color="000000" w:sz="4" w:space="0"/>
              <w:bottom w:val="single" w:color="000000" w:sz="4" w:space="0"/>
              <w:right w:val="nil"/>
            </w:tcBorders>
          </w:tcPr>
          <w:p>
            <w:pPr>
              <w:pStyle w:val="11"/>
              <w:spacing w:before="63"/>
              <w:ind w:left="103"/>
              <w:jc w:val="center"/>
              <w:rPr>
                <w:rFonts w:ascii="宋体" w:hAnsi="宋体" w:cs="宋体"/>
                <w:sz w:val="25"/>
                <w:szCs w:val="25"/>
              </w:rPr>
            </w:pPr>
            <w:r>
              <w:rPr>
                <w:rFonts w:ascii="宋体" w:hAnsi="宋体" w:cs="宋体"/>
                <w:i/>
                <w:color w:val="818181"/>
                <w:sz w:val="25"/>
                <w:szCs w:val="25"/>
              </w:rPr>
              <w:t>▲砷（As）</w:t>
            </w:r>
            <w:r>
              <w:rPr>
                <w:rFonts w:ascii="Californian FB" w:hAnsi="Californian FB" w:eastAsia="Californian FB" w:cs="Californian FB"/>
                <w:i/>
                <w:color w:val="818181"/>
                <w:sz w:val="21"/>
                <w:szCs w:val="21"/>
              </w:rPr>
              <w:t>w</w:t>
            </w:r>
            <w:r>
              <w:rPr>
                <w:rFonts w:ascii="宋体" w:hAnsi="宋体" w:cs="宋体"/>
                <w:i/>
                <w:color w:val="818181"/>
                <w:sz w:val="25"/>
                <w:szCs w:val="25"/>
              </w:rPr>
              <w:t>/%</w:t>
            </w:r>
          </w:p>
        </w:tc>
        <w:tc>
          <w:tcPr>
            <w:tcW w:w="896" w:type="dxa"/>
            <w:tcBorders>
              <w:top w:val="single" w:color="000000" w:sz="4" w:space="0"/>
              <w:left w:val="nil"/>
              <w:bottom w:val="single" w:color="000000" w:sz="4" w:space="0"/>
              <w:right w:val="single" w:color="000000" w:sz="4" w:space="0"/>
            </w:tcBorders>
          </w:tcPr>
          <w:p>
            <w:pPr>
              <w:pStyle w:val="11"/>
              <w:spacing w:before="63"/>
              <w:ind w:left="548"/>
              <w:jc w:val="center"/>
              <w:rPr>
                <w:rFonts w:ascii="宋体" w:hAnsi="宋体" w:cs="宋体"/>
                <w:sz w:val="25"/>
                <w:szCs w:val="25"/>
              </w:rPr>
            </w:pPr>
            <w:r>
              <w:rPr>
                <w:rFonts w:ascii="宋体" w:hAnsi="宋体" w:cs="宋体"/>
                <w:i/>
                <w:color w:val="818181"/>
                <w:w w:val="95"/>
                <w:sz w:val="25"/>
                <w:szCs w:val="25"/>
              </w:rPr>
              <w:t>≤</w:t>
            </w:r>
          </w:p>
        </w:tc>
        <w:tc>
          <w:tcPr>
            <w:tcW w:w="2450"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0.0001</w:t>
            </w:r>
          </w:p>
        </w:tc>
        <w:tc>
          <w:tcPr>
            <w:tcW w:w="2666" w:type="dxa"/>
            <w:tcBorders>
              <w:top w:val="single" w:color="000000" w:sz="4" w:space="0"/>
              <w:left w:val="single" w:color="000000" w:sz="4" w:space="0"/>
              <w:bottom w:val="single" w:color="000000" w:sz="4" w:space="0"/>
              <w:right w:val="single" w:color="000000" w:sz="4" w:space="0"/>
            </w:tcBorders>
          </w:tcPr>
          <w:p>
            <w:pPr>
              <w:pStyle w:val="11"/>
              <w:spacing w:before="63"/>
              <w:ind w:left="103"/>
              <w:jc w:val="center"/>
              <w:rPr>
                <w:rFonts w:ascii="宋体" w:hAnsi="宋体" w:cs="宋体"/>
                <w:sz w:val="25"/>
                <w:szCs w:val="25"/>
              </w:rPr>
            </w:pPr>
            <w:r>
              <w:rPr>
                <w:rFonts w:ascii="宋体"/>
                <w:i/>
                <w:color w:val="818181"/>
                <w:sz w:val="25"/>
              </w:rPr>
              <w:t>GB/T</w:t>
            </w:r>
            <w:r>
              <w:rPr>
                <w:rFonts w:ascii="宋体"/>
                <w:i/>
                <w:color w:val="818181"/>
                <w:spacing w:val="-50"/>
                <w:sz w:val="25"/>
              </w:rPr>
              <w:t xml:space="preserve"> </w:t>
            </w:r>
            <w:r>
              <w:rPr>
                <w:rFonts w:ascii="宋体"/>
                <w:i/>
                <w:color w:val="818181"/>
                <w:sz w:val="25"/>
              </w:rPr>
              <w:t>19106</w:t>
            </w:r>
          </w:p>
        </w:tc>
      </w:tr>
    </w:tbl>
    <w:p>
      <w:pPr>
        <w:ind w:right="4020"/>
        <w:rPr>
          <w:rFonts w:ascii="宋体" w:hAnsi="宋体"/>
          <w:sz w:val="28"/>
          <w:szCs w:val="28"/>
        </w:rPr>
      </w:pPr>
    </w:p>
    <w:p>
      <w:pPr>
        <w:ind w:right="4020"/>
        <w:rPr>
          <w:rFonts w:ascii="宋体" w:hAnsi="宋体"/>
          <w:sz w:val="28"/>
          <w:szCs w:val="28"/>
        </w:rPr>
      </w:pPr>
    </w:p>
    <w:p>
      <w:pPr>
        <w:jc w:val="left"/>
        <w:rPr>
          <w:rFonts w:cs="宋体"/>
          <w:sz w:val="18"/>
          <w:szCs w:val="18"/>
        </w:rPr>
      </w:pP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fornian FB">
    <w:panose1 w:val="0207040306080B0302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NzJjMmVhZGZkNWMwMjZlNWQ5MGIxMWNhYjlhNTcifQ=="/>
  </w:docVars>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5C257E"/>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50A9A"/>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54CEA"/>
    <w:rsid w:val="00D67EB2"/>
    <w:rsid w:val="00DC2165"/>
    <w:rsid w:val="00DD67C0"/>
    <w:rsid w:val="00E95225"/>
    <w:rsid w:val="00EA3B66"/>
    <w:rsid w:val="00EA704A"/>
    <w:rsid w:val="00EB1EFA"/>
    <w:rsid w:val="00F457BD"/>
    <w:rsid w:val="012F5984"/>
    <w:rsid w:val="02850B62"/>
    <w:rsid w:val="030A00C2"/>
    <w:rsid w:val="039E6A42"/>
    <w:rsid w:val="03AE4A2E"/>
    <w:rsid w:val="052D0C2A"/>
    <w:rsid w:val="05C01F5C"/>
    <w:rsid w:val="05ED7A2F"/>
    <w:rsid w:val="071E5F49"/>
    <w:rsid w:val="07A07F75"/>
    <w:rsid w:val="08AB5E4A"/>
    <w:rsid w:val="0A78281A"/>
    <w:rsid w:val="0B145F1A"/>
    <w:rsid w:val="0DCC04B6"/>
    <w:rsid w:val="0EE31D7B"/>
    <w:rsid w:val="0EE72FE9"/>
    <w:rsid w:val="0F58075E"/>
    <w:rsid w:val="0FFA56F9"/>
    <w:rsid w:val="10F9022B"/>
    <w:rsid w:val="11946126"/>
    <w:rsid w:val="128630C3"/>
    <w:rsid w:val="12A07BFD"/>
    <w:rsid w:val="13C94CE3"/>
    <w:rsid w:val="14D53C06"/>
    <w:rsid w:val="16AE23A5"/>
    <w:rsid w:val="1A465F50"/>
    <w:rsid w:val="1C0F5BA7"/>
    <w:rsid w:val="1C7032A3"/>
    <w:rsid w:val="1CC66D8E"/>
    <w:rsid w:val="1E1B5B71"/>
    <w:rsid w:val="1E9472A8"/>
    <w:rsid w:val="1F3750F3"/>
    <w:rsid w:val="21083C96"/>
    <w:rsid w:val="221B6A0F"/>
    <w:rsid w:val="230F7F81"/>
    <w:rsid w:val="25744FE5"/>
    <w:rsid w:val="259E2146"/>
    <w:rsid w:val="2725381D"/>
    <w:rsid w:val="275D540C"/>
    <w:rsid w:val="28467FB7"/>
    <w:rsid w:val="29FB64B5"/>
    <w:rsid w:val="2CF44F4E"/>
    <w:rsid w:val="304B1EB1"/>
    <w:rsid w:val="305C004A"/>
    <w:rsid w:val="315056E6"/>
    <w:rsid w:val="3190735D"/>
    <w:rsid w:val="31935E01"/>
    <w:rsid w:val="31A069A4"/>
    <w:rsid w:val="321777AF"/>
    <w:rsid w:val="33110A8B"/>
    <w:rsid w:val="33AD2B12"/>
    <w:rsid w:val="348301C3"/>
    <w:rsid w:val="34B51837"/>
    <w:rsid w:val="37842252"/>
    <w:rsid w:val="37895744"/>
    <w:rsid w:val="37E42F03"/>
    <w:rsid w:val="390F4CE0"/>
    <w:rsid w:val="3A410571"/>
    <w:rsid w:val="3B0D1FA3"/>
    <w:rsid w:val="3B337E5E"/>
    <w:rsid w:val="3B7A2271"/>
    <w:rsid w:val="3BAC1269"/>
    <w:rsid w:val="3BF533DA"/>
    <w:rsid w:val="3C6B1750"/>
    <w:rsid w:val="422B4196"/>
    <w:rsid w:val="42945BE9"/>
    <w:rsid w:val="42FA4880"/>
    <w:rsid w:val="43BD769E"/>
    <w:rsid w:val="4524062D"/>
    <w:rsid w:val="45F21028"/>
    <w:rsid w:val="47684EA4"/>
    <w:rsid w:val="48730504"/>
    <w:rsid w:val="48D308E2"/>
    <w:rsid w:val="496B3AEB"/>
    <w:rsid w:val="49732CB4"/>
    <w:rsid w:val="4C635974"/>
    <w:rsid w:val="4C987581"/>
    <w:rsid w:val="4D4835EB"/>
    <w:rsid w:val="4D872D46"/>
    <w:rsid w:val="4DBA657C"/>
    <w:rsid w:val="4EE16295"/>
    <w:rsid w:val="504D76C9"/>
    <w:rsid w:val="511B7199"/>
    <w:rsid w:val="520806F5"/>
    <w:rsid w:val="52546793"/>
    <w:rsid w:val="531A4B1B"/>
    <w:rsid w:val="53BC4B0E"/>
    <w:rsid w:val="5449041D"/>
    <w:rsid w:val="55887855"/>
    <w:rsid w:val="55AB01E6"/>
    <w:rsid w:val="56822835"/>
    <w:rsid w:val="576B0711"/>
    <w:rsid w:val="58D9361F"/>
    <w:rsid w:val="58F3787D"/>
    <w:rsid w:val="59102BB0"/>
    <w:rsid w:val="5A040CB7"/>
    <w:rsid w:val="5C1475A8"/>
    <w:rsid w:val="5C785C05"/>
    <w:rsid w:val="5DCB0934"/>
    <w:rsid w:val="5F2D2736"/>
    <w:rsid w:val="5F505B7A"/>
    <w:rsid w:val="5F9562D4"/>
    <w:rsid w:val="620E1A37"/>
    <w:rsid w:val="63865209"/>
    <w:rsid w:val="64060ECF"/>
    <w:rsid w:val="64A5340D"/>
    <w:rsid w:val="65D17064"/>
    <w:rsid w:val="6639313E"/>
    <w:rsid w:val="668E63C0"/>
    <w:rsid w:val="688345E5"/>
    <w:rsid w:val="69AC14C8"/>
    <w:rsid w:val="6ABE3FFA"/>
    <w:rsid w:val="6BBE1DBB"/>
    <w:rsid w:val="6CCD436F"/>
    <w:rsid w:val="6DF71B92"/>
    <w:rsid w:val="6EA82FD7"/>
    <w:rsid w:val="6FBA2F7F"/>
    <w:rsid w:val="700F7EB5"/>
    <w:rsid w:val="70235CED"/>
    <w:rsid w:val="71773B60"/>
    <w:rsid w:val="719C4C23"/>
    <w:rsid w:val="721B2E1F"/>
    <w:rsid w:val="72304A50"/>
    <w:rsid w:val="732365F9"/>
    <w:rsid w:val="74741EA4"/>
    <w:rsid w:val="74977AC0"/>
    <w:rsid w:val="74FE5C82"/>
    <w:rsid w:val="75B274AF"/>
    <w:rsid w:val="76904F43"/>
    <w:rsid w:val="774365CD"/>
    <w:rsid w:val="77620DBB"/>
    <w:rsid w:val="77E57CEF"/>
    <w:rsid w:val="77EE5940"/>
    <w:rsid w:val="780D4938"/>
    <w:rsid w:val="791954AD"/>
    <w:rsid w:val="7A4256E7"/>
    <w:rsid w:val="7A783CD3"/>
    <w:rsid w:val="7B2F07F1"/>
    <w:rsid w:val="7C18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902</Words>
  <Characters>5145</Characters>
  <Lines>42</Lines>
  <Paragraphs>12</Paragraphs>
  <TotalTime>2</TotalTime>
  <ScaleCrop>false</ScaleCrop>
  <LinksUpToDate>false</LinksUpToDate>
  <CharactersWithSpaces>6035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2022-07-20T01:35:00Z</dcterms:created>
  <dc:creator>Administrator</dc:creator>
  <cp:lastModifiedBy>lenmo</cp:lastModifiedBy>
  <dcterms:modified xsi:type="dcterms:W3CDTF">2022-11-22T01:19:45Z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E6E9D85809614EC4ACE90B2F16CEFDD7</vt:lpwstr>
  </property>
</Properties>
</file>