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PTA干燥剂2</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val="en-US" w:eastAsia="zh-CN"/>
        </w:rPr>
        <w:t>FHC</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PTA干燥剂2</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1103</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w:t>
      </w:r>
      <w:r>
        <w:rPr>
          <w:rFonts w:hint="eastAsia" w:asciiTheme="minorEastAsia" w:hAnsiTheme="minorEastAsia" w:eastAsiaTheme="minorEastAsia" w:cstheme="minorEastAsia"/>
          <w:kern w:val="0"/>
          <w:sz w:val="28"/>
          <w:szCs w:val="28"/>
          <w:shd w:val="clear" w:color="auto" w:fill="FFFFFF"/>
          <w:lang w:val="en-US" w:eastAsia="zh-CN"/>
        </w:rPr>
        <w:t>年11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 </w:t>
      </w:r>
    </w:p>
    <w:p>
      <w:pPr>
        <w:spacing w:line="300" w:lineRule="auto"/>
        <w:jc w:val="center"/>
        <w:rPr>
          <w:bCs/>
          <w:szCs w:val="21"/>
        </w:rPr>
      </w:pPr>
      <w:r>
        <w:rPr>
          <w:rFonts w:hint="eastAsia"/>
          <w:b/>
          <w:bCs/>
          <w:sz w:val="32"/>
          <w:lang w:val="en-US" w:eastAsia="zh-CN"/>
        </w:rPr>
        <w:t>PTA干燥剂2</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 </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PTA干燥剂2</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PTA干燥剂2</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PTA干燥剂2</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柒仟</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11月15</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公司经营业绩证明（合同或发票）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柒仟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 xml:space="preserve"> 谢凯杰</w:t>
      </w:r>
      <w:r>
        <w:rPr>
          <w:rFonts w:hint="eastAsia" w:asciiTheme="minorEastAsia" w:hAnsiTheme="minorEastAsia" w:eastAsiaTheme="minorEastAsia"/>
          <w:bCs/>
          <w:sz w:val="24"/>
        </w:rPr>
        <w:t xml:space="preserve"> 电话：</w:t>
      </w:r>
      <w:r>
        <w:rPr>
          <w:rFonts w:hint="eastAsia" w:cs="宋体" w:asciiTheme="minorEastAsia" w:hAnsiTheme="minorEastAsia"/>
          <w:bCs/>
          <w:sz w:val="24"/>
        </w:rPr>
        <w:t>1</w:t>
      </w:r>
      <w:r>
        <w:rPr>
          <w:rFonts w:hint="eastAsia" w:cs="宋体" w:asciiTheme="minorEastAsia" w:hAnsiTheme="minorEastAsia"/>
          <w:bCs/>
          <w:sz w:val="24"/>
          <w:lang w:val="en-US" w:eastAsia="zh-CN"/>
        </w:rPr>
        <w:t>8259236628</w:t>
      </w:r>
      <w:r>
        <w:rPr>
          <w:rFonts w:hint="eastAsia" w:cs="宋体" w:asciiTheme="minorEastAsia" w:hAnsiTheme="minorEastAsia"/>
          <w:bCs/>
          <w:sz w:val="24"/>
        </w:rPr>
        <w:t xml:space="preserve"> </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kjxie</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翔鹭石化（漳州）有限公司 </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rPr>
          <w:rFonts w:hint="eastAsia" w:asciiTheme="minorEastAsia" w:hAnsiTheme="minorEastAsia" w:eastAsiaTheme="minorEastAsia"/>
          <w:bCs/>
          <w:sz w:val="24"/>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PTA干燥剂2</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柒仟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）PTA干燥剂质量规范</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PTA干燥剂2</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1103</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加氢裂化装置PTA干燥剂2</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PTA干燥剂2</w:t>
      </w:r>
      <w:r>
        <w:rPr>
          <w:rFonts w:hint="eastAsia" w:ascii="宋体" w:cs="宋体"/>
          <w:sz w:val="24"/>
        </w:rPr>
        <w:t>数量：</w:t>
      </w:r>
      <w:r>
        <w:rPr>
          <w:rFonts w:hint="eastAsia" w:ascii="宋体" w:cs="宋体"/>
          <w:sz w:val="24"/>
          <w:lang w:val="en-US" w:eastAsia="zh-CN"/>
        </w:rPr>
        <w:t>36吨。</w:t>
      </w:r>
    </w:p>
    <w:p>
      <w:pPr>
        <w:numPr>
          <w:ilvl w:val="0"/>
          <w:numId w:val="5"/>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产品性能指标要求：见附件PTA干燥剂质量规范。</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吨袋包装，编织袋</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w:t>
      </w:r>
      <w:r>
        <w:rPr>
          <w:rFonts w:hint="eastAsia" w:ascii="宋体" w:hAnsi="宋体"/>
          <w:sz w:val="24"/>
          <w:lang w:val="en-US" w:eastAsia="zh-CN"/>
        </w:rPr>
        <w:t>需于2022年12月中旬到货现场</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PTA干燥剂2</w:t>
      </w:r>
      <w:r>
        <w:rPr>
          <w:rFonts w:hint="eastAsia" w:asciiTheme="minorEastAsia" w:hAnsiTheme="minorEastAsia" w:eastAsiaTheme="minorEastAsia"/>
          <w:bCs/>
          <w:kern w:val="0"/>
          <w:sz w:val="24"/>
        </w:rPr>
        <w:t>为</w:t>
      </w:r>
      <w:r>
        <w:rPr>
          <w:rFonts w:hint="eastAsia" w:ascii="宋体" w:hAnsi="宋体" w:cs="宋体"/>
          <w:sz w:val="24"/>
        </w:rPr>
        <w:t>含税送到价。</w:t>
      </w:r>
      <w:r>
        <w:rPr>
          <w:rFonts w:hint="eastAsia" w:ascii="宋体" w:hAnsi="宋体" w:cs="宋体"/>
          <w:sz w:val="24"/>
          <w:u w:val="single"/>
          <w:lang w:val="en-US" w:eastAsia="zh-CN"/>
        </w:rPr>
        <w:t>干燥剂入厂后需取样委托第三方检测，检测费用由供货方承担。</w:t>
      </w:r>
      <w:r>
        <w:rPr>
          <w:rFonts w:hint="eastAsia" w:ascii="宋体" w:hAnsi="宋体" w:cs="宋体"/>
          <w:sz w:val="24"/>
        </w:rPr>
        <w:t>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、PTA干燥剂质量规范</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1103</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1103</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1103</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PTA干燥剂2</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36吨。</w:t>
      </w:r>
    </w:p>
    <w:p>
      <w:pPr>
        <w:numPr>
          <w:ilvl w:val="0"/>
          <w:numId w:val="7"/>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u w:val="single"/>
          <w:lang w:val="en-US" w:eastAsia="zh-CN"/>
        </w:rPr>
        <w:t>（备注：干燥剂入厂后需取样委托第三方检测，检测费用由供方承担。）</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4、PTA干燥剂2</w:t>
      </w:r>
      <w:r>
        <w:rPr>
          <w:rFonts w:hint="eastAsia" w:ascii="宋体" w:hAnsi="宋体" w:cs="宋体"/>
          <w:sz w:val="24"/>
          <w:lang w:val="en-US" w:eastAsia="zh-CN"/>
        </w:rPr>
        <w:t>性能指标要求</w:t>
      </w:r>
      <w:r>
        <w:rPr>
          <w:rFonts w:hint="eastAsia" w:ascii="宋体" w:hAnsi="宋体"/>
          <w:sz w:val="24"/>
          <w:lang w:val="en-US" w:eastAsia="zh-CN"/>
        </w:rPr>
        <w:t>：详见附件PTA干燥剂质量规范。</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cs="宋体"/>
          <w:sz w:val="24"/>
          <w:lang w:val="en-US" w:eastAsia="zh-CN"/>
        </w:rPr>
        <w:t>吨袋包装，编织袋。</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柒仟</w:t>
      </w:r>
      <w:r>
        <w:rPr>
          <w:rFonts w:hint="eastAsia" w:ascii="宋体" w:hAnsi="宋体"/>
          <w:sz w:val="24"/>
        </w:rPr>
        <w:t>元整，若我司中选，我司同意按照要求</w:t>
      </w:r>
      <w:r>
        <w:rPr>
          <w:rFonts w:hint="eastAsia" w:ascii="宋体" w:hAnsi="宋体"/>
          <w:sz w:val="24"/>
          <w:lang w:val="en-US" w:eastAsia="zh-CN"/>
        </w:rPr>
        <w:t>转为履约保证金待履约后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到货，货物</w:t>
      </w:r>
      <w:r>
        <w:rPr>
          <w:rFonts w:hint="eastAsia" w:ascii="宋体" w:hAnsi="宋体"/>
          <w:sz w:val="24"/>
          <w:lang w:val="en-US" w:eastAsia="zh-CN"/>
        </w:rPr>
        <w:t>需于2022年12月中旬到货现场</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 </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FHC</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PTA干燥剂2</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1103</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质量规范</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质量规范</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both"/>
        <w:rPr>
          <w:rFonts w:hint="eastAsia" w:ascii="宋体" w:hAnsi="宋体"/>
          <w:sz w:val="28"/>
          <w:szCs w:val="28"/>
          <w:lang w:val="en-US" w:eastAsia="zh-CN"/>
        </w:rPr>
      </w:pPr>
    </w:p>
    <w:p>
      <w:pPr>
        <w:wordWrap w:val="0"/>
        <w:jc w:val="both"/>
        <w:rPr>
          <w:rFonts w:hint="eastAsia" w:ascii="宋体" w:hAnsi="宋体"/>
          <w:sz w:val="28"/>
          <w:szCs w:val="28"/>
          <w:lang w:val="en-US" w:eastAsia="zh-CN"/>
        </w:rPr>
      </w:pPr>
      <w:r>
        <w:rPr>
          <w:rFonts w:hint="eastAsia" w:ascii="宋体" w:hAnsi="宋体"/>
          <w:sz w:val="28"/>
          <w:szCs w:val="28"/>
          <w:lang w:val="en-US" w:eastAsia="zh-CN"/>
        </w:rPr>
        <w:t>附件：PTA干燥剂质量规范</w:t>
      </w:r>
    </w:p>
    <w:p>
      <w:pPr>
        <w:wordWrap w:val="0"/>
        <w:jc w:val="both"/>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5269230" cy="4844415"/>
            <wp:effectExtent l="0" t="0" r="1270" b="6985"/>
            <wp:docPr id="2" name="图片 2" descr="165960405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9604054403"/>
                    <pic:cNvPicPr>
                      <a:picLocks noChangeAspect="1"/>
                    </pic:cNvPicPr>
                  </pic:nvPicPr>
                  <pic:blipFill>
                    <a:blip r:embed="rId5"/>
                    <a:stretch>
                      <a:fillRect/>
                    </a:stretch>
                  </pic:blipFill>
                  <pic:spPr>
                    <a:xfrm>
                      <a:off x="0" y="0"/>
                      <a:ext cx="5269230" cy="4844415"/>
                    </a:xfrm>
                    <a:prstGeom prst="rect">
                      <a:avLst/>
                    </a:prstGeom>
                  </pic:spPr>
                </pic:pic>
              </a:graphicData>
            </a:graphic>
          </wp:inline>
        </w:drawing>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 </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一次性到货，货物需于2022年12月中旬到货现场。</w:t>
      </w:r>
      <w:bookmarkStart w:id="2" w:name="_GoBack"/>
      <w:bookmarkEnd w:id="2"/>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 </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 </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5.1供方根据需方要求缴纳履约保证金并作为合同质保金，金额为人民币柒仟元整。合同履约后供方按合同约定全面履约的情况下，需方于供方提交返还履约保证金申请后30天内无息返还。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尾气干燥剂入厂后需取样委托第三方检测，检测费用由供货方承担。</w:t>
      </w:r>
    </w:p>
    <w:p>
      <w:pPr>
        <w:spacing w:line="300" w:lineRule="exact"/>
        <w:ind w:firstLine="420" w:firstLineChars="200"/>
        <w:rPr>
          <w:rFonts w:hint="eastAsia"/>
          <w:szCs w:val="21"/>
          <w:lang w:val="en-US" w:eastAsia="zh-CN"/>
        </w:rPr>
      </w:pPr>
      <w:r>
        <w:rPr>
          <w:rFonts w:hint="eastAsia"/>
          <w:szCs w:val="21"/>
          <w:lang w:val="en-US" w:eastAsia="zh-CN"/>
        </w:rPr>
        <w:t>5.3质量指标：见附件PTA干燥剂质量规范。</w:t>
      </w:r>
    </w:p>
    <w:p>
      <w:pPr>
        <w:spacing w:line="300" w:lineRule="exact"/>
        <w:ind w:firstLine="420" w:firstLineChars="200"/>
        <w:rPr>
          <w:rFonts w:hint="eastAsia"/>
          <w:szCs w:val="21"/>
          <w:lang w:val="en-US" w:eastAsia="zh-CN"/>
        </w:rPr>
      </w:pPr>
    </w:p>
    <w:p>
      <w:pPr>
        <w:spacing w:line="360" w:lineRule="auto"/>
        <w:jc w:val="left"/>
        <w:rPr>
          <w:rFonts w:hint="eastAsia" w:ascii="宋体" w:hAnsi="宋体" w:eastAsia="宋体" w:cs="宋体"/>
          <w:b w:val="0"/>
          <w:bCs/>
          <w:sz w:val="28"/>
          <w:szCs w:val="28"/>
          <w:lang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sz w:val="28"/>
          <w:szCs w:val="28"/>
          <w:lang w:val="en-US" w:eastAsia="zh-CN"/>
        </w:rPr>
        <w:t>附件二：PTA干燥剂质量规范</w:t>
      </w:r>
    </w:p>
    <w:p>
      <w:pPr>
        <w:spacing w:line="360" w:lineRule="auto"/>
        <w:jc w:val="left"/>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drawing>
          <wp:inline distT="0" distB="0" distL="114300" distR="114300">
            <wp:extent cx="5269230" cy="4844415"/>
            <wp:effectExtent l="0" t="0" r="1270" b="6985"/>
            <wp:docPr id="4" name="图片 4" descr="165960409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9604097750"/>
                    <pic:cNvPicPr>
                      <a:picLocks noChangeAspect="1"/>
                    </pic:cNvPicPr>
                  </pic:nvPicPr>
                  <pic:blipFill>
                    <a:blip r:embed="rId5"/>
                    <a:stretch>
                      <a:fillRect/>
                    </a:stretch>
                  </pic:blipFill>
                  <pic:spPr>
                    <a:xfrm>
                      <a:off x="0" y="0"/>
                      <a:ext cx="5269230" cy="484441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15452"/>
    <w:rsid w:val="02D53A40"/>
    <w:rsid w:val="03033536"/>
    <w:rsid w:val="03261A08"/>
    <w:rsid w:val="032D15FD"/>
    <w:rsid w:val="032F04D8"/>
    <w:rsid w:val="03E270E3"/>
    <w:rsid w:val="03E5328D"/>
    <w:rsid w:val="042207A6"/>
    <w:rsid w:val="04444FBA"/>
    <w:rsid w:val="04675C1C"/>
    <w:rsid w:val="046B7835"/>
    <w:rsid w:val="046E24C0"/>
    <w:rsid w:val="046F7ACF"/>
    <w:rsid w:val="0546217C"/>
    <w:rsid w:val="059A34DA"/>
    <w:rsid w:val="059B734C"/>
    <w:rsid w:val="05C112E8"/>
    <w:rsid w:val="05CE4353"/>
    <w:rsid w:val="05CF5BDF"/>
    <w:rsid w:val="061013A0"/>
    <w:rsid w:val="064416AA"/>
    <w:rsid w:val="06A3708D"/>
    <w:rsid w:val="06AB00B1"/>
    <w:rsid w:val="06BB17D9"/>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DD75BB"/>
    <w:rsid w:val="0B0D38CD"/>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EF6490E"/>
    <w:rsid w:val="0F3141ED"/>
    <w:rsid w:val="0F4E62EA"/>
    <w:rsid w:val="0F821B8F"/>
    <w:rsid w:val="0F8C0A60"/>
    <w:rsid w:val="0FA364D6"/>
    <w:rsid w:val="0FCE6C96"/>
    <w:rsid w:val="0FE34343"/>
    <w:rsid w:val="10167D42"/>
    <w:rsid w:val="105A2ADD"/>
    <w:rsid w:val="105B6F62"/>
    <w:rsid w:val="108E2EA4"/>
    <w:rsid w:val="10C613A6"/>
    <w:rsid w:val="10F1561E"/>
    <w:rsid w:val="111E4EA7"/>
    <w:rsid w:val="11681EF3"/>
    <w:rsid w:val="116909B8"/>
    <w:rsid w:val="11715093"/>
    <w:rsid w:val="118A38B5"/>
    <w:rsid w:val="122E4A94"/>
    <w:rsid w:val="125F61EF"/>
    <w:rsid w:val="12632F49"/>
    <w:rsid w:val="12737A03"/>
    <w:rsid w:val="12837C22"/>
    <w:rsid w:val="12CF31F9"/>
    <w:rsid w:val="12EA195B"/>
    <w:rsid w:val="12F479DF"/>
    <w:rsid w:val="1363320F"/>
    <w:rsid w:val="1387789C"/>
    <w:rsid w:val="13B74194"/>
    <w:rsid w:val="142F7DC3"/>
    <w:rsid w:val="14937361"/>
    <w:rsid w:val="149868E6"/>
    <w:rsid w:val="14FC5116"/>
    <w:rsid w:val="15033088"/>
    <w:rsid w:val="150647E6"/>
    <w:rsid w:val="15101A52"/>
    <w:rsid w:val="15125849"/>
    <w:rsid w:val="15407DC8"/>
    <w:rsid w:val="15BF2E22"/>
    <w:rsid w:val="15C23309"/>
    <w:rsid w:val="15C31A47"/>
    <w:rsid w:val="15F16D9A"/>
    <w:rsid w:val="15FE1378"/>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3168AB"/>
    <w:rsid w:val="1A4C05AB"/>
    <w:rsid w:val="1A4F0A64"/>
    <w:rsid w:val="1AF22A1C"/>
    <w:rsid w:val="1AFD66F4"/>
    <w:rsid w:val="1B233A0E"/>
    <w:rsid w:val="1B2F1627"/>
    <w:rsid w:val="1B7C1123"/>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2553D"/>
    <w:rsid w:val="207E3421"/>
    <w:rsid w:val="208A175C"/>
    <w:rsid w:val="2090579A"/>
    <w:rsid w:val="20AF45AF"/>
    <w:rsid w:val="21097A8A"/>
    <w:rsid w:val="215846DF"/>
    <w:rsid w:val="21BD6DBB"/>
    <w:rsid w:val="22345BE0"/>
    <w:rsid w:val="22521DD3"/>
    <w:rsid w:val="227B0690"/>
    <w:rsid w:val="228E5A58"/>
    <w:rsid w:val="22A35795"/>
    <w:rsid w:val="22A62B30"/>
    <w:rsid w:val="22ED3ED6"/>
    <w:rsid w:val="231117F3"/>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D22CF4"/>
    <w:rsid w:val="27E234BC"/>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D36FC0"/>
    <w:rsid w:val="2BE04E2E"/>
    <w:rsid w:val="2BFD3451"/>
    <w:rsid w:val="2C0B2A13"/>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0F45AD"/>
    <w:rsid w:val="322E5C7B"/>
    <w:rsid w:val="323D28AC"/>
    <w:rsid w:val="32492609"/>
    <w:rsid w:val="32745826"/>
    <w:rsid w:val="327513D6"/>
    <w:rsid w:val="327D4743"/>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9057ED7"/>
    <w:rsid w:val="39137A71"/>
    <w:rsid w:val="3955569C"/>
    <w:rsid w:val="39657C8F"/>
    <w:rsid w:val="3969383E"/>
    <w:rsid w:val="39882841"/>
    <w:rsid w:val="39ED2847"/>
    <w:rsid w:val="3A4967DD"/>
    <w:rsid w:val="3A500A72"/>
    <w:rsid w:val="3A5116BA"/>
    <w:rsid w:val="3A5B7748"/>
    <w:rsid w:val="3A7E2F25"/>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146BD"/>
    <w:rsid w:val="3E447FF5"/>
    <w:rsid w:val="3E536639"/>
    <w:rsid w:val="3E607252"/>
    <w:rsid w:val="3EEE28F9"/>
    <w:rsid w:val="3F1539A0"/>
    <w:rsid w:val="3F1E4982"/>
    <w:rsid w:val="3F516B77"/>
    <w:rsid w:val="3F8B1C0C"/>
    <w:rsid w:val="3FEE6A4A"/>
    <w:rsid w:val="401F30A7"/>
    <w:rsid w:val="40457BFD"/>
    <w:rsid w:val="40705383"/>
    <w:rsid w:val="40831E81"/>
    <w:rsid w:val="40891F67"/>
    <w:rsid w:val="408C76E2"/>
    <w:rsid w:val="409057BD"/>
    <w:rsid w:val="40A81698"/>
    <w:rsid w:val="41186225"/>
    <w:rsid w:val="414E2379"/>
    <w:rsid w:val="416F5968"/>
    <w:rsid w:val="417A6877"/>
    <w:rsid w:val="418324AC"/>
    <w:rsid w:val="41A04200"/>
    <w:rsid w:val="41A32F85"/>
    <w:rsid w:val="420F20F6"/>
    <w:rsid w:val="42203971"/>
    <w:rsid w:val="42257F84"/>
    <w:rsid w:val="422D3D55"/>
    <w:rsid w:val="424C2641"/>
    <w:rsid w:val="42680DF6"/>
    <w:rsid w:val="428E4E02"/>
    <w:rsid w:val="42BF0693"/>
    <w:rsid w:val="42DA60A9"/>
    <w:rsid w:val="42DC0DDB"/>
    <w:rsid w:val="43396FCF"/>
    <w:rsid w:val="43434628"/>
    <w:rsid w:val="43482915"/>
    <w:rsid w:val="4351032C"/>
    <w:rsid w:val="4355293C"/>
    <w:rsid w:val="439439C5"/>
    <w:rsid w:val="4395062C"/>
    <w:rsid w:val="43D46D19"/>
    <w:rsid w:val="44236751"/>
    <w:rsid w:val="442A4352"/>
    <w:rsid w:val="448C78B8"/>
    <w:rsid w:val="44B2410D"/>
    <w:rsid w:val="44CB1108"/>
    <w:rsid w:val="44E4129A"/>
    <w:rsid w:val="453F611C"/>
    <w:rsid w:val="454D6E39"/>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05E54"/>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092170"/>
    <w:rsid w:val="512F6EC2"/>
    <w:rsid w:val="513242BC"/>
    <w:rsid w:val="513403C7"/>
    <w:rsid w:val="518B38CB"/>
    <w:rsid w:val="51E145FD"/>
    <w:rsid w:val="51E51CC3"/>
    <w:rsid w:val="52350240"/>
    <w:rsid w:val="52670AC3"/>
    <w:rsid w:val="529A77A5"/>
    <w:rsid w:val="53396CC8"/>
    <w:rsid w:val="53523F58"/>
    <w:rsid w:val="536C4A8A"/>
    <w:rsid w:val="53CE2453"/>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1D2F7F"/>
    <w:rsid w:val="583F04BE"/>
    <w:rsid w:val="5845276D"/>
    <w:rsid w:val="58BD4EAA"/>
    <w:rsid w:val="58C534B8"/>
    <w:rsid w:val="58DA20C8"/>
    <w:rsid w:val="58FE6BB9"/>
    <w:rsid w:val="592E0C31"/>
    <w:rsid w:val="5930567C"/>
    <w:rsid w:val="593259F3"/>
    <w:rsid w:val="594531C0"/>
    <w:rsid w:val="59B64E5B"/>
    <w:rsid w:val="59C41AA5"/>
    <w:rsid w:val="5A196198"/>
    <w:rsid w:val="5A36290A"/>
    <w:rsid w:val="5B004781"/>
    <w:rsid w:val="5B181650"/>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197D9E"/>
    <w:rsid w:val="5F3C0936"/>
    <w:rsid w:val="5F5A2BA2"/>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121F08"/>
    <w:rsid w:val="64383FFB"/>
    <w:rsid w:val="6457654C"/>
    <w:rsid w:val="64834708"/>
    <w:rsid w:val="64AC0A38"/>
    <w:rsid w:val="64BD300D"/>
    <w:rsid w:val="64D45316"/>
    <w:rsid w:val="651A5C4B"/>
    <w:rsid w:val="653116C9"/>
    <w:rsid w:val="653261FA"/>
    <w:rsid w:val="653A164C"/>
    <w:rsid w:val="65813C7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824D44"/>
    <w:rsid w:val="6A2F7D3D"/>
    <w:rsid w:val="6AC26EA2"/>
    <w:rsid w:val="6AC44695"/>
    <w:rsid w:val="6AE6627C"/>
    <w:rsid w:val="6B477EF6"/>
    <w:rsid w:val="6B513865"/>
    <w:rsid w:val="6B9A256C"/>
    <w:rsid w:val="6BA373FF"/>
    <w:rsid w:val="6BEB1E5F"/>
    <w:rsid w:val="6C4957FC"/>
    <w:rsid w:val="6C53730E"/>
    <w:rsid w:val="6C5534FB"/>
    <w:rsid w:val="6C61176F"/>
    <w:rsid w:val="6C666306"/>
    <w:rsid w:val="6D387925"/>
    <w:rsid w:val="6D3E0CE6"/>
    <w:rsid w:val="6D440BBC"/>
    <w:rsid w:val="6D5817D8"/>
    <w:rsid w:val="6D6E3F95"/>
    <w:rsid w:val="6DB151E2"/>
    <w:rsid w:val="6DBF39F3"/>
    <w:rsid w:val="6DC0644E"/>
    <w:rsid w:val="6E137528"/>
    <w:rsid w:val="6E80463B"/>
    <w:rsid w:val="6E895A0C"/>
    <w:rsid w:val="6EC56FAA"/>
    <w:rsid w:val="6F22793F"/>
    <w:rsid w:val="6F457884"/>
    <w:rsid w:val="6F570F4E"/>
    <w:rsid w:val="6F7C1012"/>
    <w:rsid w:val="6F883155"/>
    <w:rsid w:val="6F8C7070"/>
    <w:rsid w:val="6FA035B9"/>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2032A"/>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6460B6A"/>
    <w:rsid w:val="765748C8"/>
    <w:rsid w:val="766F66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0C273A"/>
    <w:rsid w:val="7A1A7F37"/>
    <w:rsid w:val="7A1C7B11"/>
    <w:rsid w:val="7A37206F"/>
    <w:rsid w:val="7A741385"/>
    <w:rsid w:val="7A7E5483"/>
    <w:rsid w:val="7AAF231C"/>
    <w:rsid w:val="7AC84743"/>
    <w:rsid w:val="7AEC20F3"/>
    <w:rsid w:val="7AEE1591"/>
    <w:rsid w:val="7B2F1AD6"/>
    <w:rsid w:val="7B7027FC"/>
    <w:rsid w:val="7B740622"/>
    <w:rsid w:val="7B8D786E"/>
    <w:rsid w:val="7B994BC5"/>
    <w:rsid w:val="7BDC7402"/>
    <w:rsid w:val="7BE145C1"/>
    <w:rsid w:val="7C152DD9"/>
    <w:rsid w:val="7C520931"/>
    <w:rsid w:val="7CAD1982"/>
    <w:rsid w:val="7CD535CF"/>
    <w:rsid w:val="7D34076E"/>
    <w:rsid w:val="7D53381A"/>
    <w:rsid w:val="7D624404"/>
    <w:rsid w:val="7DF25444"/>
    <w:rsid w:val="7DF27933"/>
    <w:rsid w:val="7E2C708B"/>
    <w:rsid w:val="7E5043C5"/>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40</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2022-11-03T02:26:36Z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