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对讲机维修及系统服务</w:t>
      </w:r>
      <w:r>
        <w:rPr>
          <w:rFonts w:hint="eastAsia" w:ascii="微软雅黑" w:eastAsia="微软雅黑"/>
          <w:b/>
          <w:sz w:val="52"/>
          <w:szCs w:val="22"/>
          <w:u w:val="single"/>
          <w:lang w:val="en-US" w:eastAsia="zh-CN"/>
        </w:rPr>
        <w:t>年约</w:t>
      </w:r>
      <w:r>
        <w:rPr>
          <w:rFonts w:hint="eastAsia" w:ascii="微软雅黑" w:eastAsia="微软雅黑"/>
          <w:b/>
          <w:sz w:val="52"/>
          <w:szCs w:val="22"/>
          <w:u w:val="single"/>
          <w:lang w:eastAsia="zh-CN"/>
        </w:rPr>
        <w:t>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ascii="宋体" w:hAnsi="宋体" w:eastAsia="宋体" w:cs="宋体"/>
          <w:sz w:val="24"/>
          <w:szCs w:val="24"/>
        </w:rPr>
        <w:t>FHC-PTCG20220909001</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6"/>
        <w:numPr>
          <w:ilvl w:val="0"/>
          <w:numId w:val="6"/>
        </w:numPr>
        <w:tabs>
          <w:tab w:val="left" w:pos="1272"/>
        </w:tabs>
        <w:spacing w:before="0" w:line="600" w:lineRule="exact"/>
        <w:ind w:firstLine="530" w:firstLineChars="200"/>
        <w:jc w:val="center"/>
        <w:rPr>
          <w:b/>
          <w:w w:val="95"/>
          <w:sz w:val="28"/>
          <w:lang w:eastAsia="zh-CN"/>
        </w:rPr>
      </w:pPr>
      <w:r>
        <w:rPr>
          <w:b/>
          <w:spacing w:val="-1"/>
          <w:w w:val="95"/>
          <w:sz w:val="28"/>
          <w:lang w:eastAsia="zh-CN"/>
        </w:rPr>
        <w:t>比选公</w:t>
      </w:r>
      <w:r>
        <w:rPr>
          <w:b/>
          <w:w w:val="95"/>
          <w:sz w:val="28"/>
          <w:lang w:eastAsia="zh-CN"/>
        </w:rPr>
        <w:t>告</w:t>
      </w:r>
    </w:p>
    <w:p>
      <w:pPr>
        <w:pStyle w:val="2"/>
        <w:spacing w:line="600" w:lineRule="exact"/>
        <w:ind w:firstLine="680" w:firstLineChars="200"/>
      </w:pPr>
    </w:p>
    <w:p>
      <w:pPr>
        <w:ind w:firstLine="643" w:firstLineChars="200"/>
        <w:jc w:val="center"/>
        <w:rPr>
          <w:b/>
          <w:sz w:val="28"/>
          <w:lang w:eastAsia="zh-CN"/>
        </w:rPr>
      </w:pPr>
      <w:r>
        <w:rPr>
          <w:rFonts w:hint="eastAsia"/>
          <w:b/>
          <w:bCs/>
          <w:sz w:val="32"/>
          <w:lang w:eastAsia="zh-CN"/>
        </w:rPr>
        <w:t>福建福海创石油化工有限公司福海创对讲机维修及系统服务</w:t>
      </w:r>
      <w:r>
        <w:rPr>
          <w:rFonts w:hint="eastAsia"/>
          <w:b/>
          <w:bCs/>
          <w:sz w:val="32"/>
          <w:u w:val="none"/>
          <w:lang w:val="en-US" w:eastAsia="zh-CN"/>
        </w:rPr>
        <w:t>年约</w:t>
      </w:r>
      <w:r>
        <w:rPr>
          <w:rFonts w:hint="eastAsia"/>
          <w:b/>
          <w:bCs/>
          <w:sz w:val="32"/>
          <w:lang w:eastAsia="zh-CN"/>
        </w:rPr>
        <w:t>项目比选公告</w:t>
      </w:r>
    </w:p>
    <w:p>
      <w:pPr>
        <w:pStyle w:val="21"/>
        <w:spacing w:before="0"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福建福海创石油化工有限公司福海创对讲机维修及系统服务</w:t>
      </w:r>
      <w:r>
        <w:rPr>
          <w:rFonts w:hint="eastAsia"/>
          <w:color w:val="000000" w:themeColor="text1"/>
          <w:u w:val="single"/>
          <w:lang w:val="en-US" w:eastAsia="zh-CN"/>
        </w:rPr>
        <w:t>年约</w:t>
      </w:r>
      <w:r>
        <w:rPr>
          <w:rFonts w:hint="eastAsia"/>
          <w:color w:val="000000" w:themeColor="text1"/>
          <w:u w:val="single"/>
          <w:lang w:eastAsia="zh-CN"/>
        </w:rPr>
        <w:t>项目（项目编号：</w:t>
      </w:r>
      <w:r>
        <w:rPr>
          <w:rFonts w:hint="eastAsia" w:ascii="宋体" w:hAnsi="宋体" w:eastAsia="宋体" w:cs="宋体"/>
          <w:color w:val="000000" w:themeColor="text1"/>
          <w:sz w:val="24"/>
          <w:szCs w:val="24"/>
          <w:u w:val="single"/>
          <w:lang w:eastAsia="zh-CN"/>
        </w:rPr>
        <w:t>FHC-PTCG20220909001</w:t>
      </w:r>
      <w:r>
        <w:rPr>
          <w:rFonts w:hint="eastAsia" w:ascii="宋体" w:hAnsi="宋体" w:eastAsia="宋体" w:cs="宋体"/>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项目名称：福建福海创石油化工有限公司福海创对讲机维修及系统服务年约项目。</w:t>
      </w:r>
    </w:p>
    <w:p>
      <w:pPr>
        <w:tabs>
          <w:tab w:val="left" w:pos="709"/>
        </w:tabs>
        <w:spacing w:line="600" w:lineRule="exact"/>
        <w:ind w:firstLine="480" w:firstLineChars="200"/>
        <w:jc w:val="both"/>
        <w:rPr>
          <w:sz w:val="24"/>
          <w:szCs w:val="24"/>
          <w:lang w:eastAsia="zh-CN"/>
        </w:rPr>
      </w:pPr>
      <w:r>
        <w:rPr>
          <w:sz w:val="24"/>
          <w:szCs w:val="24"/>
          <w:lang w:eastAsia="zh-CN"/>
        </w:rPr>
        <w:t>2.</w:t>
      </w:r>
      <w:r>
        <w:rPr>
          <w:rFonts w:hint="eastAsia"/>
          <w:sz w:val="24"/>
          <w:szCs w:val="24"/>
          <w:lang w:eastAsia="zh-CN"/>
        </w:rPr>
        <w:t>比选项目说明：</w:t>
      </w:r>
    </w:p>
    <w:p>
      <w:pPr>
        <w:pStyle w:val="76"/>
        <w:adjustRightInd w:val="0"/>
        <w:snapToGrid w:val="0"/>
        <w:spacing w:before="0" w:line="600" w:lineRule="exact"/>
        <w:ind w:left="1" w:firstLine="480" w:firstLineChars="200"/>
        <w:jc w:val="both"/>
        <w:outlineLvl w:val="1"/>
        <w:rPr>
          <w:rFonts w:ascii="宋体" w:hAnsi="宋体" w:eastAsia="宋体" w:cs="Times New Roman"/>
          <w:sz w:val="24"/>
          <w:szCs w:val="24"/>
        </w:rPr>
      </w:pPr>
      <w:r>
        <w:rPr>
          <w:rFonts w:hint="eastAsia" w:cs="Times New Roman"/>
          <w:sz w:val="24"/>
          <w:szCs w:val="24"/>
          <w:lang w:val="en-US" w:eastAsia="zh-CN"/>
        </w:rPr>
        <w:t>1）</w:t>
      </w:r>
      <w:r>
        <w:rPr>
          <w:rFonts w:ascii="宋体" w:hAnsi="宋体" w:eastAsia="宋体" w:cs="Times New Roman"/>
          <w:sz w:val="24"/>
          <w:szCs w:val="24"/>
        </w:rPr>
        <w:t>通过对整个无线通讯系统的专业检测，使各类设备在使用中能得到预警，损坏后能得到及时维修，各类连接线路（包括传输馈线等）能进行常规检查，使无线通讯系统处于良好的运行状态，各类设备和手持对讲机有完善的检测、保养和修理流程，为生产一线正常使用无线通讯系统提供保障。</w:t>
      </w:r>
    </w:p>
    <w:p>
      <w:pPr>
        <w:numPr>
          <w:ilvl w:val="-1"/>
          <w:numId w:val="0"/>
        </w:numPr>
        <w:adjustRightInd/>
        <w:snapToGrid/>
        <w:spacing w:line="600" w:lineRule="exact"/>
        <w:ind w:firstLine="480" w:firstLineChars="200"/>
        <w:jc w:val="both"/>
        <w:outlineLvl w:val="9"/>
        <w:rPr>
          <w:rFonts w:ascii="Arial" w:hAnsi="Arial" w:cs="Arial"/>
          <w:b/>
          <w:sz w:val="28"/>
          <w:szCs w:val="28"/>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w:t>
      </w:r>
      <w:r>
        <w:rPr>
          <w:sz w:val="24"/>
          <w:szCs w:val="24"/>
        </w:rPr>
        <w:t>需要进行专业检测和维修的无线通讯系统设备明细</w:t>
      </w:r>
      <w:r>
        <w:rPr>
          <w:rFonts w:hint="eastAsia"/>
          <w:sz w:val="24"/>
          <w:szCs w:val="24"/>
        </w:rPr>
        <w:t>台账</w:t>
      </w:r>
    </w:p>
    <w:tbl>
      <w:tblPr>
        <w:tblStyle w:val="49"/>
        <w:tblW w:w="863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9"/>
        <w:gridCol w:w="1759"/>
        <w:gridCol w:w="960"/>
        <w:gridCol w:w="9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959" w:type="dxa"/>
            <w:vAlign w:val="center"/>
          </w:tcPr>
          <w:p>
            <w:pPr>
              <w:spacing w:line="60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559" w:type="dxa"/>
            <w:vAlign w:val="center"/>
          </w:tcPr>
          <w:p>
            <w:pPr>
              <w:spacing w:line="600" w:lineRule="exact"/>
              <w:ind w:firstLine="422" w:firstLineChars="200"/>
              <w:jc w:val="center"/>
              <w:rPr>
                <w:rFonts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1759" w:type="dxa"/>
            <w:vAlign w:val="center"/>
          </w:tcPr>
          <w:p>
            <w:pPr>
              <w:spacing w:line="600" w:lineRule="exact"/>
              <w:ind w:firstLine="422" w:firstLineChars="200"/>
              <w:jc w:val="center"/>
              <w:rPr>
                <w:rFonts w:ascii="宋体" w:hAnsi="宋体" w:cs="宋体"/>
                <w:b/>
                <w:bCs/>
                <w:color w:val="000000"/>
                <w:kern w:val="0"/>
                <w:sz w:val="21"/>
                <w:szCs w:val="21"/>
              </w:rPr>
            </w:pPr>
            <w:r>
              <w:rPr>
                <w:rFonts w:hint="eastAsia" w:ascii="宋体" w:hAnsi="宋体" w:cs="宋体"/>
                <w:b/>
                <w:bCs/>
                <w:color w:val="000000"/>
                <w:kern w:val="0"/>
                <w:sz w:val="21"/>
                <w:szCs w:val="21"/>
              </w:rPr>
              <w:t>型号</w:t>
            </w:r>
          </w:p>
        </w:tc>
        <w:tc>
          <w:tcPr>
            <w:tcW w:w="960" w:type="dxa"/>
            <w:vAlign w:val="center"/>
          </w:tcPr>
          <w:p>
            <w:pPr>
              <w:spacing w:line="600" w:lineRule="exact"/>
              <w:ind w:firstLine="0" w:firstLineChars="0"/>
              <w:jc w:val="both"/>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959" w:type="dxa"/>
            <w:vAlign w:val="center"/>
          </w:tcPr>
          <w:p>
            <w:pPr>
              <w:spacing w:line="600" w:lineRule="exact"/>
              <w:ind w:firstLine="0" w:firstLineChars="0"/>
              <w:jc w:val="both"/>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1440" w:type="dxa"/>
            <w:vAlign w:val="center"/>
          </w:tcPr>
          <w:p>
            <w:pPr>
              <w:spacing w:line="600" w:lineRule="exact"/>
              <w:ind w:firstLine="422" w:firstLineChars="200"/>
              <w:jc w:val="both"/>
              <w:rPr>
                <w:rFonts w:ascii="宋体" w:hAnsi="宋体" w:cs="宋体"/>
                <w:b/>
                <w:bCs/>
                <w:kern w:val="0"/>
                <w:sz w:val="21"/>
                <w:szCs w:val="21"/>
              </w:rPr>
            </w:pPr>
            <w:r>
              <w:rPr>
                <w:rFonts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摩托罗拉中转台</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MTR 3000</w:t>
            </w:r>
            <w:r>
              <w:rPr>
                <w:rFonts w:ascii="宋体" w:hAnsi="宋体" w:cs="宋体"/>
                <w:color w:val="000000"/>
                <w:kern w:val="0"/>
                <w:sz w:val="21"/>
                <w:szCs w:val="21"/>
              </w:rPr>
              <w:t xml:space="preserve"> UHF</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摩托罗拉中转台</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ascii="宋体" w:hAnsi="宋体" w:cs="宋体"/>
                <w:color w:val="000000"/>
                <w:kern w:val="0"/>
                <w:sz w:val="21"/>
                <w:szCs w:val="21"/>
              </w:rPr>
              <w:t xml:space="preserve">XIR </w:t>
            </w:r>
            <w:r>
              <w:rPr>
                <w:rFonts w:hint="eastAsia" w:ascii="宋体" w:hAnsi="宋体" w:cs="宋体"/>
                <w:color w:val="000000"/>
                <w:kern w:val="0"/>
                <w:sz w:val="21"/>
                <w:szCs w:val="21"/>
              </w:rPr>
              <w:t>R8200</w:t>
            </w:r>
            <w:r>
              <w:rPr>
                <w:rFonts w:ascii="宋体" w:hAnsi="宋体" w:cs="宋体"/>
                <w:color w:val="000000"/>
                <w:kern w:val="0"/>
                <w:sz w:val="21"/>
                <w:szCs w:val="21"/>
              </w:rPr>
              <w:t xml:space="preserve"> U</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GP338D</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73</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GP338D+</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426</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ascii="宋体" w:hAnsi="宋体" w:cs="宋体"/>
                <w:color w:val="000000"/>
                <w:kern w:val="0"/>
                <w:sz w:val="21"/>
                <w:szCs w:val="21"/>
              </w:rPr>
              <w:t xml:space="preserve">XIR </w:t>
            </w:r>
            <w:r>
              <w:rPr>
                <w:rFonts w:hint="eastAsia" w:ascii="宋体" w:hAnsi="宋体" w:cs="宋体"/>
                <w:color w:val="000000"/>
                <w:kern w:val="0"/>
                <w:sz w:val="21"/>
                <w:szCs w:val="21"/>
              </w:rPr>
              <w:t>P8608 Ex</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德壹八合一合路器</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BS04</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百思盾分路器</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BS05</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百思盾双工器</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BS635</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百思盾近端机</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BS700</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百思盾远端机</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BS800</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百思盾耦合器</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BS03</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百思盾分光器</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BS350</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百思盾室内天线</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BS150</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根</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440" w:type="dxa"/>
            <w:vAlign w:val="center"/>
          </w:tcPr>
          <w:p>
            <w:pPr>
              <w:spacing w:line="600" w:lineRule="exact"/>
              <w:ind w:firstLine="420" w:firstLineChars="20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25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百思盾室外天线</w:t>
            </w:r>
          </w:p>
        </w:tc>
        <w:tc>
          <w:tcPr>
            <w:tcW w:w="17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BS400</w:t>
            </w:r>
          </w:p>
        </w:tc>
        <w:tc>
          <w:tcPr>
            <w:tcW w:w="960"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根</w:t>
            </w:r>
          </w:p>
        </w:tc>
        <w:tc>
          <w:tcPr>
            <w:tcW w:w="959" w:type="dxa"/>
            <w:vAlign w:val="center"/>
          </w:tcPr>
          <w:p>
            <w:pPr>
              <w:spacing w:line="600" w:lineRule="exact"/>
              <w:ind w:firstLine="420" w:firstLineChars="200"/>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600" w:lineRule="exact"/>
              <w:ind w:firstLine="420" w:firstLineChars="200"/>
              <w:jc w:val="center"/>
              <w:rPr>
                <w:rFonts w:ascii="宋体" w:hAnsi="宋体" w:cs="宋体"/>
                <w:kern w:val="0"/>
                <w:sz w:val="21"/>
                <w:szCs w:val="21"/>
              </w:rPr>
            </w:pPr>
          </w:p>
        </w:tc>
      </w:tr>
    </w:tbl>
    <w:p>
      <w:pPr>
        <w:tabs>
          <w:tab w:val="left" w:pos="709"/>
        </w:tabs>
        <w:spacing w:line="600" w:lineRule="exact"/>
        <w:ind w:firstLine="0" w:firstLineChars="0"/>
        <w:jc w:val="both"/>
        <w:rPr>
          <w:sz w:val="24"/>
          <w:szCs w:val="24"/>
          <w:lang w:eastAsia="zh-CN"/>
        </w:rPr>
      </w:pPr>
      <w:bookmarkStart w:id="169" w:name="_GoBack"/>
      <w:bookmarkEnd w:id="169"/>
    </w:p>
    <w:p>
      <w:pPr>
        <w:tabs>
          <w:tab w:val="left" w:pos="709"/>
        </w:tabs>
        <w:spacing w:line="600" w:lineRule="exact"/>
        <w:ind w:firstLine="482" w:firstLineChars="200"/>
        <w:jc w:val="both"/>
        <w:rPr>
          <w:sz w:val="24"/>
          <w:szCs w:val="24"/>
          <w:lang w:eastAsia="zh-CN"/>
        </w:rPr>
      </w:pPr>
      <w:r>
        <w:rPr>
          <w:rFonts w:hint="eastAsia"/>
          <w:b/>
          <w:bCs/>
          <w:sz w:val="24"/>
          <w:szCs w:val="24"/>
          <w:lang w:eastAsia="zh-CN"/>
        </w:rPr>
        <w:t>以上内容具体详见</w:t>
      </w:r>
      <w:r>
        <w:rPr>
          <w:rFonts w:hint="eastAsia" w:ascii="宋体" w:hAnsi="宋体" w:eastAsia="宋体" w:cs="宋体"/>
          <w:b/>
          <w:bCs/>
          <w:sz w:val="24"/>
          <w:szCs w:val="24"/>
          <w:u w:val="none"/>
          <w:lang w:eastAsia="zh-CN"/>
        </w:rPr>
        <w:t>附件</w:t>
      </w:r>
      <w:r>
        <w:rPr>
          <w:rFonts w:hint="eastAsia" w:ascii="宋体" w:hAnsi="宋体" w:eastAsia="宋体" w:cs="宋体"/>
          <w:b/>
          <w:bCs/>
          <w:sz w:val="24"/>
          <w:szCs w:val="24"/>
          <w:u w:val="none"/>
          <w:lang w:val="en-US" w:eastAsia="zh-CN"/>
        </w:rPr>
        <w:t>1</w:t>
      </w:r>
      <w:r>
        <w:rPr>
          <w:rFonts w:hint="eastAsia" w:ascii="宋体" w:hAnsi="宋体" w:eastAsia="宋体" w:cs="宋体"/>
          <w:b/>
          <w:bCs/>
          <w:sz w:val="24"/>
          <w:szCs w:val="24"/>
          <w:u w:val="none"/>
          <w:lang w:eastAsia="zh-CN"/>
        </w:rPr>
        <w:t>、《福海创对讲机维修及系统服务发包说明》</w:t>
      </w:r>
      <w:r>
        <w:rPr>
          <w:rFonts w:hint="eastAsia" w:ascii="宋体" w:hAnsi="宋体" w:eastAsia="宋体" w:cs="宋体"/>
          <w:b/>
          <w:bCs/>
          <w:sz w:val="24"/>
          <w:szCs w:val="24"/>
          <w:lang w:eastAsia="zh-CN"/>
        </w:rPr>
        <w:t>。</w:t>
      </w:r>
    </w:p>
    <w:p>
      <w:pPr>
        <w:tabs>
          <w:tab w:val="left" w:pos="709"/>
        </w:tabs>
        <w:spacing w:line="600" w:lineRule="exact"/>
        <w:ind w:firstLine="480" w:firstLineChars="200"/>
        <w:jc w:val="both"/>
        <w:rPr>
          <w:rFonts w:hint="eastAsia" w:ascii="宋体" w:hAnsi="宋体" w:eastAsia="宋体" w:cs="宋体"/>
          <w:sz w:val="24"/>
          <w:lang w:eastAsia="zh-CN"/>
        </w:rPr>
      </w:pPr>
      <w:r>
        <w:rPr>
          <w:rFonts w:hint="eastAsia"/>
          <w:sz w:val="24"/>
          <w:szCs w:val="24"/>
          <w:lang w:eastAsia="zh-CN"/>
        </w:rPr>
        <w:t>3.</w:t>
      </w:r>
      <w:r>
        <w:rPr>
          <w:rFonts w:hint="eastAsia"/>
          <w:sz w:val="24"/>
          <w:lang w:eastAsia="zh-CN"/>
        </w:rPr>
        <w:t>付款方式要求：全部货款以现汇支付，</w:t>
      </w:r>
      <w:r>
        <w:rPr>
          <w:rFonts w:hint="eastAsia" w:ascii="宋体" w:hAnsi="宋体" w:eastAsia="宋体" w:cs="宋体"/>
          <w:sz w:val="24"/>
          <w:lang w:val="en-US" w:eastAsia="zh-CN"/>
        </w:rPr>
        <w:t>按实际维修量进行结算，当批次验收合格后支付100%货款，如出现维修质量等问题将从验收款或</w:t>
      </w:r>
      <w:bookmarkStart w:id="0" w:name="_Toc80716117"/>
      <w:r>
        <w:rPr>
          <w:rFonts w:hint="eastAsia" w:ascii="宋体" w:hAnsi="宋体" w:eastAsia="宋体" w:cs="宋体"/>
          <w:sz w:val="24"/>
          <w:lang w:val="en-US" w:eastAsia="zh-CN"/>
        </w:rPr>
        <w:t>合同</w:t>
      </w:r>
      <w:r>
        <w:rPr>
          <w:rFonts w:hint="eastAsia" w:ascii="宋体" w:hAnsi="宋体" w:eastAsia="宋体" w:cs="宋体"/>
          <w:b w:val="0"/>
          <w:kern w:val="0"/>
          <w:sz w:val="24"/>
          <w:lang w:eastAsia="zh-CN"/>
        </w:rPr>
        <w:t>履约保证金</w:t>
      </w:r>
      <w:bookmarkEnd w:id="0"/>
      <w:r>
        <w:rPr>
          <w:rFonts w:hint="eastAsia" w:ascii="宋体" w:hAnsi="宋体" w:eastAsia="宋体" w:cs="宋体"/>
          <w:b w:val="0"/>
          <w:kern w:val="0"/>
          <w:sz w:val="24"/>
          <w:lang w:val="en-US" w:eastAsia="zh-CN"/>
        </w:rPr>
        <w:t>中扣除</w:t>
      </w:r>
      <w:r>
        <w:rPr>
          <w:rFonts w:hint="eastAsia" w:ascii="宋体" w:hAnsi="宋体" w:eastAsia="宋体" w:cs="宋体"/>
          <w:sz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asciiTheme="minorEastAsia" w:hAnsiTheme="minorEastAsia" w:eastAsiaTheme="minorEastAsia"/>
          <w:bCs/>
          <w:sz w:val="24"/>
          <w:lang w:eastAsia="zh-CN"/>
        </w:rPr>
        <w:t>具有</w:t>
      </w:r>
      <w:r>
        <w:rPr>
          <w:rFonts w:hint="default" w:ascii="Calibri" w:hAnsi="Calibri" w:eastAsia="宋体" w:cs="Times New Roman"/>
          <w:color w:val="000000" w:themeColor="text1"/>
          <w:kern w:val="2"/>
          <w:sz w:val="24"/>
          <w:szCs w:val="24"/>
          <w:lang w:eastAsia="zh-CN"/>
        </w:rPr>
        <w:t>持有制造商摩托罗拉针对此项目售后维修服务授权</w:t>
      </w:r>
      <w:r>
        <w:rPr>
          <w:rFonts w:hint="eastAsia" w:ascii="Calibri" w:hAnsi="Calibri" w:eastAsia="宋体" w:cs="Times New Roman"/>
          <w:color w:val="000000" w:themeColor="text1"/>
          <w:kern w:val="2"/>
          <w:sz w:val="24"/>
          <w:szCs w:val="24"/>
          <w:lang w:val="en-US" w:eastAsia="zh-CN"/>
        </w:rPr>
        <w:t>证书</w:t>
      </w:r>
      <w:r>
        <w:rPr>
          <w:rFonts w:hint="eastAsia" w:ascii="Calibri" w:hAnsi="Calibri" w:eastAsia="宋体" w:cs="Times New Roman"/>
          <w:bCs w:val="0"/>
          <w:color w:val="000000" w:themeColor="text1"/>
          <w:kern w:val="2"/>
          <w:sz w:val="24"/>
          <w:szCs w:val="24"/>
          <w:lang w:eastAsia="zh-CN"/>
        </w:rPr>
        <w:t>。</w:t>
      </w:r>
    </w:p>
    <w:p>
      <w:pPr>
        <w:widowControl/>
        <w:shd w:val="clear" w:color="auto" w:fill="FFFFFF"/>
        <w:spacing w:line="600" w:lineRule="exact"/>
        <w:ind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4.</w:t>
      </w:r>
      <w:r>
        <w:rPr>
          <w:rFonts w:hint="default" w:ascii="Calibri" w:hAnsi="Calibri" w:eastAsia="宋体" w:cs="Times New Roman"/>
          <w:color w:val="000000" w:themeColor="text1"/>
          <w:kern w:val="2"/>
          <w:sz w:val="24"/>
          <w:szCs w:val="24"/>
          <w:lang w:eastAsia="zh-CN"/>
        </w:rPr>
        <w:t>具有石油化工企业无线通信系统设备维保项目及供货业绩（需提供完整石油石化企业无线通信系统设备维修保养合同，业绩合同复印件加盖投标人公章并</w:t>
      </w:r>
      <w:r>
        <w:rPr>
          <w:rFonts w:ascii="Calibri" w:hAnsi="Calibri" w:eastAsia="宋体" w:cs="Times New Roman"/>
          <w:color w:val="000000" w:themeColor="text1"/>
          <w:kern w:val="2"/>
          <w:sz w:val="24"/>
          <w:szCs w:val="24"/>
          <w:lang w:eastAsia="zh-CN"/>
        </w:rPr>
        <w:t>全部装订在投标文件中</w:t>
      </w:r>
      <w:r>
        <w:rPr>
          <w:rFonts w:hint="default" w:ascii="Calibri" w:hAnsi="Calibri" w:eastAsia="宋体" w:cs="Times New Roman"/>
          <w:color w:val="000000" w:themeColor="text1"/>
          <w:kern w:val="2"/>
          <w:sz w:val="24"/>
          <w:szCs w:val="24"/>
          <w:lang w:eastAsia="zh-CN"/>
        </w:rPr>
        <w:t>，原件备查）</w:t>
      </w:r>
      <w:r>
        <w:rPr>
          <w:rFonts w:hint="default" w:ascii="Calibri" w:hAnsi="Calibri" w:eastAsia="宋体" w:cs="Times New Roman"/>
          <w:bCs w:val="0"/>
          <w:color w:val="000000" w:themeColor="text1"/>
          <w:kern w:val="2"/>
          <w:sz w:val="24"/>
          <w:szCs w:val="24"/>
          <w:lang w:eastAsia="zh-CN"/>
        </w:rPr>
        <w:t>。</w:t>
      </w:r>
      <w:r>
        <w:rPr>
          <w:rFonts w:ascii="Calibri" w:hAnsi="Calibri" w:eastAsia="宋体" w:cs="Times New Roman"/>
          <w:bCs w:val="0"/>
          <w:color w:val="000000" w:themeColor="text1"/>
          <w:kern w:val="2"/>
          <w:sz w:val="24"/>
          <w:szCs w:val="24"/>
          <w:lang w:eastAsia="zh-CN"/>
        </w:rPr>
        <w:t xml:space="preserve"> </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rFonts w:hint="eastAsia"/>
          <w:b/>
          <w:snapToGrid w:val="0"/>
          <w:color w:val="000000" w:themeColor="text1"/>
          <w:spacing w:val="8"/>
          <w:sz w:val="24"/>
          <w:szCs w:val="24"/>
          <w:lang w:eastAsia="zh-CN"/>
        </w:rPr>
        <w:t>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在报名时间期限内</w:t>
      </w:r>
      <w:r>
        <w:rPr>
          <w:rFonts w:hint="eastAsia"/>
          <w:color w:val="000000" w:themeColor="text1"/>
          <w:sz w:val="24"/>
          <w:szCs w:val="24"/>
          <w:lang w:eastAsia="zh-CN"/>
        </w:rPr>
        <w:t>须</w:t>
      </w:r>
      <w:r>
        <w:rPr>
          <w:rFonts w:hint="eastAsia" w:ascii="宋体" w:hAnsi="宋体" w:eastAsia="宋体"/>
          <w:color w:val="000000" w:themeColor="text1"/>
          <w:kern w:val="0"/>
          <w:sz w:val="24"/>
          <w:szCs w:val="24"/>
          <w:lang w:eastAsia="zh-CN"/>
        </w:rPr>
        <w:t>自行赴施工地点详实勘查，</w:t>
      </w:r>
      <w:r>
        <w:rPr>
          <w:rFonts w:hint="eastAsia"/>
          <w:color w:val="000000" w:themeColor="text1"/>
          <w:sz w:val="24"/>
          <w:szCs w:val="24"/>
          <w:lang w:eastAsia="zh-CN"/>
        </w:rPr>
        <w:t>与现场技术人员进行前期技术交流，给出合理的方案。技术交流后经比选人技术人员确认合格后，参选人方可参与后续比选，未进行报名和技术交流确认的参选人不能参加比选。</w:t>
      </w:r>
    </w:p>
    <w:p>
      <w:pPr>
        <w:tabs>
          <w:tab w:val="left" w:pos="709"/>
        </w:tabs>
        <w:spacing w:line="600" w:lineRule="exact"/>
        <w:ind w:firstLine="480" w:firstLineChars="200"/>
        <w:jc w:val="both"/>
        <w:rPr>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600" w:lineRule="exact"/>
        <w:ind w:firstLine="514" w:firstLineChars="200"/>
        <w:jc w:val="both"/>
        <w:rPr>
          <w:rFonts w:hint="eastAsia"/>
          <w:b/>
          <w:snapToGrid w:val="0"/>
          <w:color w:val="000000" w:themeColor="text1"/>
          <w:spacing w:val="8"/>
          <w:w w:val="100"/>
          <w:sz w:val="24"/>
          <w:szCs w:val="24"/>
          <w:lang w:eastAsia="zh-CN"/>
        </w:rPr>
      </w:pPr>
      <w:r>
        <w:rPr>
          <w:rFonts w:hint="eastAsia"/>
          <w:b/>
          <w:snapToGrid w:val="0"/>
          <w:color w:val="000000" w:themeColor="text1"/>
          <w:spacing w:val="8"/>
          <w:w w:val="100"/>
          <w:sz w:val="24"/>
          <w:szCs w:val="24"/>
          <w:lang w:val="en-US" w:eastAsia="zh-CN"/>
        </w:rPr>
        <w:t>五、</w:t>
      </w:r>
      <w:r>
        <w:rPr>
          <w:rFonts w:hint="eastAsia"/>
          <w:b/>
          <w:snapToGrid w:val="0"/>
          <w:color w:val="000000" w:themeColor="text1"/>
          <w:spacing w:val="8"/>
          <w:w w:val="100"/>
          <w:sz w:val="24"/>
          <w:szCs w:val="24"/>
          <w:lang w:eastAsia="zh-CN"/>
        </w:rPr>
        <w:t>参选保证金</w:t>
      </w:r>
    </w:p>
    <w:p>
      <w:pPr>
        <w:pStyle w:val="21"/>
        <w:spacing w:line="600" w:lineRule="exact"/>
        <w:ind w:right="121" w:firstLine="480" w:firstLineChars="20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2</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600" w:lineRule="exact"/>
        <w:ind w:right="121"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600" w:lineRule="exact"/>
        <w:ind w:right="121"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lang w:eastAsia="zh-CN"/>
        </w:rPr>
        <w:t>福海创对讲机维修及系统服务年约项目</w:t>
      </w:r>
      <w:r>
        <w:rPr>
          <w:rFonts w:hint="eastAsia"/>
          <w:color w:val="000000" w:themeColor="text1"/>
          <w:lang w:eastAsia="zh-CN"/>
        </w:rPr>
        <w:t>参选</w:t>
      </w:r>
      <w:r>
        <w:rPr>
          <w:color w:val="000000" w:themeColor="text1"/>
          <w:lang w:eastAsia="zh-CN"/>
        </w:rPr>
        <w:t>保证金</w:t>
      </w:r>
    </w:p>
    <w:p>
      <w:pPr>
        <w:pStyle w:val="21"/>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tabs>
          <w:tab w:val="left" w:pos="709"/>
        </w:tabs>
        <w:spacing w:line="600" w:lineRule="exact"/>
        <w:ind w:firstLine="514" w:firstLineChars="200"/>
        <w:jc w:val="both"/>
        <w:rPr>
          <w:sz w:val="24"/>
          <w:szCs w:val="24"/>
          <w:lang w:eastAsia="zh-CN"/>
        </w:rPr>
      </w:pPr>
      <w:r>
        <w:rPr>
          <w:rFonts w:hint="eastAsia"/>
          <w:b/>
          <w:bCs w:val="0"/>
          <w:snapToGrid w:val="0"/>
          <w:color w:val="000000" w:themeColor="text1"/>
          <w:spacing w:val="8"/>
          <w:sz w:val="24"/>
          <w:szCs w:val="24"/>
          <w:lang w:eastAsia="zh-CN"/>
        </w:rPr>
        <w:t>六、本自主比选采用技术商务综合评分的评标办法，综合评分最高者作为中选单位。</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 xml:space="preserve">商务联系人：徐明兴 </w:t>
      </w:r>
      <w:r>
        <w:rPr>
          <w:rFonts w:hint="eastAsia"/>
          <w:color w:val="000000" w:themeColor="text1"/>
          <w:sz w:val="24"/>
          <w:szCs w:val="24"/>
          <w:lang w:val="en-US" w:eastAsia="zh-CN"/>
        </w:rPr>
        <w:t xml:space="preserve"> </w:t>
      </w:r>
      <w:r>
        <w:rPr>
          <w:rFonts w:hint="eastAsia"/>
          <w:color w:val="000000" w:themeColor="text1"/>
          <w:sz w:val="24"/>
          <w:szCs w:val="24"/>
          <w:lang w:eastAsia="zh-CN"/>
        </w:rPr>
        <w:t xml:space="preserve">电话：13779967252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"mailto:xumx@fhcpec.com.cn" </w:instrText>
      </w:r>
      <w:r>
        <w:rPr>
          <w:rFonts w:hint="eastAsia"/>
          <w:color w:val="000000" w:themeColor="text1"/>
          <w:sz w:val="24"/>
          <w:szCs w:val="24"/>
          <w:lang w:eastAsia="zh-CN"/>
        </w:rPr>
        <w:fldChar w:fldCharType="separate"/>
      </w:r>
      <w:r>
        <w:rPr>
          <w:rStyle w:val="57"/>
          <w:rFonts w:hint="eastAsia"/>
          <w:sz w:val="24"/>
          <w:szCs w:val="24"/>
          <w:lang w:eastAsia="zh-CN"/>
        </w:rPr>
        <w:t>xumx@fhcpec.com.cn</w:t>
      </w:r>
      <w:r>
        <w:rPr>
          <w:rFonts w:hint="eastAsia"/>
          <w:color w:val="000000" w:themeColor="text1"/>
          <w:sz w:val="24"/>
          <w:szCs w:val="24"/>
          <w:lang w:eastAsia="zh-CN"/>
        </w:rPr>
        <w:fldChar w:fldCharType="end"/>
      </w:r>
    </w:p>
    <w:p>
      <w:pPr>
        <w:pStyle w:val="2"/>
        <w:spacing w:line="600" w:lineRule="exact"/>
        <w:ind w:firstLine="680" w:firstLineChars="200"/>
        <w:rPr>
          <w:rFonts w:hint="default"/>
          <w:lang w:val="en-US" w:eastAsia="zh-CN"/>
        </w:rPr>
      </w:pPr>
      <w:r>
        <w:rPr>
          <w:rFonts w:hint="eastAsia"/>
          <w:lang w:val="en-US" w:eastAsia="zh-CN"/>
        </w:rPr>
        <w:t xml:space="preserve">   </w:t>
      </w:r>
      <w:r>
        <w:rPr>
          <w:rFonts w:hint="eastAsia"/>
          <w:sz w:val="24"/>
          <w:szCs w:val="24"/>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color w:val="000000" w:themeColor="text1"/>
          <w:sz w:val="24"/>
          <w:szCs w:val="24"/>
          <w:lang w:eastAsia="zh-CN"/>
        </w:rPr>
        <w:t>罗</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 xml:space="preserve">琦 </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w:t>
      </w:r>
      <w:r>
        <w:rPr>
          <w:rFonts w:hint="eastAsia"/>
          <w:color w:val="000000" w:themeColor="text1"/>
          <w:sz w:val="24"/>
          <w:szCs w:val="24"/>
          <w:lang w:eastAsia="zh-CN"/>
        </w:rPr>
        <w:t>电话：</w:t>
      </w:r>
      <w:r>
        <w:rPr>
          <w:rFonts w:hint="eastAsia" w:ascii="宋体" w:hAnsi="宋体" w:eastAsia="宋体" w:cs="宋体"/>
          <w:color w:val="000000" w:themeColor="text1"/>
          <w:sz w:val="24"/>
          <w:szCs w:val="24"/>
          <w:lang w:eastAsia="zh-CN"/>
        </w:rPr>
        <w:t>13599900778</w:t>
      </w:r>
      <w:r>
        <w:rPr>
          <w:rFonts w:hint="eastAsia" w:hAnsi="宋体" w:cs="宋体"/>
          <w:color w:val="000000" w:themeColor="text1"/>
          <w:sz w:val="24"/>
          <w:szCs w:val="24"/>
          <w:lang w:val="en-US" w:eastAsia="zh-CN"/>
        </w:rPr>
        <w:t xml:space="preserve">  </w:t>
      </w:r>
      <w:r>
        <w:rPr>
          <w:rFonts w:hint="eastAsia"/>
          <w:color w:val="000000" w:themeColor="text1"/>
          <w:sz w:val="24"/>
          <w:szCs w:val="24"/>
          <w:lang w:eastAsia="zh-CN"/>
        </w:rPr>
        <w:t>邮箱：</w:t>
      </w:r>
      <w:r>
        <w:rPr>
          <w:rFonts w:hint="eastAsia" w:ascii="宋体" w:hAnsi="宋体" w:eastAsia="宋体" w:cs="宋体"/>
          <w:color w:val="000000" w:themeColor="text1"/>
          <w:sz w:val="24"/>
          <w:szCs w:val="24"/>
          <w:lang w:eastAsia="zh-CN"/>
        </w:rPr>
        <w:t xml:space="preserve">luoq@fhcpec.com.cn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福建福海创石油化工有限公司福海创对讲机维修及系统服务年约项目。</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暂定总价固定单价据实结算。</w:t>
      </w:r>
      <w:r>
        <w:rPr>
          <w:rFonts w:hint="eastAsia"/>
          <w:color w:val="000000" w:themeColor="text1"/>
          <w:lang w:eastAsia="zh-CN"/>
        </w:rPr>
        <w:t>。</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21"/>
        <w:spacing w:line="360" w:lineRule="auto"/>
        <w:ind w:right="121"/>
        <w:jc w:val="both"/>
        <w:rPr>
          <w:lang w:eastAsia="zh-CN"/>
        </w:rPr>
      </w:pPr>
      <w:r>
        <w:rPr>
          <w:rFonts w:hint="eastAsia"/>
          <w:lang w:eastAsia="zh-CN"/>
        </w:rPr>
        <w:t xml:space="preserve">    6.项目联系人</w:t>
      </w:r>
    </w:p>
    <w:p>
      <w:pPr>
        <w:spacing w:line="360" w:lineRule="auto"/>
        <w:ind w:firstLine="440"/>
        <w:rPr>
          <w:rFonts w:hint="eastAsia" w:ascii="宋体" w:hAnsi="宋体" w:eastAsia="宋体" w:cs="宋体"/>
          <w:color w:val="000000" w:themeColor="text1"/>
          <w:sz w:val="24"/>
          <w:szCs w:val="24"/>
          <w:lang w:eastAsia="zh-CN"/>
        </w:rPr>
      </w:pPr>
      <w:r>
        <w:rPr>
          <w:rFonts w:hint="eastAsia"/>
          <w:sz w:val="24"/>
          <w:szCs w:val="24"/>
          <w:lang w:eastAsia="zh-CN"/>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color w:val="000000" w:themeColor="text1"/>
          <w:sz w:val="24"/>
          <w:szCs w:val="24"/>
          <w:lang w:eastAsia="zh-CN"/>
        </w:rPr>
        <w:t>罗</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 xml:space="preserve">琦 </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13599900778，luoq@fhcpec.com.cn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tabs>
          <w:tab w:val="left" w:pos="709"/>
        </w:tabs>
        <w:spacing w:line="360" w:lineRule="auto"/>
        <w:ind w:firstLine="534" w:firstLineChars="200"/>
        <w:rPr>
          <w:b/>
          <w:w w:val="95"/>
          <w:sz w:val="28"/>
          <w:lang w:eastAsia="zh-CN"/>
        </w:rPr>
      </w:pPr>
      <w:r>
        <w:rPr>
          <w:b/>
          <w:w w:val="95"/>
          <w:sz w:val="28"/>
          <w:lang w:eastAsia="zh-CN"/>
        </w:rPr>
        <w:t>六、</w:t>
      </w:r>
      <w:r>
        <w:rPr>
          <w:rFonts w:hint="eastAsia"/>
          <w:b/>
          <w:w w:val="95"/>
          <w:sz w:val="28"/>
          <w:lang w:eastAsia="zh-CN"/>
        </w:rPr>
        <w:t>参选人资格要求及供货周期要求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asciiTheme="minorEastAsia" w:hAnsiTheme="minorEastAsia" w:eastAsiaTheme="minorEastAsia"/>
          <w:bCs/>
          <w:sz w:val="24"/>
          <w:lang w:eastAsia="zh-CN"/>
        </w:rPr>
        <w:t>具有</w:t>
      </w:r>
      <w:r>
        <w:rPr>
          <w:rFonts w:hint="default" w:ascii="Calibri" w:hAnsi="Calibri" w:eastAsia="宋体" w:cs="Times New Roman"/>
          <w:color w:val="000000" w:themeColor="text1"/>
          <w:kern w:val="2"/>
          <w:sz w:val="24"/>
          <w:szCs w:val="24"/>
          <w:lang w:eastAsia="zh-CN"/>
        </w:rPr>
        <w:t>持有制造商摩托罗拉针对此项目售后维修服务授权</w:t>
      </w:r>
      <w:r>
        <w:rPr>
          <w:rFonts w:hint="eastAsia" w:ascii="Calibri" w:hAnsi="Calibri" w:eastAsia="宋体" w:cs="Times New Roman"/>
          <w:color w:val="000000" w:themeColor="text1"/>
          <w:kern w:val="2"/>
          <w:sz w:val="24"/>
          <w:szCs w:val="24"/>
          <w:lang w:val="en-US" w:eastAsia="zh-CN"/>
        </w:rPr>
        <w:t>证书</w:t>
      </w:r>
      <w:r>
        <w:rPr>
          <w:rFonts w:hint="eastAsia" w:ascii="Calibri" w:hAnsi="Calibri" w:eastAsia="宋体" w:cs="Times New Roman"/>
          <w:bCs w:val="0"/>
          <w:color w:val="000000" w:themeColor="text1"/>
          <w:kern w:val="2"/>
          <w:sz w:val="24"/>
          <w:szCs w:val="24"/>
          <w:lang w:eastAsia="zh-CN"/>
        </w:rPr>
        <w:t>。</w:t>
      </w:r>
    </w:p>
    <w:p>
      <w:pPr>
        <w:widowControl/>
        <w:shd w:val="clear" w:color="auto" w:fill="FFFFFF"/>
        <w:spacing w:line="600" w:lineRule="exact"/>
        <w:ind w:firstLine="480" w:firstLineChars="200"/>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4.</w:t>
      </w:r>
      <w:r>
        <w:rPr>
          <w:rFonts w:hint="default" w:ascii="Calibri" w:hAnsi="Calibri" w:eastAsia="宋体" w:cs="Times New Roman"/>
          <w:color w:val="000000" w:themeColor="text1"/>
          <w:kern w:val="2"/>
          <w:sz w:val="24"/>
          <w:szCs w:val="24"/>
          <w:lang w:eastAsia="zh-CN"/>
        </w:rPr>
        <w:t>具有石油化工企业无线通信系统设备维保项目及供货业绩（需提供完整石油石化企业无线通信系统设备维修保养合同，业绩合同复印件加盖投标人公章并</w:t>
      </w:r>
      <w:r>
        <w:rPr>
          <w:rFonts w:ascii="Calibri" w:hAnsi="Calibri" w:eastAsia="宋体" w:cs="Times New Roman"/>
          <w:color w:val="000000" w:themeColor="text1"/>
          <w:kern w:val="2"/>
          <w:sz w:val="24"/>
          <w:szCs w:val="24"/>
          <w:lang w:eastAsia="zh-CN"/>
        </w:rPr>
        <w:t>全部装订在投标文件中</w:t>
      </w:r>
      <w:r>
        <w:rPr>
          <w:rFonts w:hint="default" w:ascii="Calibri" w:hAnsi="Calibri" w:eastAsia="宋体" w:cs="Times New Roman"/>
          <w:color w:val="000000" w:themeColor="text1"/>
          <w:kern w:val="2"/>
          <w:sz w:val="24"/>
          <w:szCs w:val="24"/>
          <w:lang w:eastAsia="zh-CN"/>
        </w:rPr>
        <w:t>，原件备查）</w:t>
      </w:r>
      <w:r>
        <w:rPr>
          <w:rFonts w:hint="default" w:ascii="Calibri" w:hAnsi="Calibri" w:eastAsia="宋体" w:cs="Times New Roman"/>
          <w:bCs w:val="0"/>
          <w:color w:val="000000" w:themeColor="text1"/>
          <w:kern w:val="2"/>
          <w:sz w:val="24"/>
          <w:szCs w:val="24"/>
          <w:lang w:eastAsia="zh-CN"/>
        </w:rPr>
        <w:t>。</w:t>
      </w:r>
      <w:r>
        <w:rPr>
          <w:rFonts w:ascii="Calibri" w:hAnsi="Calibri" w:eastAsia="宋体" w:cs="Times New Roman"/>
          <w:bCs w:val="0"/>
          <w:color w:val="000000" w:themeColor="text1"/>
          <w:kern w:val="2"/>
          <w:sz w:val="24"/>
          <w:szCs w:val="24"/>
          <w:lang w:eastAsia="zh-CN"/>
        </w:rPr>
        <w:t xml:space="preserve"> </w:t>
      </w:r>
    </w:p>
    <w:p>
      <w:pPr>
        <w:pStyle w:val="21"/>
        <w:spacing w:line="360" w:lineRule="auto"/>
        <w:ind w:left="0" w:leftChars="0" w:right="121" w:firstLine="534" w:firstLineChars="200"/>
        <w:jc w:val="both"/>
        <w:rPr>
          <w:b/>
          <w:w w:val="95"/>
          <w:sz w:val="28"/>
          <w:lang w:eastAsia="zh-CN"/>
        </w:rPr>
      </w:pPr>
      <w:r>
        <w:rPr>
          <w:b/>
          <w:w w:val="95"/>
          <w:sz w:val="28"/>
          <w:lang w:eastAsia="zh-CN"/>
        </w:rPr>
        <w:t>七、参选保证金</w:t>
      </w:r>
    </w:p>
    <w:p>
      <w:pPr>
        <w:pStyle w:val="21"/>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lang w:eastAsia="zh-CN"/>
        </w:rPr>
        <w:t>福海创对讲机维修及系统服务</w:t>
      </w:r>
      <w:r>
        <w:rPr>
          <w:rFonts w:hint="eastAsia"/>
          <w:lang w:val="en-US" w:eastAsia="zh-CN"/>
        </w:rPr>
        <w:t>年约</w:t>
      </w:r>
      <w:r>
        <w:rPr>
          <w:rFonts w:hint="eastAsia"/>
          <w:lang w:eastAsia="zh-CN"/>
        </w:rPr>
        <w:t>项目</w:t>
      </w:r>
      <w:r>
        <w:rPr>
          <w:rFonts w:hint="eastAsia"/>
          <w:color w:val="000000" w:themeColor="text1"/>
          <w:lang w:eastAsia="zh-CN"/>
        </w:rPr>
        <w:t>参选</w:t>
      </w:r>
      <w:r>
        <w:rPr>
          <w:color w:val="000000" w:themeColor="text1"/>
          <w:lang w:eastAsia="zh-CN"/>
        </w:rPr>
        <w:t>保证金</w:t>
      </w:r>
    </w:p>
    <w:p>
      <w:pPr>
        <w:pStyle w:val="21"/>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1"/>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1"/>
        <w:spacing w:line="360" w:lineRule="auto"/>
        <w:ind w:right="121"/>
        <w:jc w:val="both"/>
        <w:rPr>
          <w:lang w:eastAsia="zh-CN"/>
        </w:rPr>
      </w:pPr>
      <w:r>
        <w:rPr>
          <w:rFonts w:hint="eastAsia"/>
          <w:lang w:eastAsia="zh-CN"/>
        </w:rPr>
        <w:t xml:space="preserve">    5.如有下列情况发生，将被没收参选保证金：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pStyle w:val="21"/>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w:t>
      </w:r>
      <w:r>
        <w:rPr>
          <w:rFonts w:hint="eastAsia"/>
          <w:b/>
          <w:color w:val="FF0000"/>
          <w:lang w:val="en-US" w:eastAsia="zh-CN"/>
        </w:rPr>
        <w:t>合同</w:t>
      </w:r>
      <w:r>
        <w:rPr>
          <w:rFonts w:hint="eastAsia"/>
          <w:b/>
          <w:color w:val="FF0000"/>
          <w:lang w:eastAsia="zh-CN"/>
        </w:rPr>
        <w:t>控制价</w:t>
      </w:r>
      <w:r>
        <w:rPr>
          <w:rFonts w:hint="eastAsia"/>
          <w:b/>
          <w:color w:val="FF0000"/>
          <w:lang w:val="en-US" w:eastAsia="zh-CN"/>
        </w:rPr>
        <w:t>暂定总价未税23</w:t>
      </w:r>
      <w:r>
        <w:rPr>
          <w:rFonts w:hint="eastAsia"/>
          <w:b/>
          <w:color w:val="FF0000"/>
          <w:lang w:eastAsia="zh-CN"/>
        </w:rPr>
        <w:t>万元整</w:t>
      </w:r>
      <w:r>
        <w:rPr>
          <w:rFonts w:hint="eastAsia"/>
          <w:lang w:eastAsia="zh-CN"/>
        </w:rPr>
        <w:t>。</w:t>
      </w:r>
    </w:p>
    <w:p>
      <w:pPr>
        <w:tabs>
          <w:tab w:val="left" w:pos="709"/>
        </w:tabs>
        <w:spacing w:before="0"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w:t>
      </w:r>
      <w:r>
        <w:rPr>
          <w:rFonts w:hint="eastAsia"/>
          <w:b w:val="0"/>
          <w:bCs w:val="0"/>
          <w:snapToGrid/>
          <w:color w:val="000000"/>
          <w:spacing w:val="0"/>
          <w:sz w:val="24"/>
          <w:szCs w:val="24"/>
          <w:shd w:val="clear" w:color="auto" w:fill="FFFFFF"/>
          <w:lang w:eastAsia="zh-CN"/>
        </w:rPr>
        <w:t>技术、商务综合评分的评标办法，</w:t>
      </w:r>
      <w:r>
        <w:rPr>
          <w:rFonts w:hint="eastAsia"/>
          <w:color w:val="000000"/>
          <w:sz w:val="24"/>
          <w:szCs w:val="24"/>
          <w:shd w:val="clear" w:color="auto" w:fill="FFFFFF"/>
          <w:lang w:eastAsia="zh-CN"/>
        </w:rPr>
        <w:t>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w:t>
      </w:r>
      <w:r>
        <w:rPr>
          <w:rFonts w:hint="eastAsia" w:ascii="宋体" w:hAnsi="宋体" w:eastAsia="宋体" w:cs="宋体"/>
          <w:sz w:val="24"/>
          <w:lang w:val="en-US" w:eastAsia="zh-CN"/>
        </w:rPr>
        <w:t>按实际维修量进行结算，当批次验收合格后支付100%货款，如出现维修质量等问题将从验收款或合同</w:t>
      </w:r>
      <w:r>
        <w:rPr>
          <w:rFonts w:hint="eastAsia" w:ascii="宋体" w:hAnsi="宋体" w:eastAsia="宋体" w:cs="宋体"/>
          <w:b w:val="0"/>
          <w:kern w:val="0"/>
          <w:sz w:val="24"/>
          <w:lang w:eastAsia="zh-CN"/>
        </w:rPr>
        <w:t>履约保证金</w:t>
      </w:r>
      <w:r>
        <w:rPr>
          <w:rFonts w:hint="eastAsia" w:ascii="宋体" w:hAnsi="宋体" w:eastAsia="宋体" w:cs="宋体"/>
          <w:b w:val="0"/>
          <w:kern w:val="0"/>
          <w:sz w:val="24"/>
          <w:lang w:val="en-US" w:eastAsia="zh-CN"/>
        </w:rPr>
        <w:t>中扣除</w:t>
      </w:r>
      <w:r>
        <w:rPr>
          <w:rFonts w:hint="eastAsia" w:ascii="宋体" w:hAnsi="宋体" w:eastAsia="宋体" w:cs="宋体"/>
          <w:sz w:val="24"/>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sz w:val="24"/>
          <w:szCs w:val="24"/>
          <w:lang w:eastAsia="zh-CN"/>
        </w:rPr>
        <w:t>综合评分</w:t>
      </w:r>
      <w:r>
        <w:rPr>
          <w:rFonts w:hint="eastAsia"/>
          <w:sz w:val="24"/>
          <w:szCs w:val="24"/>
          <w:lang w:val="en-US" w:eastAsia="zh-CN"/>
        </w:rPr>
        <w:t>最高的</w:t>
      </w:r>
      <w:r>
        <w:rPr>
          <w:rFonts w:hint="eastAsia"/>
          <w:sz w:val="24"/>
          <w:szCs w:val="24"/>
          <w:lang w:eastAsia="zh-CN"/>
        </w:rPr>
        <w:t>作为第一中选人，以此类推</w:t>
      </w:r>
      <w:r>
        <w:rPr>
          <w:rFonts w:hint="eastAsia"/>
          <w:color w:val="000000"/>
          <w:sz w:val="24"/>
          <w:szCs w:val="24"/>
          <w:shd w:val="clear" w:color="auto" w:fill="FFFFFF"/>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ascii="Times New Roman" w:hAnsi="Times New Roman" w:eastAsia="宋体" w:cs="Times New Roman"/>
          <w:color w:val="FF0000"/>
        </w:rPr>
        <w:t>腾龙芳烃（漳州）有限公司、翔鹭石化（漳州）有限公司、翔鹭码头投资管理（漳州）有限公司</w:t>
      </w:r>
      <w:r>
        <w:rPr>
          <w:rStyle w:val="51"/>
          <w:rFonts w:hint="eastAsia" w:ascii="Times New Roman" w:hAnsi="Times New Roman" w:eastAsia="宋体" w:cs="Times New Roman"/>
          <w:color w:val="FF0000"/>
          <w:lang w:eastAsia="zh-CN"/>
        </w:rPr>
        <w:t>”作</w:t>
      </w:r>
      <w:r>
        <w:rPr>
          <w:rStyle w:val="51"/>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ascii="Times New Roman"/>
          <w:b/>
          <w:bCs/>
          <w:lang w:eastAsia="zh-CN"/>
        </w:rPr>
      </w:pPr>
      <w:r>
        <w:rPr>
          <w:rFonts w:hint="eastAsia" w:ascii="Times New Roman"/>
          <w:b/>
          <w:bCs/>
          <w:lang w:eastAsia="zh-CN"/>
        </w:rPr>
        <w:t>附件一、合同</w:t>
      </w:r>
      <w:bookmarkStart w:id="1" w:name="_Toc251742852"/>
      <w:r>
        <w:rPr>
          <w:rFonts w:hint="eastAsia" w:ascii="Times New Roman"/>
          <w:b/>
          <w:bCs/>
          <w:lang w:eastAsia="zh-CN"/>
        </w:rPr>
        <w:t>条款</w:t>
      </w:r>
    </w:p>
    <w:p>
      <w:pPr>
        <w:pStyle w:val="21"/>
        <w:rPr>
          <w:rFonts w:ascii="Times New Roman"/>
          <w:b/>
          <w:bCs/>
          <w:lang w:eastAsia="zh-CN"/>
        </w:rPr>
      </w:pPr>
    </w:p>
    <w:p>
      <w:pPr>
        <w:pStyle w:val="21"/>
        <w:rPr>
          <w:rFonts w:ascii="Times New Roman"/>
          <w:b/>
          <w:bCs/>
          <w:lang w:eastAsia="zh-CN"/>
        </w:rPr>
      </w:pPr>
    </w:p>
    <w:p>
      <w:pPr>
        <w:pStyle w:val="21"/>
        <w:rPr>
          <w:rFonts w:ascii="Times New Roman"/>
          <w:b/>
          <w:bCs/>
          <w:lang w:eastAsia="zh-CN"/>
        </w:rPr>
      </w:pPr>
    </w:p>
    <w:p>
      <w:pPr>
        <w:pStyle w:val="21"/>
        <w:rPr>
          <w:rFonts w:ascii="Times New Roman"/>
          <w:b/>
          <w:bCs/>
          <w:lang w:eastAsia="zh-CN"/>
        </w:rPr>
      </w:pPr>
    </w:p>
    <w:p>
      <w:pPr>
        <w:jc w:val="center"/>
        <w:rPr>
          <w:rFonts w:hint="eastAsia" w:ascii="宋体" w:hAnsi="宋体" w:cs="Arial"/>
          <w:sz w:val="24"/>
        </w:rPr>
      </w:pPr>
      <w:bookmarkStart w:id="2" w:name="_Toc2239"/>
      <w:bookmarkStart w:id="3" w:name="_Toc20273"/>
      <w:bookmarkStart w:id="4" w:name="_Toc31173"/>
      <w:bookmarkStart w:id="5" w:name="_Toc31402"/>
      <w:bookmarkStart w:id="6" w:name="_Toc4114"/>
      <w:bookmarkStart w:id="7" w:name="_Toc14171"/>
      <w:bookmarkStart w:id="8" w:name="_Toc20180"/>
      <w:bookmarkStart w:id="9" w:name="_Toc385779252"/>
      <w:bookmarkStart w:id="10" w:name="_Toc27787"/>
      <w:bookmarkStart w:id="11" w:name="_Toc352146655"/>
      <w:bookmarkStart w:id="12" w:name="_Toc10991"/>
      <w:bookmarkStart w:id="13" w:name="_Toc17959"/>
      <w:bookmarkStart w:id="14" w:name="_Toc23434"/>
      <w:bookmarkStart w:id="15" w:name="_Toc18049"/>
      <w:bookmarkStart w:id="16" w:name="_Toc8520"/>
      <w:r>
        <w:rPr>
          <w:rFonts w:hint="eastAsia" w:ascii="Arial" w:hAnsi="Arial" w:cs="Arial"/>
          <w:b/>
          <w:sz w:val="32"/>
          <w:szCs w:val="32"/>
        </w:rPr>
        <w:t>福海创对讲机维修及系统服务合同</w:t>
      </w:r>
    </w:p>
    <w:p>
      <w:pPr>
        <w:spacing w:line="360" w:lineRule="auto"/>
        <w:ind w:firstLine="5040" w:firstLineChars="2100"/>
        <w:jc w:val="both"/>
        <w:rPr>
          <w:rFonts w:hint="eastAsia" w:ascii="宋体" w:hAnsi="宋体" w:cs="Arial"/>
          <w:sz w:val="24"/>
          <w:lang w:val="en-US" w:eastAsia="zh-CN"/>
        </w:rPr>
      </w:pPr>
      <w:r>
        <w:rPr>
          <w:rFonts w:hint="eastAsia" w:ascii="宋体" w:hAnsi="宋体" w:cs="Arial"/>
          <w:sz w:val="24"/>
        </w:rPr>
        <w:t>签订日期：</w:t>
      </w:r>
      <w:r>
        <w:rPr>
          <w:rFonts w:hint="eastAsia" w:ascii="宋体" w:hAnsi="宋体" w:cs="Arial"/>
          <w:sz w:val="24"/>
          <w:lang w:val="en-US" w:eastAsia="zh-CN"/>
        </w:rPr>
        <w:t>2022年  月  日</w:t>
      </w:r>
      <w:r>
        <w:rPr>
          <w:rFonts w:hint="eastAsia" w:ascii="宋体" w:hAnsi="宋体" w:cs="Arial"/>
          <w:sz w:val="24"/>
        </w:rPr>
        <w:t xml:space="preserve">                                   </w:t>
      </w:r>
      <w:r>
        <w:rPr>
          <w:rFonts w:hint="eastAsia" w:ascii="宋体" w:hAnsi="宋体" w:cs="Arial"/>
          <w:sz w:val="24"/>
          <w:lang w:val="en-US" w:eastAsia="zh-CN"/>
        </w:rPr>
        <w:t xml:space="preserve">            </w:t>
      </w:r>
    </w:p>
    <w:p>
      <w:pPr>
        <w:spacing w:line="360" w:lineRule="auto"/>
        <w:jc w:val="center"/>
        <w:rPr>
          <w:rFonts w:hint="eastAsia" w:ascii="宋体" w:hAnsi="宋体" w:cs="Arial"/>
          <w:sz w:val="24"/>
        </w:rPr>
      </w:pPr>
      <w:r>
        <w:rPr>
          <w:rFonts w:hint="eastAsia" w:ascii="宋体" w:hAnsi="宋体" w:cs="Arial"/>
          <w:sz w:val="24"/>
          <w:lang w:val="en-US" w:eastAsia="zh-CN"/>
        </w:rPr>
        <w:t xml:space="preserve">                         </w:t>
      </w:r>
      <w:r>
        <w:rPr>
          <w:rFonts w:hint="eastAsia" w:ascii="宋体" w:hAnsi="宋体" w:cs="Arial"/>
          <w:sz w:val="24"/>
        </w:rPr>
        <w:t>合同编号：</w:t>
      </w:r>
    </w:p>
    <w:p>
      <w:pPr>
        <w:spacing w:line="360" w:lineRule="auto"/>
        <w:jc w:val="center"/>
        <w:rPr>
          <w:rFonts w:ascii="宋体" w:hAnsi="宋体" w:cs="Arial"/>
          <w:sz w:val="24"/>
        </w:rPr>
      </w:pPr>
    </w:p>
    <w:p>
      <w:pPr>
        <w:spacing w:line="360" w:lineRule="auto"/>
        <w:rPr>
          <w:rFonts w:hint="eastAsia"/>
          <w:spacing w:val="20"/>
          <w:sz w:val="24"/>
          <w:u w:val="single"/>
          <w:lang w:eastAsia="zh-CN"/>
        </w:rPr>
      </w:pPr>
      <w:r>
        <w:rPr>
          <w:rFonts w:hint="eastAsia" w:ascii="宋体" w:hAnsi="宋体" w:cs="Arial"/>
          <w:sz w:val="24"/>
        </w:rPr>
        <w:t xml:space="preserve">委 托 </w:t>
      </w:r>
      <w:r>
        <w:rPr>
          <w:rFonts w:ascii="宋体" w:hAnsi="宋体" w:cs="Arial"/>
          <w:sz w:val="24"/>
        </w:rPr>
        <w:t>方：</w:t>
      </w:r>
      <w:r>
        <w:rPr>
          <w:rFonts w:hint="eastAsia"/>
          <w:spacing w:val="20"/>
          <w:sz w:val="24"/>
          <w:u w:val="single"/>
          <w:lang w:eastAsia="zh-CN"/>
        </w:rPr>
        <w:t>腾龙芳烃（漳州）有限公司</w:t>
      </w:r>
    </w:p>
    <w:p>
      <w:pPr>
        <w:spacing w:line="360" w:lineRule="auto"/>
        <w:ind w:firstLine="1120" w:firstLineChars="400"/>
        <w:rPr>
          <w:rFonts w:hint="eastAsia"/>
          <w:spacing w:val="20"/>
          <w:sz w:val="24"/>
          <w:u w:val="single"/>
          <w:lang w:val="en-US" w:eastAsia="zh-CN"/>
        </w:rPr>
      </w:pPr>
      <w:r>
        <w:rPr>
          <w:rFonts w:hint="eastAsia"/>
          <w:spacing w:val="20"/>
          <w:sz w:val="24"/>
          <w:u w:val="single"/>
          <w:lang w:eastAsia="zh-CN"/>
        </w:rPr>
        <w:t>翔鹭石化（漳州）有限公司</w:t>
      </w:r>
      <w:r>
        <w:rPr>
          <w:rFonts w:hint="eastAsia"/>
          <w:spacing w:val="20"/>
          <w:sz w:val="24"/>
          <w:u w:val="single"/>
          <w:lang w:val="en-US" w:eastAsia="zh-CN"/>
        </w:rPr>
        <w:t xml:space="preserve"> </w:t>
      </w:r>
    </w:p>
    <w:p>
      <w:pPr>
        <w:spacing w:line="360" w:lineRule="auto"/>
        <w:ind w:firstLine="1120" w:firstLineChars="400"/>
        <w:rPr>
          <w:rFonts w:ascii="宋体" w:hAnsi="宋体" w:cs="Arial"/>
          <w:sz w:val="24"/>
        </w:rPr>
      </w:pPr>
      <w:r>
        <w:rPr>
          <w:rFonts w:hint="eastAsia"/>
          <w:spacing w:val="20"/>
          <w:sz w:val="24"/>
          <w:u w:val="single"/>
          <w:lang w:eastAsia="zh-CN"/>
        </w:rPr>
        <w:t>翔鹭码头投资管理（漳州）有限公司</w:t>
      </w:r>
      <w:r>
        <w:rPr>
          <w:rFonts w:hint="eastAsia" w:ascii="宋体" w:hAnsi="宋体" w:cs="Arial"/>
          <w:sz w:val="24"/>
        </w:rPr>
        <w:t>（以下简称“甲方”）</w:t>
      </w:r>
      <w:r>
        <w:rPr>
          <w:rFonts w:ascii="宋体" w:hAnsi="宋体" w:cs="Arial"/>
          <w:sz w:val="24"/>
        </w:rPr>
        <w:br w:type="textWrapping"/>
      </w:r>
      <w:r>
        <w:rPr>
          <w:rFonts w:hint="eastAsia" w:ascii="宋体" w:hAnsi="宋体" w:cs="Arial"/>
          <w:sz w:val="24"/>
        </w:rPr>
        <w:t>受 托</w:t>
      </w:r>
      <w:r>
        <w:rPr>
          <w:rFonts w:ascii="宋体" w:hAnsi="宋体" w:cs="Arial"/>
          <w:sz w:val="24"/>
        </w:rPr>
        <w:t xml:space="preserve"> 方：</w:t>
      </w:r>
      <w:r>
        <w:rPr>
          <w:rFonts w:hint="eastAsia" w:ascii="宋体" w:hAnsi="宋体" w:cs="Arial"/>
          <w:sz w:val="24"/>
          <w:lang w:val="en-US" w:eastAsia="zh-CN"/>
        </w:rPr>
        <w:t xml:space="preserve"> </w:t>
      </w:r>
      <w:r>
        <w:rPr>
          <w:rFonts w:hint="eastAsia" w:ascii="宋体" w:hAnsi="宋体" w:cs="Arial"/>
          <w:sz w:val="24"/>
          <w:u w:val="single"/>
          <w:lang w:val="en-US" w:eastAsia="zh-CN"/>
        </w:rPr>
        <w:t xml:space="preserve">                           </w:t>
      </w:r>
      <w:r>
        <w:rPr>
          <w:rFonts w:hint="eastAsia" w:ascii="宋体" w:hAnsi="宋体" w:cs="Arial"/>
          <w:sz w:val="24"/>
        </w:rPr>
        <w:t>（以下简称“乙方”）</w:t>
      </w:r>
    </w:p>
    <w:p>
      <w:pPr>
        <w:spacing w:line="360" w:lineRule="auto"/>
        <w:rPr>
          <w:rFonts w:ascii="宋体" w:hAnsi="宋体" w:cs="Arial"/>
          <w:sz w:val="24"/>
        </w:rPr>
      </w:pPr>
    </w:p>
    <w:p>
      <w:pPr>
        <w:widowControl/>
        <w:spacing w:line="360" w:lineRule="auto"/>
        <w:ind w:firstLine="480" w:firstLineChars="200"/>
        <w:rPr>
          <w:rFonts w:ascii="宋体" w:hAnsi="宋体"/>
          <w:color w:val="000000"/>
          <w:sz w:val="24"/>
        </w:rPr>
      </w:pPr>
      <w:r>
        <w:rPr>
          <w:rFonts w:hint="eastAsia" w:ascii="宋体" w:hAnsi="宋体" w:cs="Times New Roman"/>
          <w:color w:val="000000"/>
          <w:sz w:val="24"/>
        </w:rPr>
        <w:t>根据</w:t>
      </w:r>
      <w:r>
        <w:rPr>
          <w:rFonts w:hint="eastAsia" w:ascii="宋体" w:hAnsi="宋体" w:cs="Times New Roman"/>
          <w:color w:val="000000"/>
          <w:sz w:val="24"/>
          <w:lang w:eastAsia="zh-CN"/>
        </w:rPr>
        <w:t>《中华人民共和国民法典》规定</w:t>
      </w:r>
      <w:r>
        <w:rPr>
          <w:rFonts w:hint="eastAsia" w:ascii="宋体" w:hAnsi="宋体" w:cs="Times New Roman"/>
          <w:color w:val="000000"/>
          <w:sz w:val="24"/>
        </w:rPr>
        <w:t>，及其他有关法律、行政法规，遵循平等、自愿、公平和诚实信用的原则，结合具体情况，双方就</w:t>
      </w:r>
      <w:r>
        <w:rPr>
          <w:rFonts w:hint="eastAsia" w:ascii="宋体" w:hAnsi="宋体" w:cs="Times New Roman"/>
          <w:color w:val="000000"/>
          <w:sz w:val="24"/>
          <w:u w:val="single"/>
        </w:rPr>
        <w:t>福海创对讲机维修及系统服务</w:t>
      </w:r>
      <w:r>
        <w:rPr>
          <w:rFonts w:hint="eastAsia" w:ascii="宋体" w:hAnsi="宋体" w:cs="Times New Roman"/>
          <w:color w:val="000000"/>
          <w:sz w:val="24"/>
        </w:rPr>
        <w:t>协商一致，订立本合同。</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w:t>
      </w:r>
      <w:r>
        <w:rPr>
          <w:rFonts w:hint="eastAsia" w:ascii="宋体" w:hAnsi="宋体" w:cs="宋体"/>
          <w:b/>
          <w:color w:val="000000"/>
          <w:kern w:val="0"/>
          <w:sz w:val="24"/>
        </w:rPr>
        <w:t>数量、维修费用等</w:t>
      </w:r>
      <w:r>
        <w:rPr>
          <w:rFonts w:ascii="宋体" w:hAnsi="宋体" w:cs="宋体"/>
          <w:b/>
          <w:color w:val="000000"/>
          <w:kern w:val="0"/>
          <w:sz w:val="24"/>
        </w:rPr>
        <w:t> </w:t>
      </w:r>
    </w:p>
    <w:tbl>
      <w:tblPr>
        <w:tblStyle w:val="48"/>
        <w:tblW w:w="86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20"/>
        <w:gridCol w:w="958"/>
        <w:gridCol w:w="872"/>
        <w:gridCol w:w="1350"/>
        <w:gridCol w:w="15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2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95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87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firstLine="120" w:firstLineChars="50"/>
              <w:rPr>
                <w:rFonts w:ascii="宋体" w:hAnsi="宋体" w:cs="宋体"/>
                <w:kern w:val="0"/>
                <w:sz w:val="24"/>
              </w:rPr>
            </w:pPr>
            <w:r>
              <w:rPr>
                <w:rFonts w:hint="eastAsia" w:ascii="宋体" w:hAnsi="宋体" w:cs="宋体"/>
                <w:kern w:val="0"/>
                <w:sz w:val="24"/>
              </w:rPr>
              <w:t>单位</w:t>
            </w:r>
          </w:p>
        </w:tc>
        <w:tc>
          <w:tcPr>
            <w:tcW w:w="1350" w:type="dxa"/>
            <w:tcBorders>
              <w:top w:val="outset" w:color="auto" w:sz="6" w:space="0"/>
              <w:left w:val="outset" w:color="auto" w:sz="6" w:space="0"/>
              <w:bottom w:val="outset" w:color="auto" w:sz="6" w:space="0"/>
              <w:right w:val="single" w:color="auto" w:sz="4"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单价</w:t>
            </w:r>
          </w:p>
        </w:tc>
        <w:tc>
          <w:tcPr>
            <w:tcW w:w="1525" w:type="dxa"/>
            <w:tcBorders>
              <w:top w:val="outset" w:color="auto" w:sz="6" w:space="0"/>
              <w:left w:val="single" w:color="auto" w:sz="4"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625" w:type="dxa"/>
            <w:gridSpan w:val="5"/>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hint="default" w:ascii="宋体" w:hAnsi="宋体" w:eastAsia="宋体" w:cs="宋体"/>
                <w:kern w:val="0"/>
                <w:sz w:val="24"/>
                <w:lang w:val="en-US" w:eastAsia="zh-CN"/>
              </w:rPr>
            </w:pPr>
            <w:r>
              <w:rPr>
                <w:rFonts w:hint="eastAsia" w:ascii="宋体" w:hAnsi="宋体" w:cs="宋体"/>
                <w:kern w:val="0"/>
                <w:sz w:val="24"/>
              </w:rPr>
              <w:t>福海创对讲机维修及系统服务</w:t>
            </w:r>
            <w:r>
              <w:rPr>
                <w:rFonts w:hint="eastAsia" w:ascii="宋体" w:hAnsi="宋体" w:cs="宋体"/>
                <w:kern w:val="0"/>
                <w:sz w:val="24"/>
                <w:lang w:val="en-US" w:eastAsia="zh-CN"/>
              </w:rPr>
              <w:t>价格详见附件报价清单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100" w:type="dxa"/>
            <w:gridSpan w:val="4"/>
            <w:tcBorders>
              <w:top w:val="outset" w:color="auto" w:sz="6" w:space="0"/>
              <w:left w:val="outset" w:color="auto" w:sz="6" w:space="0"/>
              <w:bottom w:val="outset" w:color="auto" w:sz="6" w:space="0"/>
              <w:right w:val="single" w:color="auto" w:sz="4" w:space="0"/>
            </w:tcBorders>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lang w:val="en-US" w:eastAsia="zh-CN"/>
              </w:rPr>
              <w:t>暂定合计</w:t>
            </w:r>
            <w:r>
              <w:rPr>
                <w:rFonts w:hint="eastAsia" w:ascii="宋体" w:hAnsi="宋体" w:cs="宋体"/>
                <w:kern w:val="0"/>
                <w:sz w:val="24"/>
              </w:rPr>
              <w:t>总计（含税）：人民币元整（含</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%增值税专用发票）</w:t>
            </w:r>
          </w:p>
        </w:tc>
        <w:tc>
          <w:tcPr>
            <w:tcW w:w="1525" w:type="dxa"/>
            <w:tcBorders>
              <w:top w:val="outset" w:color="auto" w:sz="6" w:space="0"/>
              <w:left w:val="single" w:color="auto" w:sz="4"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p>
        </w:tc>
      </w:tr>
    </w:tbl>
    <w:p>
      <w:pPr>
        <w:widowControl/>
        <w:spacing w:line="360" w:lineRule="auto"/>
        <w:rPr>
          <w:rFonts w:ascii="宋体" w:hAnsi="宋体" w:cs="宋体"/>
          <w:color w:val="000000"/>
          <w:kern w:val="0"/>
          <w:sz w:val="24"/>
        </w:rPr>
      </w:pPr>
    </w:p>
    <w:p>
      <w:pPr>
        <w:widowControl/>
        <w:spacing w:line="360" w:lineRule="auto"/>
        <w:ind w:left="-20" w:leftChars="-9"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本合同的</w:t>
      </w:r>
      <w:r>
        <w:rPr>
          <w:rFonts w:hint="eastAsia" w:ascii="宋体" w:hAnsi="宋体" w:cs="宋体"/>
          <w:kern w:val="0"/>
          <w:sz w:val="24"/>
        </w:rPr>
        <w:t>福海创对讲机维修及系统服务</w:t>
      </w:r>
      <w:r>
        <w:rPr>
          <w:rFonts w:hint="eastAsia" w:ascii="宋体" w:hAnsi="宋体" w:cs="宋体"/>
          <w:kern w:val="0"/>
          <w:sz w:val="24"/>
          <w:lang w:val="en-US" w:eastAsia="zh-CN"/>
        </w:rPr>
        <w:t>为固定综合单价</w:t>
      </w:r>
      <w:r>
        <w:rPr>
          <w:rFonts w:hint="eastAsia" w:ascii="宋体" w:hAnsi="宋体" w:cs="宋体"/>
          <w:color w:val="000000"/>
          <w:kern w:val="0"/>
          <w:sz w:val="24"/>
        </w:rPr>
        <w:t>，</w:t>
      </w:r>
      <w:r>
        <w:rPr>
          <w:rFonts w:hint="eastAsia" w:ascii="宋体" w:hAnsi="宋体"/>
          <w:sz w:val="24"/>
        </w:rPr>
        <w:t>费用包括乙方工作涉及到的材料费、劳务费、管理费、工具费、劳保费、所有税费、各种保险、安全费用、利润、食宿费、加班费、饮用水、办公费、运输费、耗材费及合同涉及到的所有风险、责任、义务等费用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w:t>
      </w:r>
      <w:r>
        <w:rPr>
          <w:rFonts w:hint="eastAsia" w:ascii="宋体" w:hAnsi="宋体" w:cs="宋体"/>
          <w:color w:val="000000"/>
          <w:kern w:val="0"/>
          <w:sz w:val="24"/>
          <w:lang w:val="en-US" w:eastAsia="zh-CN"/>
        </w:rPr>
        <w:t>依据附件2、《</w:t>
      </w:r>
      <w:r>
        <w:rPr>
          <w:rFonts w:hint="eastAsia" w:ascii="宋体" w:hAnsi="宋体" w:cs="宋体"/>
          <w:kern w:val="0"/>
          <w:sz w:val="24"/>
        </w:rPr>
        <w:t>福海创对讲机维修及系统服务</w:t>
      </w:r>
      <w:r>
        <w:rPr>
          <w:rFonts w:hint="eastAsia" w:ascii="宋体" w:hAnsi="宋体" w:cs="宋体"/>
          <w:kern w:val="0"/>
          <w:sz w:val="24"/>
          <w:lang w:val="en-US" w:eastAsia="zh-CN"/>
        </w:rPr>
        <w:t>件报价清单》按照实际维修项目进行结算。</w:t>
      </w:r>
    </w:p>
    <w:p>
      <w:pPr>
        <w:widowControl/>
        <w:spacing w:line="360" w:lineRule="auto"/>
        <w:rPr>
          <w:rFonts w:ascii="宋体" w:hAnsi="宋体" w:cs="宋体"/>
          <w:b/>
          <w:color w:val="000000"/>
          <w:kern w:val="0"/>
          <w:sz w:val="24"/>
          <w:u w:val="single"/>
        </w:rPr>
      </w:pPr>
      <w:r>
        <w:rPr>
          <w:rFonts w:hint="eastAsia" w:ascii="宋体" w:hAnsi="宋体" w:cs="宋体"/>
          <w:b/>
          <w:color w:val="000000"/>
          <w:kern w:val="0"/>
          <w:sz w:val="24"/>
          <w:u w:val="single"/>
        </w:rPr>
        <w:t>二、费用结算方式和支付期限：</w:t>
      </w:r>
    </w:p>
    <w:p>
      <w:pPr>
        <w:widowControl/>
        <w:spacing w:line="360" w:lineRule="auto"/>
        <w:rPr>
          <w:rFonts w:hint="eastAsia" w:ascii="宋体" w:hAnsi="宋体" w:cs="宋体"/>
          <w:color w:val="000000"/>
          <w:kern w:val="0"/>
          <w:sz w:val="24"/>
        </w:rPr>
      </w:pPr>
      <w:r>
        <w:rPr>
          <w:rFonts w:hint="eastAsia" w:hAnsi="宋体"/>
          <w:sz w:val="24"/>
        </w:rPr>
        <w:t>1、</w:t>
      </w:r>
      <w:r>
        <w:rPr>
          <w:rFonts w:hint="eastAsia" w:hAnsi="宋体"/>
          <w:sz w:val="24"/>
          <w:lang w:val="en-US" w:eastAsia="zh-CN"/>
        </w:rPr>
        <w:t>验收款</w:t>
      </w:r>
      <w:r>
        <w:rPr>
          <w:rFonts w:hint="eastAsia" w:hAnsi="宋体"/>
          <w:sz w:val="24"/>
        </w:rPr>
        <w:t>：合同签订完毕，</w:t>
      </w:r>
      <w:r>
        <w:rPr>
          <w:rFonts w:hint="eastAsia" w:ascii="宋体" w:hAnsi="宋体" w:cs="宋体"/>
          <w:color w:val="000000"/>
          <w:kern w:val="0"/>
          <w:sz w:val="24"/>
        </w:rPr>
        <w:t>设备维修完毕并验收合格</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甲乙双方依据附件2、《</w:t>
      </w:r>
      <w:r>
        <w:rPr>
          <w:rFonts w:hint="eastAsia" w:ascii="宋体" w:hAnsi="宋体" w:cs="宋体"/>
          <w:kern w:val="0"/>
          <w:sz w:val="24"/>
        </w:rPr>
        <w:t>福海创对讲机维修及系统服务</w:t>
      </w:r>
      <w:r>
        <w:rPr>
          <w:rFonts w:hint="eastAsia" w:ascii="宋体" w:hAnsi="宋体" w:cs="宋体"/>
          <w:kern w:val="0"/>
          <w:sz w:val="24"/>
          <w:lang w:val="en-US" w:eastAsia="zh-CN"/>
        </w:rPr>
        <w:t>报价清单》按实进行结算，</w:t>
      </w:r>
      <w:r>
        <w:rPr>
          <w:rFonts w:hint="eastAsia" w:ascii="宋体" w:hAnsi="宋体" w:cs="宋体"/>
          <w:color w:val="000000"/>
          <w:kern w:val="0"/>
          <w:sz w:val="24"/>
        </w:rPr>
        <w:t>且收到乙方的全额</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en-US" w:eastAsia="zh-CN"/>
        </w:rPr>
        <w:t>%增值税专用</w:t>
      </w:r>
      <w:r>
        <w:rPr>
          <w:rFonts w:hint="eastAsia" w:ascii="宋体" w:hAnsi="宋体" w:cs="宋体"/>
          <w:color w:val="000000"/>
          <w:kern w:val="0"/>
          <w:sz w:val="24"/>
        </w:rPr>
        <w:t>发票</w:t>
      </w:r>
      <w:r>
        <w:rPr>
          <w:rFonts w:hint="eastAsia" w:ascii="宋体" w:hAnsi="宋体" w:cs="宋体"/>
          <w:color w:val="000000"/>
          <w:kern w:val="0"/>
          <w:sz w:val="24"/>
          <w:lang w:val="en-US" w:eastAsia="zh-CN"/>
        </w:rPr>
        <w:t>后支</w:t>
      </w:r>
      <w:r>
        <w:rPr>
          <w:rFonts w:hint="eastAsia" w:ascii="宋体" w:hAnsi="宋体" w:cs="宋体"/>
          <w:color w:val="000000"/>
          <w:kern w:val="0"/>
          <w:sz w:val="24"/>
        </w:rPr>
        <w:t>付</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100</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pacing w:line="360" w:lineRule="auto"/>
        <w:rPr>
          <w:rFonts w:ascii="宋体" w:hAnsi="宋体" w:cs="宋体"/>
          <w:color w:val="000000"/>
          <w:kern w:val="0"/>
          <w:sz w:val="24"/>
        </w:rPr>
      </w:pPr>
      <w:r>
        <w:rPr>
          <w:rFonts w:hint="eastAsia" w:ascii="宋体" w:hAnsi="宋体" w:cs="宋体"/>
          <w:color w:val="000000"/>
          <w:kern w:val="0"/>
          <w:sz w:val="24"/>
        </w:rPr>
        <w:t>2、</w:t>
      </w:r>
      <w:r>
        <w:rPr>
          <w:rFonts w:hint="eastAsia" w:hAnsi="宋体"/>
          <w:sz w:val="24"/>
        </w:rPr>
        <w:t>所有支付的款项均以人民币支付, 付款方式为电汇或银行转账。</w:t>
      </w:r>
    </w:p>
    <w:p>
      <w:pPr>
        <w:widowControl/>
        <w:spacing w:line="360" w:lineRule="auto"/>
        <w:rPr>
          <w:rFonts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spacing w:line="288" w:lineRule="auto"/>
        <w:ind w:firstLine="482" w:firstLineChars="200"/>
        <w:jc w:val="both"/>
        <w:rPr>
          <w:rFonts w:hint="eastAsia" w:ascii="宋体" w:hAnsi="宋体" w:cs="宋体"/>
          <w:b/>
          <w:color w:val="000000"/>
          <w:kern w:val="0"/>
          <w:sz w:val="24"/>
        </w:rPr>
      </w:pPr>
      <w:r>
        <w:rPr>
          <w:rFonts w:hint="eastAsia" w:ascii="宋体" w:hAnsi="宋体" w:cs="宋体"/>
          <w:b/>
          <w:color w:val="000000"/>
          <w:kern w:val="0"/>
          <w:sz w:val="24"/>
        </w:rPr>
        <w:t>具体维修要求及内容详见附件</w:t>
      </w:r>
      <w:r>
        <w:rPr>
          <w:rFonts w:hint="eastAsia" w:ascii="宋体" w:hAnsi="宋体" w:cs="宋体"/>
          <w:b/>
          <w:color w:val="000000"/>
          <w:kern w:val="0"/>
          <w:sz w:val="24"/>
          <w:lang w:val="en-US" w:eastAsia="zh-CN"/>
        </w:rPr>
        <w:t>1</w:t>
      </w:r>
      <w:r>
        <w:rPr>
          <w:rFonts w:hint="eastAsia" w:ascii="宋体" w:hAnsi="宋体" w:cs="宋体"/>
          <w:b/>
          <w:color w:val="000000"/>
          <w:kern w:val="0"/>
          <w:sz w:val="24"/>
        </w:rPr>
        <w:t>、《福海创对讲机维修及系统服务发包说明》；</w:t>
      </w:r>
    </w:p>
    <w:p>
      <w:pPr>
        <w:spacing w:line="288" w:lineRule="auto"/>
        <w:jc w:val="center"/>
        <w:rPr>
          <w:rFonts w:hint="eastAsia" w:ascii="宋体" w:hAnsi="宋体" w:cs="宋体"/>
          <w:b/>
          <w:color w:val="000000"/>
          <w:kern w:val="0"/>
          <w:sz w:val="24"/>
        </w:rPr>
      </w:pPr>
    </w:p>
    <w:p>
      <w:pPr>
        <w:widowControl/>
        <w:spacing w:line="360" w:lineRule="auto"/>
        <w:rPr>
          <w:rFonts w:hint="eastAsia" w:ascii="宋体" w:hAnsi="宋体" w:cs="Arial"/>
          <w:sz w:val="24"/>
          <w:u w:val="single"/>
        </w:rPr>
      </w:pPr>
      <w:r>
        <w:rPr>
          <w:rFonts w:hint="eastAsia" w:ascii="宋体" w:hAnsi="宋体" w:cs="宋体"/>
          <w:color w:val="000000"/>
          <w:kern w:val="0"/>
          <w:sz w:val="24"/>
        </w:rPr>
        <w:t>1、</w:t>
      </w:r>
      <w:r>
        <w:rPr>
          <w:rFonts w:ascii="宋体" w:hAnsi="宋体" w:cs="宋体"/>
          <w:color w:val="000000"/>
          <w:kern w:val="0"/>
          <w:sz w:val="24"/>
        </w:rPr>
        <w:t>维修地点：</w:t>
      </w:r>
      <w:r>
        <w:rPr>
          <w:rFonts w:hint="eastAsia" w:ascii="宋体" w:hAnsi="宋体" w:cs="Arial"/>
          <w:sz w:val="24"/>
          <w:u w:val="single"/>
          <w:lang w:eastAsia="zh-CN"/>
        </w:rPr>
        <w:t>漳州市古雷港经济开发区</w:t>
      </w:r>
      <w:r>
        <w:rPr>
          <w:rFonts w:hint="eastAsia"/>
          <w:spacing w:val="20"/>
          <w:sz w:val="24"/>
          <w:u w:val="single"/>
          <w:lang w:eastAsia="zh-CN"/>
        </w:rPr>
        <w:t>腾龙芳烃（漳州）有限公司、翔鹭石化（漳州）有限公司、翔鹭码头投资管理（漳州）有限公司</w:t>
      </w:r>
      <w:r>
        <w:rPr>
          <w:rFonts w:hint="eastAsia"/>
          <w:spacing w:val="20"/>
          <w:sz w:val="24"/>
          <w:u w:val="single"/>
          <w:lang w:val="en-US" w:eastAsia="zh-CN"/>
        </w:rPr>
        <w:t>各工厂区</w:t>
      </w:r>
      <w:r>
        <w:rPr>
          <w:rFonts w:hint="eastAsia" w:ascii="宋体" w:hAnsi="宋体" w:cs="Arial"/>
          <w:sz w:val="24"/>
          <w:u w:val="single"/>
        </w:rPr>
        <w:t>。</w:t>
      </w:r>
    </w:p>
    <w:p>
      <w:pPr>
        <w:widowControl/>
        <w:spacing w:line="360" w:lineRule="auto"/>
        <w:rPr>
          <w:rFonts w:hint="eastAsia" w:ascii="宋体" w:hAnsi="宋体" w:cs="Arial"/>
          <w:sz w:val="24"/>
          <w:u w:val="single"/>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ascii="宋体" w:hAnsi="宋体" w:cs="Arial"/>
          <w:sz w:val="24"/>
          <w:u w:val="single"/>
          <w:lang w:val="en-US" w:eastAsia="zh-CN"/>
        </w:rPr>
        <w:t>详见</w:t>
      </w:r>
      <w:r>
        <w:rPr>
          <w:rFonts w:hint="eastAsia" w:ascii="宋体" w:hAnsi="宋体" w:cs="Arial"/>
          <w:sz w:val="24"/>
          <w:u w:val="single"/>
        </w:rPr>
        <w:t>附件</w:t>
      </w:r>
      <w:r>
        <w:rPr>
          <w:rFonts w:hint="eastAsia" w:ascii="宋体" w:hAnsi="宋体" w:cs="Arial"/>
          <w:sz w:val="24"/>
          <w:u w:val="single"/>
          <w:lang w:val="en-US" w:eastAsia="zh-CN"/>
        </w:rPr>
        <w:t>1</w:t>
      </w:r>
      <w:r>
        <w:rPr>
          <w:rFonts w:hint="eastAsia" w:ascii="宋体" w:hAnsi="宋体" w:cs="Arial"/>
          <w:sz w:val="24"/>
          <w:u w:val="single"/>
        </w:rPr>
        <w:t>、《福海创对讲机维修及系统服务发包说明》</w:t>
      </w:r>
      <w:r>
        <w:rPr>
          <w:rFonts w:hint="eastAsia" w:ascii="宋体" w:hAnsi="宋体" w:cs="Arial"/>
          <w:sz w:val="24"/>
          <w:u w:val="single"/>
          <w:lang w:eastAsia="zh-CN"/>
        </w:rPr>
        <w:t>，</w:t>
      </w:r>
      <w:r>
        <w:rPr>
          <w:rFonts w:hint="eastAsia" w:ascii="宋体" w:hAnsi="宋体" w:cs="Arial"/>
          <w:sz w:val="24"/>
          <w:u w:val="single"/>
          <w:lang w:val="en-US" w:eastAsia="zh-CN"/>
        </w:rPr>
        <w:t>以</w:t>
      </w:r>
      <w:r>
        <w:rPr>
          <w:rFonts w:hint="eastAsia" w:ascii="宋体" w:hAnsi="宋体" w:cs="Arial"/>
          <w:sz w:val="24"/>
          <w:u w:val="single"/>
        </w:rPr>
        <w:t>满足甲方现场实际要求。</w:t>
      </w:r>
    </w:p>
    <w:p>
      <w:pPr>
        <w:widowControl/>
        <w:spacing w:line="360" w:lineRule="auto"/>
        <w:rPr>
          <w:rFonts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ascii="宋体" w:hAnsi="宋体" w:cs="Arial"/>
          <w:sz w:val="24"/>
          <w:u w:val="single"/>
        </w:rPr>
        <w:t xml:space="preserve"> </w:t>
      </w:r>
      <w:r>
        <w:rPr>
          <w:rFonts w:hint="eastAsia" w:ascii="宋体" w:hAnsi="宋体" w:cs="Arial"/>
          <w:sz w:val="24"/>
          <w:u w:val="single"/>
          <w:lang w:val="en-US" w:eastAsia="zh-CN"/>
        </w:rPr>
        <w:t>详见</w:t>
      </w:r>
      <w:r>
        <w:rPr>
          <w:rFonts w:hint="eastAsia" w:ascii="宋体" w:hAnsi="宋体" w:cs="Arial"/>
          <w:sz w:val="24"/>
          <w:u w:val="single"/>
        </w:rPr>
        <w:t>附件</w:t>
      </w:r>
      <w:r>
        <w:rPr>
          <w:rFonts w:hint="eastAsia" w:ascii="宋体" w:hAnsi="宋体" w:cs="Arial"/>
          <w:sz w:val="24"/>
          <w:u w:val="single"/>
          <w:lang w:val="en-US" w:eastAsia="zh-CN"/>
        </w:rPr>
        <w:t>1</w:t>
      </w:r>
      <w:r>
        <w:rPr>
          <w:rFonts w:hint="eastAsia" w:ascii="宋体" w:hAnsi="宋体" w:cs="Arial"/>
          <w:sz w:val="24"/>
          <w:u w:val="single"/>
        </w:rPr>
        <w:t>、《福海创对讲机维修及系统服务发包说明》</w:t>
      </w:r>
      <w:r>
        <w:rPr>
          <w:rFonts w:hint="eastAsia" w:ascii="宋体" w:hAnsi="宋体" w:cs="Arial"/>
          <w:sz w:val="24"/>
          <w:u w:val="single"/>
          <w:lang w:eastAsia="zh-CN"/>
        </w:rPr>
        <w:t>，</w:t>
      </w:r>
      <w:r>
        <w:rPr>
          <w:rFonts w:hint="eastAsia" w:ascii="宋体" w:hAnsi="宋体" w:cs="Arial"/>
          <w:sz w:val="24"/>
          <w:u w:val="single"/>
          <w:lang w:val="en-US" w:eastAsia="zh-CN"/>
        </w:rPr>
        <w:t>以</w:t>
      </w:r>
      <w:r>
        <w:rPr>
          <w:rFonts w:hint="eastAsia" w:ascii="宋体" w:hAnsi="宋体" w:cs="Arial"/>
          <w:sz w:val="24"/>
          <w:u w:val="single"/>
        </w:rPr>
        <w:t>满足甲方现场实际要求</w:t>
      </w:r>
      <w:r>
        <w:rPr>
          <w:rFonts w:hint="eastAsia" w:ascii="宋体" w:hAnsi="宋体" w:cs="Arial"/>
          <w:sz w:val="24"/>
          <w:u w:val="none"/>
        </w:rPr>
        <w:t>。</w:t>
      </w:r>
    </w:p>
    <w:p>
      <w:pPr>
        <w:widowControl/>
        <w:spacing w:line="360" w:lineRule="auto"/>
        <w:rPr>
          <w:rFonts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ascii="宋体" w:hAnsi="宋体" w:cs="Arial"/>
          <w:sz w:val="24"/>
        </w:rPr>
      </w:pPr>
      <w:r>
        <w:rPr>
          <w:rFonts w:hint="eastAsia" w:ascii="宋体" w:hAnsi="宋体"/>
          <w:sz w:val="24"/>
        </w:rPr>
        <w:t>5、</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ascii="宋体" w:hAnsi="宋体" w:cs="Arial"/>
          <w:sz w:val="24"/>
        </w:rPr>
      </w:pPr>
      <w:r>
        <w:rPr>
          <w:rFonts w:hint="eastAsia" w:ascii="宋体" w:hAnsi="宋体" w:cs="Arial"/>
          <w:sz w:val="24"/>
        </w:rPr>
        <w:t>6</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ascii="宋体" w:hAnsi="宋体" w:cs="Arial"/>
          <w:sz w:val="24"/>
        </w:rPr>
      </w:pPr>
      <w:r>
        <w:rPr>
          <w:rFonts w:hint="eastAsia" w:ascii="宋体" w:hAnsi="宋体" w:cs="Arial"/>
          <w:sz w:val="24"/>
        </w:rPr>
        <w:t>7、</w:t>
      </w:r>
      <w:r>
        <w:rPr>
          <w:rFonts w:hint="eastAsia" w:ascii="宋体" w:hAnsi="宋体"/>
          <w:sz w:val="24"/>
        </w:rPr>
        <w:t>甲方技术联系人</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w:t>
      </w:r>
      <w:r>
        <w:rPr>
          <w:rFonts w:ascii="宋体" w:hAnsi="宋体" w:cs="宋体"/>
          <w:sz w:val="24"/>
          <w:lang w:val="zh-CN"/>
        </w:rPr>
        <w:t>联系方式</w:t>
      </w:r>
      <w:r>
        <w:rPr>
          <w:rFonts w:hint="eastAsia" w:ascii="宋体" w:hAnsi="宋体" w:cs="宋体"/>
          <w:sz w:val="24"/>
          <w:lang w:val="zh-CN"/>
        </w:rPr>
        <w:t>为</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sz w:val="24"/>
        </w:rPr>
        <w:t>,</w:t>
      </w:r>
      <w:r>
        <w:rPr>
          <w:rFonts w:ascii="宋体" w:hAnsi="宋体" w:cs="宋体"/>
          <w:sz w:val="24"/>
          <w:lang w:val="zh-CN"/>
        </w:rPr>
        <w:t>邮箱</w:t>
      </w:r>
      <w:r>
        <w:rPr>
          <w:rFonts w:hint="eastAsia" w:ascii="宋体" w:hAnsi="宋体" w:cs="宋体"/>
          <w:sz w:val="24"/>
        </w:rPr>
        <w:t>：</w:t>
      </w:r>
      <w:r>
        <w:rPr>
          <w:rFonts w:hint="eastAsia" w:ascii="宋体" w:hAnsi="宋体"/>
          <w:sz w:val="24"/>
        </w:rPr>
        <w:fldChar w:fldCharType="begin"/>
      </w:r>
      <w:r>
        <w:rPr>
          <w:rFonts w:hint="eastAsia" w:ascii="宋体" w:hAnsi="宋体"/>
          <w:sz w:val="24"/>
        </w:rPr>
        <w:instrText xml:space="preserve"> HYPERLINK "mailto:slzheng@fhcpec.cn。乙方联系人" </w:instrText>
      </w:r>
      <w:r>
        <w:rPr>
          <w:rFonts w:hint="eastAsia" w:ascii="宋体" w:hAnsi="宋体"/>
          <w:sz w:val="24"/>
        </w:rPr>
        <w:fldChar w:fldCharType="separate"/>
      </w:r>
      <w:r>
        <w:rPr>
          <w:rFonts w:hint="eastAsia" w:ascii="宋体" w:hAnsi="宋体"/>
          <w:sz w:val="24"/>
          <w:u w:val="single"/>
          <w:lang w:val="en-US" w:eastAsia="zh-CN"/>
        </w:rPr>
        <w:t xml:space="preserve">           </w:t>
      </w:r>
      <w:r>
        <w:rPr>
          <w:rFonts w:hint="eastAsia" w:ascii="宋体" w:hAnsi="宋体"/>
          <w:sz w:val="24"/>
          <w:lang w:val="en-US" w:eastAsia="zh-CN"/>
        </w:rPr>
        <w:t>。</w:t>
      </w:r>
      <w:r>
        <w:rPr>
          <w:rFonts w:hint="eastAsia" w:ascii="宋体" w:hAnsi="宋体"/>
          <w:sz w:val="24"/>
        </w:rPr>
        <w:t>乙方联系人</w:t>
      </w:r>
      <w:r>
        <w:rPr>
          <w:rFonts w:hint="eastAsia" w:ascii="宋体" w:hAnsi="宋体"/>
          <w:sz w:val="24"/>
        </w:rPr>
        <w:fldChar w:fldCharType="end"/>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ascii="宋体" w:hAnsi="宋体"/>
          <w:sz w:val="24"/>
        </w:rPr>
        <w:t>，联系方式</w:t>
      </w:r>
      <w:r>
        <w:rPr>
          <w:rFonts w:hint="eastAsia" w:ascii="宋体" w:hAnsi="宋体"/>
          <w:sz w:val="24"/>
        </w:rPr>
        <w:t>为：</w:t>
      </w:r>
      <w:r>
        <w:rPr>
          <w:rFonts w:hint="eastAsia" w:ascii="宋体" w:hAnsi="宋体"/>
          <w:sz w:val="24"/>
          <w:u w:val="single"/>
          <w:lang w:val="en-US" w:eastAsia="zh-CN"/>
        </w:rPr>
        <w:t xml:space="preserve">              </w:t>
      </w:r>
      <w:r>
        <w:rPr>
          <w:rFonts w:hint="eastAsia" w:ascii="宋体" w:hAnsi="宋体"/>
          <w:sz w:val="24"/>
        </w:rPr>
        <w:t>，</w:t>
      </w:r>
      <w:r>
        <w:rPr>
          <w:rFonts w:ascii="宋体" w:hAnsi="宋体"/>
          <w:sz w:val="24"/>
        </w:rPr>
        <w:t>邮箱</w:t>
      </w:r>
      <w:r>
        <w:rPr>
          <w:rFonts w:hint="eastAsia" w:ascii="宋体" w:hAnsi="宋体"/>
          <w:sz w:val="24"/>
        </w:rPr>
        <w:t>：</w:t>
      </w:r>
      <w:r>
        <w:rPr>
          <w:rFonts w:hint="eastAsia" w:ascii="宋体" w:hAnsi="宋体"/>
          <w:bCs/>
          <w:sz w:val="24"/>
          <w:lang w:val="en-US" w:eastAsia="zh-CN"/>
        </w:rPr>
        <w:t xml:space="preserve"> </w:t>
      </w:r>
      <w:r>
        <w:rPr>
          <w:rFonts w:hint="eastAsia" w:ascii="宋体" w:hAnsi="宋体"/>
          <w:bCs/>
          <w:sz w:val="24"/>
          <w:u w:val="single"/>
          <w:lang w:val="en-US" w:eastAsia="zh-CN"/>
        </w:rPr>
        <w:t xml:space="preserve"> </w:t>
      </w:r>
      <w:r>
        <w:rPr>
          <w:rFonts w:hint="eastAsia" w:ascii="宋体" w:hAnsi="宋体"/>
          <w:sz w:val="24"/>
          <w:u w:val="single"/>
          <w:lang w:val="en-US" w:eastAsia="zh-CN"/>
        </w:rPr>
        <w:t xml:space="preserve">             </w:t>
      </w:r>
      <w:r>
        <w:rPr>
          <w:rFonts w:hint="eastAsia" w:ascii="宋体" w:hAnsi="宋体"/>
          <w:sz w:val="24"/>
        </w:rPr>
        <w:t>。</w:t>
      </w:r>
    </w:p>
    <w:p>
      <w:pPr>
        <w:widowControl/>
        <w:spacing w:line="360" w:lineRule="auto"/>
        <w:rPr>
          <w:rFonts w:hint="eastAsia" w:ascii="宋体" w:hAnsi="宋体" w:cs="宋体"/>
          <w:color w:val="000000"/>
          <w:kern w:val="0"/>
          <w:sz w:val="24"/>
          <w:u w:val="single"/>
        </w:rPr>
      </w:pPr>
      <w:r>
        <w:rPr>
          <w:rFonts w:ascii="宋体" w:hAnsi="宋体" w:cs="宋体"/>
          <w:b/>
          <w:color w:val="000000"/>
          <w:kern w:val="0"/>
          <w:sz w:val="24"/>
        </w:rPr>
        <w:t>四、</w:t>
      </w:r>
      <w:r>
        <w:rPr>
          <w:rFonts w:ascii="宋体" w:hAnsi="宋体" w:cs="宋体"/>
          <w:color w:val="000000"/>
          <w:kern w:val="0"/>
          <w:sz w:val="24"/>
        </w:rPr>
        <w:t>修复设备</w:t>
      </w:r>
      <w:r>
        <w:rPr>
          <w:rFonts w:hint="eastAsia" w:ascii="宋体" w:hAnsi="宋体" w:cs="宋体"/>
          <w:color w:val="000000"/>
          <w:kern w:val="0"/>
          <w:sz w:val="24"/>
        </w:rPr>
        <w:t>备件</w:t>
      </w:r>
      <w:r>
        <w:rPr>
          <w:rFonts w:ascii="宋体" w:hAnsi="宋体" w:cs="宋体"/>
          <w:color w:val="000000"/>
          <w:kern w:val="0"/>
          <w:sz w:val="24"/>
        </w:rPr>
        <w:t>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ascii="宋体" w:hAnsi="宋体" w:cs="宋体"/>
          <w:color w:val="000000"/>
          <w:kern w:val="0"/>
          <w:sz w:val="24"/>
          <w:u w:val="single"/>
        </w:rPr>
        <w:t>_</w:t>
      </w:r>
      <w:r>
        <w:rPr>
          <w:rFonts w:hint="eastAsia" w:ascii="宋体" w:hAnsi="宋体" w:cs="Arial"/>
          <w:sz w:val="24"/>
          <w:u w:val="single"/>
          <w:lang w:eastAsia="zh-CN"/>
        </w:rPr>
        <w:t>漳州市古雷港经济开发区</w:t>
      </w:r>
      <w:r>
        <w:rPr>
          <w:rFonts w:hint="eastAsia"/>
          <w:spacing w:val="20"/>
          <w:sz w:val="24"/>
          <w:u w:val="single"/>
          <w:lang w:eastAsia="zh-CN"/>
        </w:rPr>
        <w:t>腾龙芳烃（漳州）有限公司、翔鹭石化（漳州）有限公司、翔鹭码头投资管理（漳州）有限公司</w:t>
      </w:r>
      <w:r>
        <w:rPr>
          <w:rFonts w:hint="eastAsia"/>
          <w:spacing w:val="20"/>
          <w:sz w:val="24"/>
          <w:u w:val="single"/>
          <w:lang w:val="en-US" w:eastAsia="zh-CN"/>
        </w:rPr>
        <w:t>各工厂区</w:t>
      </w:r>
      <w:r>
        <w:rPr>
          <w:rFonts w:hint="eastAsia" w:ascii="宋体" w:hAnsi="宋体" w:cs="Arial"/>
          <w:sz w:val="24"/>
          <w:u w:val="single"/>
        </w:rPr>
        <w:t>。</w:t>
      </w:r>
      <w:r>
        <w:rPr>
          <w:rFonts w:hint="eastAsia" w:ascii="宋体" w:hAnsi="宋体" w:cs="宋体"/>
          <w:color w:val="000000"/>
          <w:kern w:val="0"/>
          <w:sz w:val="24"/>
          <w:u w:val="single"/>
        </w:rPr>
        <w:t>。</w:t>
      </w:r>
    </w:p>
    <w:p>
      <w:pPr>
        <w:widowControl/>
        <w:spacing w:line="360" w:lineRule="auto"/>
        <w:rPr>
          <w:rFonts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lang w:val="en-US" w:eastAsia="zh-CN"/>
        </w:rPr>
        <w:t>维修期限：</w:t>
      </w:r>
      <w:r>
        <w:rPr>
          <w:rFonts w:hint="eastAsia" w:ascii="宋体" w:hAnsi="宋体" w:cs="宋体"/>
          <w:color w:val="000000"/>
          <w:kern w:val="0"/>
          <w:sz w:val="24"/>
          <w:u w:val="single"/>
        </w:rPr>
        <w:t xml:space="preserve"> </w:t>
      </w:r>
      <w:r>
        <w:rPr>
          <w:rFonts w:hint="eastAsia" w:ascii="宋体" w:hAnsi="宋体" w:cs="Arial"/>
          <w:sz w:val="24"/>
          <w:u w:val="single"/>
          <w:lang w:val="en-US" w:eastAsia="zh-CN"/>
        </w:rPr>
        <w:t>依据</w:t>
      </w:r>
      <w:r>
        <w:rPr>
          <w:rFonts w:hint="eastAsia" w:ascii="宋体" w:hAnsi="宋体" w:cs="Arial"/>
          <w:sz w:val="24"/>
          <w:u w:val="single"/>
        </w:rPr>
        <w:t>附件</w:t>
      </w:r>
      <w:r>
        <w:rPr>
          <w:rFonts w:hint="eastAsia" w:ascii="宋体" w:hAnsi="宋体" w:cs="Arial"/>
          <w:sz w:val="24"/>
          <w:u w:val="single"/>
          <w:lang w:val="en-US" w:eastAsia="zh-CN"/>
        </w:rPr>
        <w:t>1</w:t>
      </w:r>
      <w:r>
        <w:rPr>
          <w:rFonts w:hint="eastAsia" w:ascii="宋体" w:hAnsi="宋体" w:cs="Arial"/>
          <w:sz w:val="24"/>
          <w:u w:val="single"/>
        </w:rPr>
        <w:t>、《福海创对讲机维修及系统服务发包说明》</w:t>
      </w:r>
      <w:r>
        <w:rPr>
          <w:rFonts w:hint="eastAsia" w:ascii="宋体" w:hAnsi="宋体" w:cs="Arial"/>
          <w:sz w:val="24"/>
          <w:u w:val="single"/>
          <w:lang w:val="en-US" w:eastAsia="zh-CN"/>
        </w:rPr>
        <w:t>要求期限</w:t>
      </w:r>
      <w:r>
        <w:rPr>
          <w:rFonts w:hint="eastAsia" w:ascii="宋体" w:hAnsi="宋体" w:cs="宋体"/>
          <w:color w:val="000000"/>
          <w:kern w:val="0"/>
          <w:sz w:val="24"/>
        </w:rPr>
        <w:t>内修复。</w:t>
      </w:r>
    </w:p>
    <w:p>
      <w:pPr>
        <w:widowControl/>
        <w:spacing w:line="360" w:lineRule="auto"/>
        <w:rPr>
          <w:rFonts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6</w:t>
      </w:r>
      <w:r>
        <w:rPr>
          <w:rFonts w:hint="eastAsia" w:ascii="宋体" w:hAnsi="宋体" w:cs="宋体"/>
          <w:color w:val="000000"/>
          <w:kern w:val="0"/>
          <w:sz w:val="24"/>
          <w:u w:val="single"/>
        </w:rPr>
        <w:t xml:space="preserve"> </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ascii="宋体" w:hAnsi="宋体" w:cs="宋体"/>
          <w:color w:val="000000"/>
          <w:kern w:val="0"/>
          <w:sz w:val="24"/>
        </w:rPr>
      </w:pPr>
      <w:r>
        <w:rPr>
          <w:rFonts w:hint="eastAsia" w:ascii="宋体" w:hAnsi="宋体" w:cs="宋体"/>
          <w:b/>
          <w:color w:val="000000"/>
          <w:kern w:val="0"/>
          <w:sz w:val="24"/>
        </w:rPr>
        <w:t>七、特别约定：</w:t>
      </w:r>
      <w:r>
        <w:rPr>
          <w:rFonts w:hint="eastAsia" w:ascii="宋体" w:hAnsi="宋体" w:cs="宋体"/>
          <w:color w:val="000000"/>
          <w:kern w:val="0"/>
          <w:sz w:val="24"/>
        </w:rPr>
        <w:t>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ascii="宋体" w:hAnsi="宋体" w:cs="宋体"/>
          <w:b/>
          <w:color w:val="000000"/>
          <w:kern w:val="0"/>
          <w:sz w:val="24"/>
        </w:rPr>
      </w:pPr>
      <w:r>
        <w:rPr>
          <w:rFonts w:hint="eastAsia" w:ascii="宋体" w:hAnsi="宋体" w:cs="宋体"/>
          <w:b/>
          <w:color w:val="000000"/>
          <w:kern w:val="0"/>
          <w:sz w:val="24"/>
          <w:lang w:val="en-US" w:eastAsia="zh-CN"/>
        </w:rPr>
        <w:t>九、</w:t>
      </w:r>
      <w:r>
        <w:rPr>
          <w:rFonts w:ascii="宋体" w:hAnsi="宋体" w:cs="宋体"/>
          <w:b/>
          <w:color w:val="000000"/>
          <w:kern w:val="0"/>
          <w:sz w:val="24"/>
        </w:rPr>
        <w:t>合同履约保证金</w:t>
      </w:r>
    </w:p>
    <w:p>
      <w:pPr>
        <w:widowControl/>
        <w:spacing w:line="360" w:lineRule="auto"/>
        <w:ind w:firstLine="480" w:firstLineChars="200"/>
        <w:rPr>
          <w:rFonts w:hint="eastAsia" w:ascii="宋体" w:hAnsi="宋体" w:cs="宋体"/>
          <w:b/>
          <w:color w:val="000000"/>
          <w:kern w:val="0"/>
          <w:sz w:val="24"/>
          <w:lang w:val="en-US" w:eastAsia="zh-CN"/>
        </w:rPr>
      </w:pPr>
      <w:r>
        <w:rPr>
          <w:rFonts w:hint="eastAsia"/>
          <w:sz w:val="24"/>
          <w:lang w:eastAsia="zh-CN"/>
        </w:rPr>
        <w:t>合同签订生效后乙方提交的参选保证金</w:t>
      </w:r>
      <w:r>
        <w:rPr>
          <w:rFonts w:hint="eastAsia"/>
          <w:sz w:val="24"/>
          <w:lang w:val="en-US" w:eastAsia="zh-CN"/>
        </w:rPr>
        <w:t>贰</w:t>
      </w:r>
      <w:r>
        <w:rPr>
          <w:rFonts w:hint="eastAsia"/>
          <w:sz w:val="24"/>
          <w:lang w:eastAsia="zh-CN"/>
        </w:rPr>
        <w:t>万元自动转为履约保证金。项目检修完工并经甲方验收合格后且乙方无违约扣款行为的，保证金将于30个工作日内，甲方无息退还履约保证金。</w:t>
      </w:r>
    </w:p>
    <w:p>
      <w:pPr>
        <w:widowControl/>
        <w:spacing w:line="360" w:lineRule="auto"/>
        <w:rPr>
          <w:rFonts w:ascii="宋体" w:hAnsi="宋体" w:cs="宋体"/>
          <w:b/>
          <w:color w:val="000000"/>
          <w:kern w:val="0"/>
          <w:sz w:val="24"/>
        </w:rPr>
      </w:pPr>
      <w:r>
        <w:rPr>
          <w:rFonts w:hint="eastAsia" w:ascii="宋体" w:hAnsi="宋体" w:cs="宋体"/>
          <w:b/>
          <w:color w:val="000000"/>
          <w:kern w:val="0"/>
          <w:sz w:val="24"/>
          <w:lang w:val="en-US" w:eastAsia="zh-CN"/>
        </w:rPr>
        <w:t>十</w:t>
      </w:r>
      <w:r>
        <w:rPr>
          <w:rFonts w:ascii="宋体" w:hAnsi="宋体" w:cs="宋体"/>
          <w:b/>
          <w:color w:val="000000"/>
          <w:kern w:val="0"/>
          <w:sz w:val="24"/>
        </w:rPr>
        <w:t>、违约责任：</w:t>
      </w:r>
    </w:p>
    <w:p>
      <w:pPr>
        <w:spacing w:line="360" w:lineRule="auto"/>
        <w:ind w:left="360" w:hanging="218"/>
        <w:rPr>
          <w:rFonts w:hint="eastAsia" w:ascii="宋体" w:hAnsi="宋体" w:eastAsia="宋体" w:cs="宋体"/>
          <w:color w:val="000000"/>
          <w:kern w:val="0"/>
          <w:sz w:val="24"/>
          <w:lang w:val="en-US" w:eastAsia="zh-CN"/>
        </w:rPr>
      </w:pPr>
      <w:r>
        <w:rPr>
          <w:rFonts w:ascii="宋体" w:hAnsi="宋体" w:cs="宋体"/>
          <w:color w:val="000000"/>
          <w:kern w:val="0"/>
          <w:sz w:val="24"/>
        </w:rPr>
        <w:t>1</w:t>
      </w:r>
      <w:r>
        <w:rPr>
          <w:rFonts w:hint="eastAsia" w:ascii="宋体" w:hAnsi="宋体" w:cs="宋体"/>
          <w:color w:val="000000"/>
          <w:kern w:val="0"/>
          <w:sz w:val="24"/>
        </w:rPr>
        <w:t>、乙方逾期修复需维修设备的，</w:t>
      </w:r>
      <w:bookmarkStart w:id="17" w:name="_Toc80716121"/>
      <w:r>
        <w:rPr>
          <w:rFonts w:hint="eastAsia" w:ascii="宋体" w:hAnsi="宋体" w:cs="宋体"/>
          <w:color w:val="000000"/>
          <w:kern w:val="0"/>
          <w:sz w:val="24"/>
          <w:lang w:val="en-US" w:eastAsia="zh-CN"/>
        </w:rPr>
        <w:t>依</w:t>
      </w:r>
      <w:r>
        <w:rPr>
          <w:rFonts w:hint="eastAsia" w:ascii="宋体" w:hAnsi="宋体" w:eastAsia="宋体" w:cs="宋体"/>
          <w:color w:val="000000"/>
          <w:kern w:val="0"/>
          <w:sz w:val="24"/>
          <w:lang w:val="en-US" w:eastAsia="zh-CN"/>
        </w:rPr>
        <w:t>据</w:t>
      </w:r>
      <w:r>
        <w:rPr>
          <w:rFonts w:hint="eastAsia" w:ascii="宋体" w:hAnsi="宋体" w:eastAsia="宋体" w:cs="宋体"/>
          <w:color w:val="000000"/>
          <w:kern w:val="0"/>
          <w:sz w:val="24"/>
        </w:rPr>
        <w:t>附</w:t>
      </w:r>
      <w:r>
        <w:rPr>
          <w:rFonts w:hint="eastAsia" w:ascii="宋体" w:hAnsi="宋体" w:eastAsia="宋体" w:cs="宋体"/>
          <w:color w:val="000000"/>
          <w:kern w:val="0"/>
          <w:sz w:val="24"/>
          <w:lang w:val="en-US" w:eastAsia="zh-CN"/>
        </w:rPr>
        <w:t>件一、《福海创对讲机维修及系统服务发包说明》要求“第九条、服务质量考评办法</w:t>
      </w:r>
      <w:bookmarkEnd w:id="17"/>
      <w:r>
        <w:rPr>
          <w:rFonts w:hint="eastAsia" w:ascii="宋体" w:hAnsi="宋体" w:eastAsia="宋体" w:cs="宋体"/>
          <w:color w:val="000000"/>
          <w:kern w:val="0"/>
          <w:sz w:val="24"/>
          <w:lang w:val="en-US" w:eastAsia="zh-CN"/>
        </w:rPr>
        <w:t>”进行处罚。</w:t>
      </w:r>
    </w:p>
    <w:p>
      <w:pPr>
        <w:spacing w:line="360" w:lineRule="auto"/>
        <w:ind w:left="411" w:leftChars="65" w:hanging="268" w:hangingChars="112"/>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w:t>
      </w:r>
      <w:r>
        <w:rPr>
          <w:rFonts w:hint="eastAsia" w:ascii="宋体" w:hAnsi="宋体" w:cs="宋体"/>
          <w:color w:val="000000"/>
          <w:kern w:val="0"/>
          <w:sz w:val="24"/>
          <w:lang w:val="en-US" w:eastAsia="zh-CN"/>
        </w:rPr>
        <w:t>暂定</w:t>
      </w:r>
      <w:r>
        <w:rPr>
          <w:rFonts w:hint="eastAsia" w:ascii="宋体" w:hAnsi="宋体" w:cs="宋体"/>
          <w:color w:val="000000"/>
          <w:kern w:val="0"/>
          <w:sz w:val="24"/>
        </w:rPr>
        <w:t>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w:t>
      </w:r>
      <w:r>
        <w:rPr>
          <w:rFonts w:hint="eastAsia" w:ascii="宋体" w:hAnsi="宋体" w:cs="宋体"/>
          <w:color w:val="000000"/>
          <w:kern w:val="0"/>
          <w:sz w:val="24"/>
          <w:lang w:val="en-US" w:eastAsia="zh-CN"/>
        </w:rPr>
        <w:t>暂定</w:t>
      </w:r>
      <w:r>
        <w:rPr>
          <w:rFonts w:hint="eastAsia" w:ascii="宋体" w:hAnsi="宋体" w:cs="宋体"/>
          <w:color w:val="000000"/>
          <w:kern w:val="0"/>
          <w:sz w:val="24"/>
        </w:rPr>
        <w:t>总额的20%向甲方偿付违约金及赔偿因此给甲方造成的损失。</w:t>
      </w:r>
    </w:p>
    <w:p>
      <w:pPr>
        <w:spacing w:line="360" w:lineRule="auto"/>
        <w:ind w:left="360" w:hanging="218"/>
        <w:rPr>
          <w:rFonts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w:t>
      </w:r>
      <w:r>
        <w:rPr>
          <w:rFonts w:hint="eastAsia" w:ascii="宋体" w:hAnsi="宋体" w:cs="宋体"/>
          <w:color w:val="000000"/>
          <w:kern w:val="0"/>
          <w:sz w:val="24"/>
          <w:lang w:val="en-US" w:eastAsia="zh-CN"/>
        </w:rPr>
        <w:t>暂定</w:t>
      </w:r>
      <w:r>
        <w:rPr>
          <w:rFonts w:hint="eastAsia" w:ascii="宋体" w:hAnsi="宋体" w:cs="宋体"/>
          <w:color w:val="000000"/>
          <w:kern w:val="0"/>
          <w:sz w:val="24"/>
        </w:rPr>
        <w:t>总价20%的违约金给甲方。</w:t>
      </w:r>
    </w:p>
    <w:p>
      <w:pPr>
        <w:pStyle w:val="206"/>
        <w:ind w:left="365" w:leftChars="57" w:hanging="240" w:hangingChars="100"/>
        <w:rPr>
          <w:rFonts w:ascii="宋体" w:hAnsi="宋体" w:eastAsia="宋体" w:cs="宋体"/>
          <w:color w:val="000000"/>
          <w:kern w:val="0"/>
          <w:szCs w:val="24"/>
        </w:rPr>
      </w:pPr>
      <w:r>
        <w:rPr>
          <w:rFonts w:hint="eastAsia" w:ascii="宋体" w:hAnsi="宋体" w:eastAsia="宋体" w:cs="宋体"/>
          <w:color w:val="000000"/>
          <w:kern w:val="0"/>
          <w:szCs w:val="24"/>
        </w:rPr>
        <w:t>7</w:t>
      </w:r>
      <w:r>
        <w:rPr>
          <w:rFonts w:hint="eastAsia" w:ascii="宋体" w:hAnsi="宋体" w:cs="宋体"/>
          <w:color w:val="000000"/>
          <w:kern w:val="0"/>
        </w:rPr>
        <w:t>、</w:t>
      </w: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color w:val="000000"/>
          <w:kern w:val="0"/>
          <w:sz w:val="24"/>
          <w:lang w:val="en-US" w:eastAsia="zh-CN"/>
        </w:rPr>
        <w:t>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rPr>
          <w:rFonts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color w:val="000000"/>
          <w:kern w:val="0"/>
          <w:sz w:val="24"/>
          <w:lang w:val="en-US" w:eastAsia="zh-CN"/>
        </w:rPr>
        <w:t>二</w:t>
      </w:r>
      <w:r>
        <w:rPr>
          <w:rFonts w:hint="eastAsia" w:ascii="宋体" w:hAnsi="宋体" w:cs="宋体"/>
          <w:b/>
          <w:color w:val="000000"/>
          <w:kern w:val="0"/>
          <w:sz w:val="24"/>
        </w:rPr>
        <w:t>、廉洁条款：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p>
    <w:p>
      <w:pPr>
        <w:pStyle w:val="47"/>
      </w:pPr>
    </w:p>
    <w:p>
      <w:pPr>
        <w:numPr>
          <w:ilvl w:val="0"/>
          <w:numId w:val="7"/>
        </w:numPr>
        <w:spacing w:line="360" w:lineRule="auto"/>
        <w:rPr>
          <w:rFonts w:ascii="宋体" w:hAnsi="宋体" w:cs="宋体"/>
          <w:color w:val="000000"/>
          <w:kern w:val="0"/>
          <w:sz w:val="24"/>
        </w:rPr>
      </w:pPr>
      <w:r>
        <w:rPr>
          <w:rFonts w:hint="eastAsia" w:ascii="宋体" w:hAnsi="宋体" w:cs="宋体"/>
          <w:b/>
          <w:color w:val="000000"/>
          <w:kern w:val="0"/>
          <w:sz w:val="24"/>
          <w:lang w:val="en-US" w:eastAsia="zh-CN"/>
        </w:rPr>
        <w:t>合同有效期：</w:t>
      </w:r>
      <w:r>
        <w:rPr>
          <w:rFonts w:hint="eastAsia" w:ascii="宋体" w:hAnsi="宋体" w:cs="宋体"/>
          <w:b w:val="0"/>
          <w:bCs/>
          <w:color w:val="000000"/>
          <w:kern w:val="0"/>
          <w:sz w:val="24"/>
          <w:lang w:val="en-US" w:eastAsia="zh-CN"/>
        </w:rPr>
        <w:t>从</w:t>
      </w:r>
      <w:r>
        <w:rPr>
          <w:rFonts w:hint="eastAsia" w:ascii="宋体" w:hAnsi="宋体" w:cs="宋体"/>
          <w:b w:val="0"/>
          <w:bCs/>
          <w:color w:val="000000"/>
          <w:kern w:val="0"/>
          <w:sz w:val="24"/>
          <w:u w:val="single"/>
          <w:lang w:val="en-US" w:eastAsia="zh-CN"/>
        </w:rPr>
        <w:t xml:space="preserve">    年   月   日起至   年   月   日止（两年）。</w:t>
      </w:r>
    </w:p>
    <w:p>
      <w:pPr>
        <w:numPr>
          <w:ilvl w:val="0"/>
          <w:numId w:val="0"/>
        </w:num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lang w:val="en-US" w:eastAsia="zh-CN"/>
        </w:rPr>
        <w:t>四</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lang w:val="en-US" w:eastAsia="zh-CN"/>
        </w:rPr>
        <w:t>五</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w:t>
      </w:r>
      <w:r>
        <w:rPr>
          <w:rFonts w:hint="eastAsia" w:ascii="宋体" w:hAnsi="宋体" w:cs="宋体"/>
          <w:color w:val="000000"/>
          <w:kern w:val="0"/>
          <w:sz w:val="24"/>
        </w:rPr>
        <w:t>甲方</w:t>
      </w:r>
      <w:r>
        <w:rPr>
          <w:rFonts w:ascii="宋体" w:hAnsi="宋体" w:cs="宋体"/>
          <w:color w:val="000000"/>
          <w:kern w:val="0"/>
          <w:sz w:val="24"/>
        </w:rPr>
        <w:t>执</w:t>
      </w:r>
      <w:r>
        <w:rPr>
          <w:rFonts w:hint="eastAsia" w:ascii="宋体" w:hAnsi="宋体" w:cs="宋体"/>
          <w:color w:val="000000"/>
          <w:kern w:val="0"/>
          <w:sz w:val="24"/>
        </w:rPr>
        <w:t>叁</w:t>
      </w:r>
      <w:r>
        <w:rPr>
          <w:rFonts w:ascii="宋体" w:hAnsi="宋体" w:cs="宋体"/>
          <w:color w:val="000000"/>
          <w:kern w:val="0"/>
          <w:sz w:val="24"/>
        </w:rPr>
        <w:t>份</w:t>
      </w:r>
      <w:r>
        <w:rPr>
          <w:rFonts w:hint="eastAsia" w:ascii="宋体" w:hAnsi="宋体" w:cs="宋体"/>
          <w:color w:val="000000"/>
          <w:kern w:val="0"/>
          <w:sz w:val="24"/>
        </w:rPr>
        <w:t>，乙方执壹份</w:t>
      </w:r>
      <w:r>
        <w:rPr>
          <w:rFonts w:ascii="宋体" w:hAnsi="宋体" w:cs="宋体"/>
          <w:color w:val="000000"/>
          <w:kern w:val="0"/>
          <w:sz w:val="24"/>
        </w:rPr>
        <w:t>。</w:t>
      </w:r>
      <w:r>
        <w:rPr>
          <w:rFonts w:hint="eastAsia" w:ascii="宋体" w:hAnsi="宋体" w:cs="宋体"/>
          <w:color w:val="000000"/>
          <w:kern w:val="0"/>
          <w:sz w:val="24"/>
        </w:rPr>
        <w:t>本合同从双方签字盖章之日起生效（甲方需加盖公章及法定代表人章）。</w:t>
      </w:r>
    </w:p>
    <w:p>
      <w:pPr>
        <w:widowControl/>
        <w:spacing w:line="360" w:lineRule="auto"/>
        <w:rPr>
          <w:rFonts w:hint="eastAsia" w:ascii="宋体" w:hAnsi="宋体" w:cs="宋体"/>
          <w:color w:val="000000"/>
          <w:kern w:val="0"/>
          <w:sz w:val="24"/>
        </w:rPr>
      </w:pPr>
    </w:p>
    <w:p>
      <w:pPr>
        <w:spacing w:line="360" w:lineRule="auto"/>
        <w:rPr>
          <w:rFonts w:ascii="宋体" w:hAnsi="宋体" w:cs="Arial"/>
          <w:b/>
          <w:sz w:val="24"/>
        </w:rPr>
      </w:pPr>
      <w:r>
        <w:rPr>
          <w:rFonts w:hint="eastAsia" w:ascii="宋体" w:hAnsi="宋体" w:cs="Arial"/>
          <w:b/>
          <w:sz w:val="24"/>
        </w:rPr>
        <w:t>（本页为签署栏，无正文）</w:t>
      </w:r>
    </w:p>
    <w:p>
      <w:pPr>
        <w:spacing w:line="360" w:lineRule="auto"/>
        <w:rPr>
          <w:rFonts w:ascii="宋体" w:hAnsi="宋体" w:cs="Arial"/>
          <w:b/>
          <w:sz w:val="24"/>
        </w:rPr>
      </w:pPr>
    </w:p>
    <w:p>
      <w:pPr>
        <w:spacing w:line="360" w:lineRule="auto"/>
        <w:rPr>
          <w:rFonts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ascii="宋体" w:hAnsi="宋体" w:cs="Arial"/>
          <w:b/>
          <w:sz w:val="24"/>
        </w:rPr>
      </w:pPr>
    </w:p>
    <w:tbl>
      <w:tblPr>
        <w:tblStyle w:val="49"/>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0"/>
        <w:gridCol w:w="4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5510" w:type="dxa"/>
            <w:vAlign w:val="center"/>
          </w:tcPr>
          <w:p>
            <w:pPr>
              <w:spacing w:line="360" w:lineRule="auto"/>
              <w:rPr>
                <w:rFonts w:hint="eastAsia"/>
                <w:spacing w:val="20"/>
                <w:sz w:val="24"/>
                <w:u w:val="none"/>
                <w:lang w:eastAsia="zh-CN"/>
              </w:rPr>
            </w:pPr>
            <w:r>
              <w:rPr>
                <w:rFonts w:hint="eastAsia"/>
                <w:sz w:val="24"/>
                <w:lang w:eastAsia="zh-CN"/>
              </w:rPr>
              <w:t>甲方：</w:t>
            </w:r>
            <w:r>
              <w:rPr>
                <w:rFonts w:hint="eastAsia"/>
                <w:sz w:val="24"/>
                <w:lang w:val="en-US" w:eastAsia="zh-CN"/>
              </w:rPr>
              <w:t xml:space="preserve"> </w:t>
            </w:r>
            <w:r>
              <w:rPr>
                <w:rFonts w:hint="eastAsia"/>
                <w:spacing w:val="20"/>
                <w:sz w:val="24"/>
                <w:u w:val="none"/>
                <w:lang w:eastAsia="zh-CN"/>
              </w:rPr>
              <w:t>腾龙芳烃（漳州）有限公司</w:t>
            </w:r>
          </w:p>
          <w:p>
            <w:pPr>
              <w:pStyle w:val="47"/>
              <w:rPr>
                <w:rFonts w:hint="eastAsia"/>
                <w:lang w:eastAsia="zh-CN"/>
              </w:rPr>
            </w:pPr>
          </w:p>
          <w:p>
            <w:pPr>
              <w:spacing w:line="360" w:lineRule="auto"/>
              <w:ind w:firstLine="840" w:firstLineChars="300"/>
              <w:rPr>
                <w:rFonts w:hint="eastAsia"/>
                <w:spacing w:val="20"/>
                <w:sz w:val="24"/>
                <w:u w:val="none"/>
                <w:lang w:eastAsia="zh-CN"/>
              </w:rPr>
            </w:pPr>
          </w:p>
          <w:p>
            <w:pPr>
              <w:spacing w:line="360" w:lineRule="auto"/>
              <w:ind w:firstLine="840" w:firstLineChars="300"/>
              <w:rPr>
                <w:rFonts w:hint="eastAsia"/>
                <w:spacing w:val="20"/>
                <w:sz w:val="24"/>
                <w:u w:val="single"/>
                <w:lang w:val="en-US" w:eastAsia="zh-CN"/>
              </w:rPr>
            </w:pPr>
            <w:r>
              <w:rPr>
                <w:rFonts w:hint="eastAsia"/>
                <w:spacing w:val="20"/>
                <w:sz w:val="24"/>
                <w:u w:val="none"/>
                <w:lang w:eastAsia="zh-CN"/>
              </w:rPr>
              <w:t>翔鹭石化（漳州）有限公司</w:t>
            </w:r>
            <w:r>
              <w:rPr>
                <w:rFonts w:hint="eastAsia"/>
                <w:spacing w:val="20"/>
                <w:sz w:val="24"/>
                <w:u w:val="none"/>
                <w:lang w:val="en-US" w:eastAsia="zh-CN"/>
              </w:rPr>
              <w:t xml:space="preserve"> </w:t>
            </w:r>
          </w:p>
          <w:p>
            <w:pPr>
              <w:pStyle w:val="47"/>
              <w:rPr>
                <w:rFonts w:hint="eastAsia"/>
                <w:lang w:val="en-US" w:eastAsia="zh-CN"/>
              </w:rPr>
            </w:pPr>
          </w:p>
          <w:p>
            <w:pPr>
              <w:ind w:firstLine="560" w:firstLineChars="200"/>
              <w:rPr>
                <w:rFonts w:hint="eastAsia"/>
                <w:spacing w:val="20"/>
                <w:sz w:val="24"/>
                <w:u w:val="none"/>
                <w:lang w:eastAsia="zh-CN"/>
              </w:rPr>
            </w:pPr>
          </w:p>
          <w:p>
            <w:pPr>
              <w:ind w:firstLine="840" w:firstLineChars="300"/>
              <w:rPr>
                <w:rFonts w:hint="eastAsia"/>
                <w:sz w:val="24"/>
                <w:lang w:eastAsia="zh-CN"/>
              </w:rPr>
            </w:pPr>
            <w:r>
              <w:rPr>
                <w:rFonts w:hint="eastAsia"/>
                <w:spacing w:val="20"/>
                <w:sz w:val="24"/>
                <w:u w:val="none"/>
                <w:lang w:eastAsia="zh-CN"/>
              </w:rPr>
              <w:t>翔鹭码头投资管理（漳州）有限公司</w:t>
            </w:r>
          </w:p>
        </w:tc>
        <w:tc>
          <w:tcPr>
            <w:tcW w:w="4349" w:type="dxa"/>
            <w:vAlign w:val="center"/>
          </w:tcPr>
          <w:p>
            <w:pPr>
              <w:rPr>
                <w:rFonts w:hint="eastAsia"/>
                <w:sz w:val="24"/>
                <w:lang w:eastAsia="zh-CN"/>
              </w:rPr>
            </w:pPr>
            <w:r>
              <w:rPr>
                <w:rFonts w:hint="eastAsia"/>
                <w:sz w:val="24"/>
                <w:lang w:eastAsia="zh-CN"/>
              </w:rPr>
              <w:t>乙方：</w:t>
            </w:r>
          </w:p>
        </w:tc>
      </w:tr>
    </w:tbl>
    <w:p>
      <w:pPr>
        <w:spacing w:line="360" w:lineRule="auto"/>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2"/>
        <w:rPr>
          <w:rFonts w:ascii="宋体" w:hAnsi="宋体" w:cs="Arial"/>
          <w:b/>
          <w:sz w:val="24"/>
        </w:rPr>
      </w:pPr>
    </w:p>
    <w:p>
      <w:pPr>
        <w:pStyle w:val="47"/>
        <w:rPr>
          <w:rFonts w:ascii="宋体" w:hAnsi="宋体" w:cs="Arial"/>
          <w:b/>
          <w:sz w:val="24"/>
        </w:rPr>
      </w:pPr>
    </w:p>
    <w:p>
      <w:pPr>
        <w:rPr>
          <w:rFonts w:ascii="宋体" w:hAnsi="宋体" w:cs="Arial"/>
          <w:b/>
          <w:sz w:val="24"/>
        </w:rPr>
      </w:pPr>
    </w:p>
    <w:p>
      <w:pPr>
        <w:pStyle w:val="47"/>
        <w:rPr>
          <w:rFonts w:ascii="宋体" w:hAnsi="宋体" w:cs="Arial"/>
          <w:b/>
          <w:sz w:val="24"/>
        </w:rPr>
      </w:pPr>
    </w:p>
    <w:p>
      <w:pPr>
        <w:rPr>
          <w:rFonts w:ascii="宋体" w:hAnsi="宋体" w:cs="Arial"/>
          <w:b/>
          <w:sz w:val="24"/>
        </w:rPr>
      </w:pPr>
    </w:p>
    <w:p>
      <w:pPr>
        <w:adjustRightInd w:val="0"/>
        <w:snapToGrid w:val="0"/>
        <w:spacing w:before="156" w:beforeLines="50" w:after="156" w:afterLines="50" w:line="360" w:lineRule="auto"/>
        <w:jc w:val="both"/>
        <w:rPr>
          <w:rFonts w:ascii="Arial" w:hAnsi="Arial" w:eastAsia="黑体" w:cs="Arial"/>
          <w:sz w:val="48"/>
          <w:szCs w:val="48"/>
        </w:rPr>
      </w:pPr>
      <w:r>
        <w:rPr>
          <w:rFonts w:hint="eastAsia" w:ascii="Arial" w:hAnsi="Arial" w:eastAsia="黑体" w:cs="Arial"/>
          <w:sz w:val="48"/>
          <w:szCs w:val="48"/>
          <w:lang w:val="en-US" w:eastAsia="zh-CN"/>
        </w:rPr>
        <w:t>附件1、</w:t>
      </w:r>
      <w:r>
        <w:rPr>
          <w:rFonts w:ascii="Arial" w:hAnsi="Arial" w:eastAsia="黑体" w:cs="Arial"/>
          <w:sz w:val="48"/>
          <w:szCs w:val="48"/>
        </w:rPr>
        <w:t xml:space="preserve"> </w:t>
      </w: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r>
        <w:rPr>
          <w:rFonts w:hint="eastAsia" w:ascii="Arial" w:hAnsi="Arial" w:eastAsia="黑体" w:cs="Arial"/>
          <w:sz w:val="48"/>
          <w:szCs w:val="48"/>
        </w:rPr>
        <w:t>福海创对讲机维修及系统服务</w:t>
      </w:r>
    </w:p>
    <w:p>
      <w:pPr>
        <w:adjustRightInd w:val="0"/>
        <w:snapToGrid w:val="0"/>
        <w:spacing w:before="156" w:beforeLines="50" w:after="156" w:afterLines="50" w:line="360" w:lineRule="auto"/>
        <w:jc w:val="center"/>
        <w:rPr>
          <w:rFonts w:hint="default" w:ascii="Arial" w:hAnsi="Arial" w:eastAsia="黑体" w:cs="Arial"/>
          <w:sz w:val="48"/>
          <w:szCs w:val="48"/>
          <w:lang w:val="en-US" w:eastAsia="zh-CN"/>
        </w:rPr>
      </w:pPr>
      <w:r>
        <w:rPr>
          <w:rFonts w:ascii="Arial" w:hAnsi="Arial" w:eastAsia="黑体" w:cs="Arial"/>
          <w:sz w:val="48"/>
          <w:szCs w:val="48"/>
        </w:rPr>
        <w:t>发包</w:t>
      </w:r>
      <w:r>
        <w:rPr>
          <w:rFonts w:hint="eastAsia" w:ascii="Arial" w:hAnsi="Arial" w:eastAsia="黑体" w:cs="Arial"/>
          <w:sz w:val="48"/>
          <w:szCs w:val="48"/>
          <w:lang w:val="en-US" w:eastAsia="zh-CN"/>
        </w:rPr>
        <w:t>说明</w:t>
      </w: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pStyle w:val="2"/>
        <w:rPr>
          <w:rFonts w:ascii="Arial" w:hAnsi="Arial" w:eastAsia="黑体" w:cs="Arial"/>
          <w:sz w:val="48"/>
          <w:szCs w:val="48"/>
        </w:rPr>
      </w:pPr>
    </w:p>
    <w:p>
      <w:pPr>
        <w:pStyle w:val="2"/>
        <w:rPr>
          <w:rFonts w:ascii="Arial" w:hAnsi="Arial" w:eastAsia="黑体" w:cs="Arial"/>
          <w:sz w:val="48"/>
          <w:szCs w:val="48"/>
        </w:rPr>
      </w:pPr>
    </w:p>
    <w:p>
      <w:pPr>
        <w:pStyle w:val="2"/>
        <w:rPr>
          <w:rFonts w:ascii="Arial" w:hAnsi="Arial" w:eastAsia="黑体" w:cs="Arial"/>
          <w:sz w:val="48"/>
          <w:szCs w:val="48"/>
        </w:rPr>
      </w:pPr>
    </w:p>
    <w:p>
      <w:pPr>
        <w:pStyle w:val="2"/>
        <w:rPr>
          <w:rFonts w:ascii="Arial" w:hAnsi="Arial" w:eastAsia="黑体" w:cs="Arial"/>
          <w:sz w:val="48"/>
          <w:szCs w:val="48"/>
        </w:rPr>
      </w:pPr>
    </w:p>
    <w:p>
      <w:pPr>
        <w:pStyle w:val="2"/>
        <w:rPr>
          <w:rFonts w:ascii="Arial" w:hAnsi="Arial" w:eastAsia="黑体" w:cs="Arial"/>
          <w:sz w:val="48"/>
          <w:szCs w:val="48"/>
        </w:rPr>
      </w:pPr>
    </w:p>
    <w:p>
      <w:pPr>
        <w:spacing w:line="360" w:lineRule="auto"/>
        <w:jc w:val="center"/>
        <w:rPr>
          <w:rFonts w:ascii="宋体"/>
          <w:color w:val="000000"/>
          <w:sz w:val="28"/>
          <w:szCs w:val="32"/>
        </w:rPr>
      </w:pPr>
    </w:p>
    <w:p>
      <w:pPr>
        <w:spacing w:line="360" w:lineRule="auto"/>
        <w:jc w:val="center"/>
        <w:rPr>
          <w:rFonts w:ascii="宋体"/>
          <w:color w:val="000000"/>
          <w:sz w:val="28"/>
          <w:szCs w:val="32"/>
        </w:rPr>
      </w:pPr>
    </w:p>
    <w:p>
      <w:pPr>
        <w:spacing w:line="360" w:lineRule="auto"/>
        <w:jc w:val="center"/>
        <w:rPr>
          <w:rFonts w:hAnsi="仿宋" w:eastAsia="仿宋"/>
          <w:b/>
          <w:color w:val="000000"/>
          <w:sz w:val="32"/>
          <w:szCs w:val="32"/>
        </w:rPr>
      </w:pPr>
    </w:p>
    <w:p>
      <w:pPr>
        <w:spacing w:line="360" w:lineRule="auto"/>
        <w:jc w:val="center"/>
        <w:rPr>
          <w:rFonts w:eastAsia="仿宋"/>
          <w:b/>
          <w:color w:val="000000"/>
          <w:sz w:val="32"/>
          <w:szCs w:val="32"/>
        </w:rPr>
      </w:pPr>
      <w:r>
        <w:rPr>
          <w:rFonts w:hint="eastAsia" w:hAnsi="仿宋" w:eastAsia="仿宋"/>
          <w:b/>
          <w:color w:val="000000"/>
          <w:sz w:val="32"/>
          <w:szCs w:val="32"/>
        </w:rPr>
        <w:t>设备管理部电气团队</w:t>
      </w:r>
    </w:p>
    <w:p>
      <w:pPr>
        <w:spacing w:line="360" w:lineRule="auto"/>
        <w:jc w:val="center"/>
        <w:rPr>
          <w:rFonts w:ascii="Arial" w:hAnsi="Arial" w:eastAsia="黑体" w:cs="Arial"/>
          <w:sz w:val="48"/>
          <w:szCs w:val="48"/>
        </w:rPr>
      </w:pPr>
      <w:r>
        <w:rPr>
          <w:rFonts w:eastAsia="仿宋"/>
          <w:b/>
          <w:color w:val="000000"/>
          <w:sz w:val="32"/>
          <w:szCs w:val="32"/>
        </w:rPr>
        <w:t>2022</w:t>
      </w:r>
      <w:r>
        <w:rPr>
          <w:rFonts w:hint="eastAsia" w:hAnsi="仿宋" w:eastAsia="仿宋"/>
          <w:b/>
          <w:color w:val="000000"/>
          <w:sz w:val="32"/>
          <w:szCs w:val="32"/>
        </w:rPr>
        <w:t>年</w:t>
      </w:r>
      <w:r>
        <w:rPr>
          <w:rFonts w:hAnsi="仿宋" w:eastAsia="仿宋"/>
          <w:b/>
          <w:color w:val="000000"/>
          <w:sz w:val="32"/>
          <w:szCs w:val="32"/>
        </w:rPr>
        <w:t>09</w:t>
      </w:r>
      <w:r>
        <w:rPr>
          <w:rFonts w:hint="eastAsia" w:hAnsi="仿宋" w:eastAsia="仿宋"/>
          <w:b/>
          <w:color w:val="000000"/>
          <w:sz w:val="32"/>
          <w:szCs w:val="32"/>
        </w:rPr>
        <w:t>月</w:t>
      </w:r>
    </w:p>
    <w:sdt>
      <w:sdtPr>
        <w:rPr>
          <w:rFonts w:ascii="Times New Roman" w:hAnsi="Times New Roman" w:eastAsia="宋体" w:cs="Times New Roman"/>
          <w:color w:val="auto"/>
          <w:kern w:val="2"/>
          <w:sz w:val="21"/>
          <w:szCs w:val="20"/>
          <w:lang w:val="zh-CN"/>
        </w:rPr>
        <w:id w:val="-977998689"/>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261"/>
            <w:rPr>
              <w:lang w:val="zh-CN"/>
            </w:rPr>
          </w:pPr>
          <w:r>
            <w:rPr>
              <w:lang w:val="zh-CN"/>
            </w:rPr>
            <w:t>目录</w:t>
          </w:r>
        </w:p>
        <w:p>
          <w:pPr>
            <w:pStyle w:val="37"/>
            <w:tabs>
              <w:tab w:val="left" w:pos="1050"/>
              <w:tab w:val="right" w:leader="dot" w:pos="829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"_Toc80716091" </w:instrText>
          </w:r>
          <w:r>
            <w:fldChar w:fldCharType="separate"/>
          </w:r>
          <w:r>
            <w:rPr>
              <w:rStyle w:val="57"/>
              <w:rFonts w:hint="eastAsia" w:ascii="Arial" w:hAnsi="Arial" w:cs="Arial"/>
              <w:b/>
            </w:rPr>
            <w:t>一、</w:t>
          </w:r>
          <w:r>
            <w:rPr>
              <w:rFonts w:cstheme="minorBidi"/>
              <w:kern w:val="2"/>
              <w:sz w:val="21"/>
            </w:rPr>
            <w:tab/>
          </w:r>
          <w:r>
            <w:rPr>
              <w:rStyle w:val="57"/>
              <w:rFonts w:hint="eastAsia" w:ascii="Arial" w:hAnsi="Arial" w:cs="Arial"/>
              <w:b/>
            </w:rPr>
            <w:t>发包形式</w:t>
          </w:r>
          <w:r>
            <w:tab/>
          </w:r>
          <w:r>
            <w:fldChar w:fldCharType="begin"/>
          </w:r>
          <w:r>
            <w:instrText xml:space="preserve"> PAGEREF _Toc80716091 \h </w:instrText>
          </w:r>
          <w:r>
            <w:fldChar w:fldCharType="separate"/>
          </w:r>
          <w:r>
            <w:t>3</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"_Toc80716092" </w:instrText>
          </w:r>
          <w:r>
            <w:fldChar w:fldCharType="separate"/>
          </w:r>
          <w:r>
            <w:rPr>
              <w:rStyle w:val="57"/>
              <w:rFonts w:hint="eastAsia" w:ascii="Arial" w:hAnsi="Arial" w:cs="Arial"/>
              <w:b/>
            </w:rPr>
            <w:t>二、</w:t>
          </w:r>
          <w:r>
            <w:rPr>
              <w:rFonts w:cstheme="minorBidi"/>
              <w:kern w:val="2"/>
              <w:sz w:val="21"/>
            </w:rPr>
            <w:tab/>
          </w:r>
          <w:r>
            <w:rPr>
              <w:rStyle w:val="57"/>
              <w:rFonts w:hint="eastAsia" w:ascii="Arial" w:hAnsi="Arial" w:cs="Arial"/>
              <w:b/>
            </w:rPr>
            <w:t>工程概况</w:t>
          </w:r>
          <w:r>
            <w:tab/>
          </w:r>
          <w:r>
            <w:fldChar w:fldCharType="begin"/>
          </w:r>
          <w:r>
            <w:instrText xml:space="preserve"> PAGEREF _Toc80716092 \h </w:instrText>
          </w:r>
          <w:r>
            <w:fldChar w:fldCharType="separate"/>
          </w:r>
          <w:r>
            <w:t>3</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"_Toc80716093" </w:instrText>
          </w:r>
          <w:r>
            <w:fldChar w:fldCharType="separate"/>
          </w:r>
          <w:r>
            <w:rPr>
              <w:rStyle w:val="57"/>
              <w:rFonts w:ascii="Arial" w:hAnsi="Arial" w:cs="Arial"/>
              <w:b/>
            </w:rPr>
            <w:t>1</w:t>
          </w:r>
          <w:r>
            <w:rPr>
              <w:rFonts w:cstheme="minorBidi"/>
              <w:kern w:val="2"/>
              <w:sz w:val="21"/>
            </w:rPr>
            <w:tab/>
          </w:r>
          <w:r>
            <w:rPr>
              <w:rStyle w:val="57"/>
              <w:rFonts w:hint="eastAsia"/>
            </w:rPr>
            <w:t>项目背景</w:t>
          </w:r>
          <w:r>
            <w:tab/>
          </w:r>
          <w:r>
            <w:fldChar w:fldCharType="begin"/>
          </w:r>
          <w:r>
            <w:instrText xml:space="preserve"> PAGEREF _Toc80716093 \h </w:instrText>
          </w:r>
          <w:r>
            <w:fldChar w:fldCharType="separate"/>
          </w:r>
          <w:r>
            <w:t>3</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"_Toc80716094" </w:instrText>
          </w:r>
          <w:r>
            <w:fldChar w:fldCharType="separate"/>
          </w:r>
          <w:r>
            <w:rPr>
              <w:rStyle w:val="57"/>
              <w:rFonts w:ascii="宋体" w:hAnsi="宋体"/>
              <w:b/>
            </w:rPr>
            <w:t>2</w:t>
          </w:r>
          <w:r>
            <w:rPr>
              <w:rFonts w:cstheme="minorBidi"/>
              <w:kern w:val="2"/>
              <w:sz w:val="21"/>
            </w:rPr>
            <w:tab/>
          </w:r>
          <w:r>
            <w:rPr>
              <w:rStyle w:val="57"/>
              <w:rFonts w:hint="eastAsia"/>
            </w:rPr>
            <w:t>系统现状</w:t>
          </w:r>
          <w:r>
            <w:tab/>
          </w:r>
          <w:r>
            <w:fldChar w:fldCharType="begin"/>
          </w:r>
          <w:r>
            <w:instrText xml:space="preserve"> PAGEREF _Toc80716094 \h </w:instrText>
          </w:r>
          <w:r>
            <w:fldChar w:fldCharType="separate"/>
          </w:r>
          <w:r>
            <w:t>3</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"_Toc80716095" </w:instrText>
          </w:r>
          <w:r>
            <w:fldChar w:fldCharType="separate"/>
          </w:r>
          <w:r>
            <w:rPr>
              <w:rStyle w:val="57"/>
              <w:rFonts w:ascii="Arial" w:hAnsi="Arial" w:cs="Arial"/>
              <w:b/>
            </w:rPr>
            <w:t>3</w:t>
          </w:r>
          <w:r>
            <w:rPr>
              <w:rFonts w:cstheme="minorBidi"/>
              <w:kern w:val="2"/>
              <w:sz w:val="21"/>
            </w:rPr>
            <w:tab/>
          </w:r>
          <w:r>
            <w:rPr>
              <w:rStyle w:val="57"/>
              <w:rFonts w:hint="eastAsia" w:ascii="Arial" w:hAnsi="Arial" w:cs="Arial"/>
              <w:b/>
            </w:rPr>
            <w:t>项目目标</w:t>
          </w:r>
          <w:r>
            <w:tab/>
          </w:r>
          <w:r>
            <w:fldChar w:fldCharType="begin"/>
          </w:r>
          <w:r>
            <w:instrText xml:space="preserve"> PAGEREF _Toc80716095 \h </w:instrText>
          </w:r>
          <w:r>
            <w:fldChar w:fldCharType="separate"/>
          </w:r>
          <w:r>
            <w:t>3</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"_Toc80716096" </w:instrText>
          </w:r>
          <w:r>
            <w:fldChar w:fldCharType="separate"/>
          </w:r>
          <w:r>
            <w:rPr>
              <w:rStyle w:val="57"/>
              <w:rFonts w:ascii="Arial" w:hAnsi="Arial" w:cs="Arial"/>
              <w:b/>
            </w:rPr>
            <w:t>4</w:t>
          </w:r>
          <w:r>
            <w:rPr>
              <w:rFonts w:cstheme="minorBidi"/>
              <w:kern w:val="2"/>
              <w:sz w:val="21"/>
            </w:rPr>
            <w:tab/>
          </w:r>
          <w:r>
            <w:rPr>
              <w:rStyle w:val="57"/>
              <w:rFonts w:hint="eastAsia" w:ascii="Arial" w:hAnsi="Arial" w:cs="Arial"/>
              <w:b/>
            </w:rPr>
            <w:t>项目内容</w:t>
          </w:r>
          <w:r>
            <w:tab/>
          </w:r>
          <w:r>
            <w:fldChar w:fldCharType="begin"/>
          </w:r>
          <w:r>
            <w:instrText xml:space="preserve"> PAGEREF _Toc80716096 \h </w:instrText>
          </w:r>
          <w:r>
            <w:fldChar w:fldCharType="separate"/>
          </w:r>
          <w:r>
            <w:t>4</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"_Toc80716099" </w:instrText>
          </w:r>
          <w:r>
            <w:fldChar w:fldCharType="separate"/>
          </w:r>
          <w:r>
            <w:rPr>
              <w:rStyle w:val="57"/>
              <w:rFonts w:hint="eastAsia" w:ascii="Arial" w:hAnsi="Arial" w:cs="Arial"/>
              <w:b/>
            </w:rPr>
            <w:t>三、</w:t>
          </w:r>
          <w:r>
            <w:rPr>
              <w:rFonts w:cstheme="minorBidi"/>
              <w:kern w:val="2"/>
              <w:sz w:val="21"/>
            </w:rPr>
            <w:tab/>
          </w:r>
          <w:r>
            <w:rPr>
              <w:rStyle w:val="57"/>
              <w:rFonts w:hint="eastAsia" w:ascii="Arial" w:hAnsi="Arial" w:cs="Arial"/>
              <w:b/>
            </w:rPr>
            <w:t>商务报价</w:t>
          </w:r>
          <w:r>
            <w:tab/>
          </w:r>
          <w:r>
            <w:fldChar w:fldCharType="begin"/>
          </w:r>
          <w:r>
            <w:instrText xml:space="preserve"> PAGEREF _Toc80716099 \h </w:instrText>
          </w:r>
          <w:r>
            <w:fldChar w:fldCharType="separate"/>
          </w:r>
          <w:r>
            <w:t>6</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"_Toc80716115" </w:instrText>
          </w:r>
          <w:r>
            <w:fldChar w:fldCharType="separate"/>
          </w:r>
          <w:r>
            <w:rPr>
              <w:rStyle w:val="57"/>
              <w:rFonts w:hint="eastAsia" w:ascii="Arial" w:hAnsi="Arial" w:cs="Arial"/>
              <w:b/>
            </w:rPr>
            <w:t>四、</w:t>
          </w:r>
          <w:r>
            <w:rPr>
              <w:rFonts w:cstheme="minorBidi"/>
              <w:kern w:val="2"/>
              <w:sz w:val="21"/>
            </w:rPr>
            <w:tab/>
          </w:r>
          <w:r>
            <w:rPr>
              <w:rStyle w:val="57"/>
              <w:rFonts w:hint="eastAsia" w:ascii="Arial" w:hAnsi="Arial" w:cs="Arial"/>
              <w:b/>
            </w:rPr>
            <w:t>评审方法</w:t>
          </w:r>
          <w:r>
            <w:tab/>
          </w:r>
          <w:r>
            <w:fldChar w:fldCharType="begin"/>
          </w:r>
          <w:r>
            <w:instrText xml:space="preserve"> PAGEREF _Toc80716115 \h </w:instrText>
          </w:r>
          <w:r>
            <w:fldChar w:fldCharType="separate"/>
          </w:r>
          <w:r>
            <w:t>9</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"_Toc80716116" </w:instrText>
          </w:r>
          <w:r>
            <w:fldChar w:fldCharType="separate"/>
          </w:r>
          <w:r>
            <w:rPr>
              <w:rStyle w:val="57"/>
              <w:rFonts w:hint="eastAsia" w:ascii="Arial" w:hAnsi="Arial" w:cs="Arial"/>
              <w:b/>
            </w:rPr>
            <w:t>五、</w:t>
          </w:r>
          <w:r>
            <w:rPr>
              <w:rFonts w:cstheme="minorBidi"/>
              <w:kern w:val="2"/>
              <w:sz w:val="21"/>
            </w:rPr>
            <w:tab/>
          </w:r>
          <w:r>
            <w:rPr>
              <w:rStyle w:val="57"/>
              <w:rFonts w:hint="eastAsia" w:ascii="Arial" w:hAnsi="Arial" w:cs="Arial"/>
              <w:b/>
            </w:rPr>
            <w:t>对讲机维修质保半年。</w:t>
          </w:r>
          <w:r>
            <w:tab/>
          </w:r>
          <w:r>
            <w:fldChar w:fldCharType="begin"/>
          </w:r>
          <w:r>
            <w:instrText xml:space="preserve"> PAGEREF _Toc80716116 \h </w:instrText>
          </w:r>
          <w:r>
            <w:fldChar w:fldCharType="separate"/>
          </w:r>
          <w:r>
            <w:t>10</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"_Toc80716117" </w:instrText>
          </w:r>
          <w:r>
            <w:fldChar w:fldCharType="separate"/>
          </w:r>
          <w:r>
            <w:rPr>
              <w:rStyle w:val="57"/>
              <w:rFonts w:hint="eastAsia" w:ascii="Arial" w:hAnsi="Arial" w:cs="Arial"/>
              <w:b/>
            </w:rPr>
            <w:t>六、</w:t>
          </w:r>
          <w:r>
            <w:rPr>
              <w:rFonts w:cstheme="minorBidi"/>
              <w:kern w:val="2"/>
              <w:sz w:val="21"/>
            </w:rPr>
            <w:tab/>
          </w:r>
          <w:r>
            <w:rPr>
              <w:rStyle w:val="57"/>
              <w:rFonts w:hint="eastAsia" w:ascii="Arial" w:hAnsi="Arial" w:cs="Arial"/>
              <w:b/>
            </w:rPr>
            <w:t>合同履约保证金</w:t>
          </w:r>
          <w:r>
            <w:tab/>
          </w:r>
          <w:r>
            <w:fldChar w:fldCharType="begin"/>
          </w:r>
          <w:r>
            <w:instrText xml:space="preserve"> PAGEREF _Toc80716117 \h </w:instrText>
          </w:r>
          <w:r>
            <w:fldChar w:fldCharType="separate"/>
          </w:r>
          <w:r>
            <w:t>10</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"_Toc80716121" </w:instrText>
          </w:r>
          <w:r>
            <w:fldChar w:fldCharType="separate"/>
          </w:r>
          <w:r>
            <w:rPr>
              <w:rStyle w:val="57"/>
              <w:rFonts w:hint="eastAsia" w:ascii="Arial" w:hAnsi="Arial" w:cs="Arial"/>
              <w:b/>
            </w:rPr>
            <w:t>七、</w:t>
          </w:r>
          <w:r>
            <w:rPr>
              <w:rFonts w:cstheme="minorBidi"/>
              <w:kern w:val="2"/>
              <w:sz w:val="21"/>
            </w:rPr>
            <w:tab/>
          </w:r>
          <w:r>
            <w:rPr>
              <w:rStyle w:val="57"/>
              <w:rFonts w:hint="eastAsia" w:ascii="Arial" w:hAnsi="Arial" w:cs="Arial"/>
              <w:b/>
            </w:rPr>
            <w:t>服务质量考评办法</w:t>
          </w:r>
          <w:r>
            <w:tab/>
          </w:r>
          <w:r>
            <w:fldChar w:fldCharType="begin"/>
          </w:r>
          <w:r>
            <w:instrText xml:space="preserve"> PAGEREF _Toc80716121 \h </w:instrText>
          </w:r>
          <w:r>
            <w:fldChar w:fldCharType="separate"/>
          </w:r>
          <w:r>
            <w:t>11</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"_Toc80716122" </w:instrText>
          </w:r>
          <w:r>
            <w:fldChar w:fldCharType="separate"/>
          </w:r>
          <w:r>
            <w:rPr>
              <w:rStyle w:val="57"/>
              <w:rFonts w:hint="eastAsia" w:ascii="Arial" w:hAnsi="Arial" w:cs="Arial"/>
              <w:b/>
            </w:rPr>
            <w:t>八、</w:t>
          </w:r>
          <w:r>
            <w:rPr>
              <w:rFonts w:cstheme="minorBidi"/>
              <w:kern w:val="2"/>
              <w:sz w:val="21"/>
            </w:rPr>
            <w:tab/>
          </w:r>
          <w:r>
            <w:rPr>
              <w:rStyle w:val="57"/>
              <w:rFonts w:hint="eastAsia" w:ascii="Arial" w:hAnsi="Arial" w:cs="Arial"/>
              <w:b/>
            </w:rPr>
            <w:t>服务时间：签订合同之日起</w:t>
          </w:r>
          <w:r>
            <w:rPr>
              <w:rStyle w:val="57"/>
              <w:rFonts w:ascii="Arial" w:hAnsi="Arial" w:cs="Arial"/>
              <w:b/>
            </w:rPr>
            <w:t>2</w:t>
          </w:r>
          <w:r>
            <w:rPr>
              <w:rStyle w:val="57"/>
              <w:rFonts w:hint="eastAsia" w:ascii="Arial" w:hAnsi="Arial" w:cs="Arial"/>
              <w:b/>
            </w:rPr>
            <w:t>年。</w:t>
          </w:r>
          <w:r>
            <w:tab/>
          </w:r>
          <w:r>
            <w:fldChar w:fldCharType="begin"/>
          </w:r>
          <w:r>
            <w:instrText xml:space="preserve"> PAGEREF _Toc80716122 \h </w:instrText>
          </w:r>
          <w:r>
            <w:fldChar w:fldCharType="separate"/>
          </w:r>
          <w:r>
            <w:t>16</w:t>
          </w:r>
          <w:r>
            <w:fldChar w:fldCharType="end"/>
          </w:r>
          <w:r>
            <w:fldChar w:fldCharType="end"/>
          </w:r>
        </w:p>
        <w:p>
          <w:pPr>
            <w:pStyle w:val="37"/>
            <w:tabs>
              <w:tab w:val="left" w:pos="1050"/>
              <w:tab w:val="right" w:leader="dot" w:pos="8296"/>
            </w:tabs>
            <w:rPr>
              <w:rFonts w:cstheme="minorBidi"/>
              <w:kern w:val="2"/>
              <w:sz w:val="21"/>
            </w:rPr>
          </w:pPr>
          <w:r>
            <w:fldChar w:fldCharType="begin"/>
          </w:r>
          <w:r>
            <w:instrText xml:space="preserve"> HYPERLINK \l "_Toc80716123" </w:instrText>
          </w:r>
          <w:r>
            <w:fldChar w:fldCharType="separate"/>
          </w:r>
          <w:r>
            <w:rPr>
              <w:rStyle w:val="57"/>
              <w:rFonts w:hint="eastAsia" w:ascii="Arial" w:hAnsi="Arial" w:cs="Arial"/>
              <w:b/>
            </w:rPr>
            <w:t>九、</w:t>
          </w:r>
          <w:r>
            <w:rPr>
              <w:rFonts w:cstheme="minorBidi"/>
              <w:kern w:val="2"/>
              <w:sz w:val="21"/>
            </w:rPr>
            <w:tab/>
          </w:r>
          <w:r>
            <w:rPr>
              <w:rStyle w:val="57"/>
              <w:rFonts w:hint="eastAsia" w:ascii="Arial" w:hAnsi="Arial" w:cs="Arial"/>
              <w:b/>
            </w:rPr>
            <w:t>风险承担</w:t>
          </w:r>
          <w:r>
            <w:tab/>
          </w:r>
          <w:r>
            <w:fldChar w:fldCharType="begin"/>
          </w:r>
          <w:r>
            <w:instrText xml:space="preserve"> PAGEREF _Toc80716123 \h </w:instrText>
          </w:r>
          <w:r>
            <w:fldChar w:fldCharType="separate"/>
          </w:r>
          <w:r>
            <w:t>16</w:t>
          </w:r>
          <w:r>
            <w:fldChar w:fldCharType="end"/>
          </w:r>
          <w:r>
            <w:fldChar w:fldCharType="end"/>
          </w:r>
        </w:p>
        <w:p>
          <w:pPr>
            <w:rPr>
              <w:b/>
              <w:bCs/>
              <w:lang w:val="zh-CN"/>
            </w:rPr>
          </w:pPr>
          <w:r>
            <w:rPr>
              <w:b/>
              <w:bCs/>
              <w:lang w:val="zh-CN"/>
            </w:rP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pStyle w:val="2"/>
            <w:rPr>
              <w:b/>
              <w:bCs/>
              <w:lang w:val="zh-CN"/>
            </w:rPr>
          </w:pPr>
        </w:p>
        <w:p>
          <w:pPr>
            <w:pStyle w:val="2"/>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sdtContent>
    </w:sdt>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18" w:name="_Toc80716091"/>
      <w:r>
        <w:rPr>
          <w:rFonts w:hint="eastAsia" w:ascii="宋体" w:hAnsi="宋体" w:eastAsia="宋体" w:cs="Arial"/>
          <w:b/>
          <w:color w:val="000000"/>
          <w:kern w:val="0"/>
          <w:sz w:val="28"/>
          <w:szCs w:val="28"/>
        </w:rPr>
        <w:t>发</w:t>
      </w:r>
      <w:r>
        <w:rPr>
          <w:rFonts w:ascii="宋体" w:hAnsi="宋体" w:eastAsia="宋体" w:cs="Arial"/>
          <w:b/>
          <w:color w:val="000000"/>
          <w:kern w:val="0"/>
          <w:sz w:val="28"/>
          <w:szCs w:val="28"/>
        </w:rPr>
        <w:t>包形式</w:t>
      </w:r>
      <w:bookmarkEnd w:id="18"/>
    </w:p>
    <w:p>
      <w:pPr>
        <w:adjustRightInd w:val="0"/>
        <w:snapToGrid w:val="0"/>
        <w:spacing w:line="360" w:lineRule="auto"/>
        <w:ind w:firstLine="424" w:firstLineChars="177"/>
        <w:rPr>
          <w:rFonts w:ascii="Arial" w:hAnsi="Arial" w:cs="Arial"/>
          <w:color w:val="000000"/>
          <w:kern w:val="0"/>
          <w:sz w:val="24"/>
        </w:rPr>
      </w:pPr>
      <w:r>
        <w:rPr>
          <w:rFonts w:ascii="Arial" w:hAnsi="Arial" w:cs="Arial"/>
          <w:color w:val="000000"/>
          <w:kern w:val="0"/>
          <w:sz w:val="24"/>
        </w:rPr>
        <w:t>福建福海创石油化工有限公司厂区现有的无线通讯系统涉及的基站、中继台、直放站、手持对讲机等无线通讯设备，本次通过招标确定出手持对讲机</w:t>
      </w:r>
      <w:r>
        <w:rPr>
          <w:rFonts w:hint="eastAsia" w:ascii="Arial" w:hAnsi="Arial" w:cs="Arial"/>
          <w:color w:val="000000"/>
          <w:kern w:val="0"/>
          <w:sz w:val="24"/>
        </w:rPr>
        <w:t>维修单价</w:t>
      </w:r>
      <w:r>
        <w:rPr>
          <w:rFonts w:ascii="Arial" w:hAnsi="Arial" w:cs="Arial"/>
          <w:color w:val="000000"/>
          <w:kern w:val="0"/>
          <w:sz w:val="24"/>
        </w:rPr>
        <w:t>，</w:t>
      </w:r>
      <w:r>
        <w:rPr>
          <w:rFonts w:hint="eastAsia" w:ascii="Arial" w:hAnsi="Arial" w:cs="Arial"/>
          <w:color w:val="000000"/>
          <w:kern w:val="0"/>
          <w:sz w:val="24"/>
        </w:rPr>
        <w:t>投标人</w:t>
      </w:r>
      <w:r>
        <w:rPr>
          <w:rFonts w:ascii="Arial" w:hAnsi="Arial" w:cs="Arial"/>
          <w:color w:val="000000"/>
          <w:kern w:val="0"/>
          <w:sz w:val="24"/>
        </w:rPr>
        <w:t>按照维修协议完成</w:t>
      </w:r>
      <w:r>
        <w:rPr>
          <w:rFonts w:hint="eastAsia" w:ascii="Arial" w:hAnsi="Arial" w:cs="Arial"/>
          <w:color w:val="000000"/>
          <w:kern w:val="0"/>
          <w:sz w:val="24"/>
        </w:rPr>
        <w:t>对讲机</w:t>
      </w:r>
      <w:r>
        <w:rPr>
          <w:rFonts w:ascii="Arial" w:hAnsi="Arial" w:cs="Arial"/>
          <w:color w:val="000000"/>
          <w:kern w:val="0"/>
          <w:sz w:val="24"/>
        </w:rPr>
        <w:t>维修工作，根据招标人需求</w:t>
      </w:r>
      <w:r>
        <w:rPr>
          <w:rFonts w:hint="eastAsia" w:ascii="Arial" w:hAnsi="Arial" w:cs="Arial"/>
          <w:color w:val="000000"/>
          <w:kern w:val="0"/>
          <w:sz w:val="24"/>
        </w:rPr>
        <w:t>对</w:t>
      </w:r>
      <w:r>
        <w:rPr>
          <w:rFonts w:ascii="Arial" w:hAnsi="Arial" w:cs="Arial"/>
          <w:color w:val="000000"/>
          <w:kern w:val="0"/>
          <w:sz w:val="24"/>
        </w:rPr>
        <w:t>现场使用环境</w:t>
      </w:r>
      <w:r>
        <w:rPr>
          <w:rFonts w:hint="eastAsia" w:ascii="Arial" w:hAnsi="Arial" w:cs="Arial"/>
          <w:color w:val="000000"/>
          <w:kern w:val="0"/>
          <w:sz w:val="24"/>
        </w:rPr>
        <w:t>、无线通讯</w:t>
      </w:r>
      <w:r>
        <w:rPr>
          <w:rFonts w:ascii="Arial" w:hAnsi="Arial" w:cs="Arial"/>
          <w:color w:val="000000"/>
          <w:kern w:val="0"/>
          <w:sz w:val="24"/>
        </w:rPr>
        <w:t>系统进行</w:t>
      </w:r>
      <w:r>
        <w:rPr>
          <w:rFonts w:hint="eastAsia" w:ascii="Arial" w:hAnsi="Arial" w:cs="Arial"/>
          <w:color w:val="000000"/>
          <w:kern w:val="0"/>
          <w:sz w:val="24"/>
        </w:rPr>
        <w:t>专业</w:t>
      </w:r>
      <w:r>
        <w:rPr>
          <w:rFonts w:ascii="Arial" w:hAnsi="Arial" w:cs="Arial"/>
          <w:color w:val="000000"/>
          <w:kern w:val="0"/>
          <w:sz w:val="24"/>
        </w:rPr>
        <w:t>检测以及应急服务</w:t>
      </w:r>
      <w:r>
        <w:rPr>
          <w:rFonts w:hint="eastAsia" w:ascii="Arial" w:hAnsi="Arial" w:cs="Arial"/>
          <w:color w:val="000000"/>
          <w:kern w:val="0"/>
          <w:sz w:val="24"/>
        </w:rPr>
        <w:t>。</w:t>
      </w:r>
      <w:r>
        <w:rPr>
          <w:rFonts w:ascii="Arial" w:hAnsi="Arial" w:cs="Arial"/>
          <w:color w:val="000000"/>
          <w:kern w:val="0"/>
          <w:sz w:val="24"/>
        </w:rPr>
        <w:t>更换部件</w:t>
      </w:r>
      <w:r>
        <w:rPr>
          <w:rFonts w:hint="eastAsia" w:ascii="Arial" w:hAnsi="Arial" w:cs="Arial"/>
          <w:color w:val="000000"/>
          <w:kern w:val="0"/>
          <w:sz w:val="24"/>
        </w:rPr>
        <w:t>、</w:t>
      </w:r>
      <w:r>
        <w:rPr>
          <w:rFonts w:ascii="Arial" w:hAnsi="Arial" w:cs="Arial"/>
          <w:color w:val="000000"/>
          <w:kern w:val="0"/>
          <w:sz w:val="24"/>
        </w:rPr>
        <w:t>专业检测和技术服务，按照协议单价以实际维修数量进行结算，保证厂内现有无线通讯系统各类设备正常工作，为生产操作提供通讯保障，达</w:t>
      </w:r>
      <w:r>
        <w:rPr>
          <w:rFonts w:ascii="Arial" w:hAnsi="宋体" w:cs="Arial"/>
          <w:sz w:val="24"/>
        </w:rPr>
        <w:t>到本项目目标</w:t>
      </w:r>
      <w:r>
        <w:rPr>
          <w:rFonts w:ascii="Arial" w:cs="Arial"/>
          <w:sz w:val="24"/>
        </w:rPr>
        <w:t>。</w:t>
      </w:r>
      <w:bookmarkStart w:id="19" w:name="_Toc80716092"/>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r>
        <w:rPr>
          <w:rFonts w:hint="eastAsia" w:ascii="宋体" w:hAnsi="宋体" w:eastAsia="宋体" w:cs="Arial"/>
          <w:b/>
          <w:color w:val="000000"/>
          <w:kern w:val="0"/>
          <w:sz w:val="28"/>
          <w:szCs w:val="28"/>
        </w:rPr>
        <w:t>工程概况</w:t>
      </w:r>
      <w:bookmarkEnd w:id="19"/>
    </w:p>
    <w:p>
      <w:pPr>
        <w:pStyle w:val="76"/>
        <w:numPr>
          <w:ilvl w:val="0"/>
          <w:numId w:val="9"/>
        </w:numPr>
        <w:adjustRightInd w:val="0"/>
        <w:snapToGrid w:val="0"/>
        <w:spacing w:line="360" w:lineRule="auto"/>
        <w:ind w:hanging="278" w:firstLineChars="0"/>
        <w:outlineLvl w:val="1"/>
        <w:rPr>
          <w:rFonts w:ascii="宋体" w:hAnsi="宋体" w:eastAsia="宋体" w:cs="Arial"/>
          <w:color w:val="333333"/>
          <w:sz w:val="24"/>
          <w:szCs w:val="24"/>
          <w:shd w:val="clear" w:color="auto" w:fill="FFFFFF"/>
        </w:rPr>
      </w:pPr>
      <w:bookmarkStart w:id="20" w:name="_Toc80711993"/>
      <w:bookmarkStart w:id="21" w:name="_Toc80716093"/>
      <w:r>
        <w:rPr>
          <w:rFonts w:hint="eastAsia" w:ascii="宋体" w:hAnsi="宋体" w:eastAsia="宋体" w:cs="Arial"/>
          <w:color w:val="333333"/>
          <w:sz w:val="24"/>
          <w:szCs w:val="24"/>
          <w:shd w:val="clear" w:color="auto" w:fill="FFFFFF"/>
        </w:rPr>
        <w:t>项目背景</w:t>
      </w:r>
      <w:bookmarkEnd w:id="20"/>
      <w:bookmarkEnd w:id="21"/>
    </w:p>
    <w:p>
      <w:pPr>
        <w:spacing w:line="360" w:lineRule="auto"/>
        <w:ind w:firstLine="480" w:firstLineChars="200"/>
        <w:rPr>
          <w:rFonts w:ascii="宋体" w:hAnsi="宋体" w:cs="Arial"/>
          <w:color w:val="333333"/>
          <w:sz w:val="24"/>
          <w:szCs w:val="24"/>
          <w:shd w:val="clear" w:color="auto" w:fill="FFFFFF"/>
        </w:rPr>
      </w:pPr>
      <w:r>
        <w:rPr>
          <w:rFonts w:hint="eastAsia" w:ascii="宋体" w:hAnsi="宋体"/>
          <w:sz w:val="24"/>
          <w:szCs w:val="24"/>
        </w:rPr>
        <w:t>福海创石油化工有限</w:t>
      </w:r>
      <w:r>
        <w:rPr>
          <w:rFonts w:hint="eastAsia" w:ascii="宋体" w:hAnsi="宋体" w:cs="Arial"/>
          <w:color w:val="333333"/>
          <w:sz w:val="24"/>
          <w:szCs w:val="24"/>
          <w:shd w:val="clear" w:color="auto" w:fill="FFFFFF"/>
        </w:rPr>
        <w:t>公司建设使用的摩托罗拉4</w:t>
      </w:r>
      <w:r>
        <w:rPr>
          <w:rFonts w:ascii="宋体" w:hAnsi="宋体" w:cs="Arial"/>
          <w:color w:val="333333"/>
          <w:sz w:val="24"/>
          <w:szCs w:val="24"/>
          <w:shd w:val="clear" w:color="auto" w:fill="FFFFFF"/>
        </w:rPr>
        <w:t>00MHz</w:t>
      </w:r>
      <w:r>
        <w:rPr>
          <w:rFonts w:hint="eastAsia" w:ascii="宋体" w:hAnsi="宋体" w:cs="Arial"/>
          <w:color w:val="333333"/>
          <w:sz w:val="24"/>
          <w:szCs w:val="24"/>
          <w:shd w:val="clear" w:color="auto" w:fill="FFFFFF"/>
        </w:rPr>
        <w:t>无线对讲通信系统（Capacity</w:t>
      </w:r>
      <w:r>
        <w:rPr>
          <w:rFonts w:ascii="宋体" w:hAnsi="宋体" w:cs="Arial"/>
          <w:color w:val="333333"/>
          <w:sz w:val="24"/>
          <w:szCs w:val="24"/>
          <w:shd w:val="clear" w:color="auto" w:fill="FFFFFF"/>
        </w:rPr>
        <w:t xml:space="preserve"> Plus</w:t>
      </w:r>
      <w:r>
        <w:rPr>
          <w:rFonts w:hint="eastAsia" w:ascii="宋体" w:hAnsi="宋体" w:cs="Arial"/>
          <w:color w:val="333333"/>
          <w:sz w:val="24"/>
          <w:szCs w:val="24"/>
          <w:shd w:val="clear" w:color="auto" w:fill="FFFFFF"/>
        </w:rPr>
        <w:t>），用于指挥调度、保障安全生产、设备管理维护、产品运输、保障应急处置通信安全，是企业生产管理和工程建设中不可或缺的一个组成部分。</w:t>
      </w:r>
    </w:p>
    <w:p>
      <w:pPr>
        <w:spacing w:line="360" w:lineRule="auto"/>
        <w:ind w:firstLine="240" w:firstLineChars="100"/>
        <w:rPr>
          <w:rFonts w:ascii="宋体" w:hAnsi="宋体"/>
          <w:sz w:val="24"/>
          <w:szCs w:val="24"/>
        </w:rPr>
      </w:pPr>
      <w:r>
        <w:rPr>
          <w:rFonts w:hint="eastAsia" w:ascii="宋体" w:hAnsi="宋体"/>
          <w:sz w:val="24"/>
          <w:szCs w:val="24"/>
        </w:rPr>
        <w:t>（1）工程名称：福建福海创石油化工有限公司无线对讲系统维护保养年约；</w:t>
      </w:r>
    </w:p>
    <w:p>
      <w:pPr>
        <w:spacing w:line="360" w:lineRule="auto"/>
        <w:ind w:firstLine="240" w:firstLineChars="100"/>
        <w:rPr>
          <w:rFonts w:ascii="宋体" w:hAnsi="宋体"/>
          <w:sz w:val="24"/>
          <w:szCs w:val="24"/>
        </w:rPr>
      </w:pPr>
      <w:r>
        <w:rPr>
          <w:rFonts w:hint="eastAsia" w:ascii="宋体" w:hAnsi="宋体"/>
          <w:sz w:val="24"/>
          <w:szCs w:val="24"/>
        </w:rPr>
        <w:t xml:space="preserve">（2）地 </w:t>
      </w:r>
      <w:r>
        <w:rPr>
          <w:rFonts w:ascii="宋体" w:hAnsi="宋体"/>
          <w:sz w:val="24"/>
          <w:szCs w:val="24"/>
        </w:rPr>
        <w:t xml:space="preserve">   </w:t>
      </w:r>
      <w:r>
        <w:rPr>
          <w:rFonts w:hint="eastAsia" w:ascii="宋体" w:hAnsi="宋体"/>
          <w:sz w:val="24"/>
          <w:szCs w:val="24"/>
        </w:rPr>
        <w:t>点：福建省漳州市古雷经济开发区腾龙路84号；</w:t>
      </w:r>
    </w:p>
    <w:p>
      <w:pPr>
        <w:spacing w:line="360" w:lineRule="auto"/>
        <w:ind w:firstLine="240" w:firstLineChars="100"/>
        <w:rPr>
          <w:rFonts w:ascii="宋体" w:hAnsi="宋体"/>
          <w:sz w:val="24"/>
          <w:szCs w:val="24"/>
        </w:rPr>
      </w:pPr>
      <w:r>
        <w:rPr>
          <w:rFonts w:hint="eastAsia" w:ascii="宋体" w:hAnsi="宋体"/>
          <w:sz w:val="24"/>
          <w:szCs w:val="24"/>
        </w:rPr>
        <w:t>（3）系统介绍：</w:t>
      </w:r>
      <w:r>
        <w:rPr>
          <w:rFonts w:hint="eastAsia" w:ascii="Arial" w:hAnsi="Arial" w:cs="Arial"/>
          <w:color w:val="000000"/>
          <w:kern w:val="0"/>
          <w:sz w:val="24"/>
        </w:rPr>
        <w:t>系统主要设备</w:t>
      </w:r>
      <w:r>
        <w:rPr>
          <w:rFonts w:ascii="Arial" w:hAnsi="Arial" w:cs="Arial"/>
          <w:color w:val="000000"/>
          <w:kern w:val="0"/>
          <w:sz w:val="24"/>
        </w:rPr>
        <w:t>包括：</w:t>
      </w:r>
      <w:r>
        <w:rPr>
          <w:rFonts w:ascii="宋体" w:hAnsi="宋体"/>
          <w:sz w:val="24"/>
          <w:szCs w:val="24"/>
        </w:rPr>
        <w:t xml:space="preserve"> MOTOROLA</w:t>
      </w:r>
      <w:r>
        <w:rPr>
          <w:rFonts w:hint="eastAsia" w:ascii="宋体" w:hAnsi="宋体"/>
          <w:sz w:val="24"/>
          <w:szCs w:val="24"/>
        </w:rPr>
        <w:t>-</w:t>
      </w:r>
      <w:r>
        <w:rPr>
          <w:rFonts w:ascii="宋体" w:hAnsi="宋体"/>
          <w:sz w:val="24"/>
          <w:szCs w:val="24"/>
        </w:rPr>
        <w:t xml:space="preserve"> </w:t>
      </w:r>
      <w:r>
        <w:rPr>
          <w:rFonts w:hint="eastAsia" w:ascii="宋体" w:hAnsi="宋体" w:cs="宋体"/>
          <w:color w:val="000000"/>
          <w:sz w:val="24"/>
          <w:szCs w:val="24"/>
        </w:rPr>
        <w:t>MTR 3000</w:t>
      </w:r>
      <w:r>
        <w:rPr>
          <w:rFonts w:ascii="宋体" w:hAnsi="宋体" w:cs="宋体"/>
          <w:color w:val="000000"/>
          <w:sz w:val="24"/>
          <w:szCs w:val="24"/>
        </w:rPr>
        <w:t xml:space="preserve"> UHF</w:t>
      </w:r>
      <w:r>
        <w:rPr>
          <w:rFonts w:hint="eastAsia" w:ascii="宋体" w:hAnsi="宋体"/>
          <w:sz w:val="24"/>
          <w:szCs w:val="24"/>
        </w:rPr>
        <w:t>无线对讲中继台；</w:t>
      </w:r>
      <w:r>
        <w:rPr>
          <w:rFonts w:ascii="宋体" w:hAnsi="宋体"/>
          <w:sz w:val="24"/>
          <w:szCs w:val="24"/>
        </w:rPr>
        <w:t xml:space="preserve"> MOTOROLA</w:t>
      </w:r>
      <w:r>
        <w:rPr>
          <w:rFonts w:hint="eastAsia" w:ascii="宋体" w:hAnsi="宋体"/>
          <w:sz w:val="24"/>
          <w:szCs w:val="24"/>
        </w:rPr>
        <w:t>-</w:t>
      </w:r>
      <w:r>
        <w:rPr>
          <w:rFonts w:ascii="宋体" w:hAnsi="宋体"/>
          <w:sz w:val="24"/>
          <w:szCs w:val="24"/>
        </w:rPr>
        <w:t>XIR-R8200 UHF</w:t>
      </w:r>
      <w:r>
        <w:rPr>
          <w:rFonts w:hint="eastAsia" w:ascii="宋体" w:hAnsi="宋体"/>
          <w:sz w:val="24"/>
          <w:szCs w:val="24"/>
        </w:rPr>
        <w:t>无线对讲中继台；</w:t>
      </w:r>
      <w:r>
        <w:rPr>
          <w:rFonts w:ascii="宋体" w:hAnsi="宋体"/>
          <w:sz w:val="24"/>
          <w:szCs w:val="24"/>
        </w:rPr>
        <w:t>MOTOROLA</w:t>
      </w:r>
      <w:r>
        <w:rPr>
          <w:rFonts w:hint="eastAsia" w:ascii="宋体" w:hAnsi="宋体"/>
          <w:sz w:val="24"/>
          <w:szCs w:val="24"/>
        </w:rPr>
        <w:t>-</w:t>
      </w:r>
      <w:r>
        <w:rPr>
          <w:rFonts w:ascii="宋体" w:hAnsi="宋体"/>
          <w:sz w:val="24"/>
          <w:szCs w:val="24"/>
        </w:rPr>
        <w:t xml:space="preserve"> GP338D</w:t>
      </w:r>
      <w:r>
        <w:rPr>
          <w:rFonts w:hint="eastAsia" w:ascii="宋体" w:hAnsi="宋体"/>
          <w:sz w:val="24"/>
          <w:szCs w:val="24"/>
        </w:rPr>
        <w:t>对讲机，</w:t>
      </w:r>
      <w:r>
        <w:rPr>
          <w:rFonts w:ascii="宋体" w:hAnsi="宋体"/>
          <w:sz w:val="24"/>
          <w:szCs w:val="24"/>
        </w:rPr>
        <w:t>MOTOROLA</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GP338D+对讲机，</w:t>
      </w:r>
      <w:r>
        <w:rPr>
          <w:rFonts w:ascii="宋体" w:hAnsi="宋体"/>
          <w:sz w:val="24"/>
          <w:szCs w:val="24"/>
        </w:rPr>
        <w:t>MOTOROLA</w:t>
      </w:r>
      <w:r>
        <w:rPr>
          <w:rFonts w:hint="eastAsia" w:ascii="宋体" w:hAnsi="宋体"/>
          <w:sz w:val="24"/>
          <w:szCs w:val="24"/>
        </w:rPr>
        <w:t>-</w:t>
      </w:r>
      <w:r>
        <w:rPr>
          <w:rFonts w:ascii="宋体" w:hAnsi="宋体"/>
          <w:sz w:val="24"/>
          <w:szCs w:val="24"/>
        </w:rPr>
        <w:t>XIR P8608E</w:t>
      </w:r>
      <w:r>
        <w:rPr>
          <w:rFonts w:hint="eastAsia" w:ascii="宋体" w:hAnsi="宋体"/>
          <w:sz w:val="24"/>
          <w:szCs w:val="24"/>
        </w:rPr>
        <w:t>x对讲机;以及光纤直放站远、进端机等信号传输设备，详见4.1需要</w:t>
      </w:r>
      <w:r>
        <w:rPr>
          <w:rFonts w:hAnsi="宋体" w:cs="Arial"/>
          <w:sz w:val="24"/>
          <w:szCs w:val="24"/>
        </w:rPr>
        <w:t>进行专业检测和维修的无线通讯系统设备明细</w:t>
      </w:r>
      <w:r>
        <w:rPr>
          <w:rFonts w:hint="eastAsia" w:hAnsi="宋体" w:cs="Arial"/>
          <w:sz w:val="24"/>
          <w:szCs w:val="24"/>
        </w:rPr>
        <w:t>台账</w:t>
      </w:r>
      <w:r>
        <w:rPr>
          <w:rFonts w:hint="eastAsia" w:ascii="宋体" w:hAnsi="宋体"/>
          <w:sz w:val="24"/>
          <w:szCs w:val="24"/>
        </w:rPr>
        <w:t>。</w:t>
      </w:r>
    </w:p>
    <w:p>
      <w:pPr>
        <w:pStyle w:val="76"/>
        <w:numPr>
          <w:ilvl w:val="0"/>
          <w:numId w:val="9"/>
        </w:numPr>
        <w:adjustRightInd w:val="0"/>
        <w:snapToGrid w:val="0"/>
        <w:spacing w:line="360" w:lineRule="auto"/>
        <w:ind w:hanging="278" w:firstLineChars="0"/>
        <w:outlineLvl w:val="1"/>
        <w:rPr>
          <w:rFonts w:ascii="宋体" w:hAnsi="宋体" w:eastAsia="宋体" w:cs="Arial"/>
          <w:color w:val="333333"/>
          <w:sz w:val="24"/>
          <w:szCs w:val="24"/>
          <w:shd w:val="clear" w:color="auto" w:fill="FFFFFF"/>
        </w:rPr>
      </w:pPr>
      <w:bookmarkStart w:id="22" w:name="_Toc80716094"/>
      <w:bookmarkStart w:id="23" w:name="_Toc80711994"/>
      <w:r>
        <w:rPr>
          <w:rFonts w:hint="eastAsia" w:ascii="宋体" w:hAnsi="宋体" w:eastAsia="宋体" w:cs="Arial"/>
          <w:color w:val="333333"/>
          <w:sz w:val="24"/>
          <w:szCs w:val="24"/>
          <w:shd w:val="clear" w:color="auto" w:fill="FFFFFF"/>
        </w:rPr>
        <w:t>系统现状</w:t>
      </w:r>
      <w:bookmarkEnd w:id="22"/>
      <w:bookmarkEnd w:id="23"/>
    </w:p>
    <w:p>
      <w:pPr>
        <w:spacing w:line="360" w:lineRule="auto"/>
        <w:ind w:firstLine="240" w:firstLineChars="100"/>
        <w:rPr>
          <w:rFonts w:ascii="宋体" w:hAnsi="宋体" w:cs="Arial"/>
          <w:color w:val="333333"/>
          <w:sz w:val="24"/>
          <w:szCs w:val="24"/>
          <w:shd w:val="clear" w:color="auto" w:fill="FFFFFF"/>
        </w:rPr>
      </w:pPr>
      <w:r>
        <w:rPr>
          <w:rFonts w:hint="eastAsia" w:ascii="宋体" w:hAnsi="宋体"/>
          <w:sz w:val="24"/>
          <w:szCs w:val="24"/>
        </w:rPr>
        <w:t>（1）</w:t>
      </w:r>
      <w:r>
        <w:rPr>
          <w:rFonts w:hint="eastAsia" w:ascii="宋体" w:hAnsi="宋体"/>
          <w:bCs/>
          <w:sz w:val="24"/>
          <w:szCs w:val="24"/>
        </w:rPr>
        <w:t>系统容量：</w:t>
      </w:r>
      <w:r>
        <w:rPr>
          <w:rFonts w:hint="eastAsia" w:ascii="宋体" w:hAnsi="宋体"/>
          <w:sz w:val="24"/>
          <w:szCs w:val="24"/>
        </w:rPr>
        <w:t>8载频16信道摩托罗拉</w:t>
      </w:r>
      <w:r>
        <w:rPr>
          <w:rFonts w:hint="eastAsia" w:ascii="宋体" w:hAnsi="宋体" w:cs="Arial"/>
          <w:color w:val="333333"/>
          <w:sz w:val="24"/>
          <w:szCs w:val="24"/>
          <w:shd w:val="clear" w:color="auto" w:fill="FFFFFF"/>
        </w:rPr>
        <w:t>Capacity</w:t>
      </w:r>
      <w:r>
        <w:rPr>
          <w:rFonts w:ascii="宋体" w:hAnsi="宋体" w:cs="Arial"/>
          <w:color w:val="333333"/>
          <w:sz w:val="24"/>
          <w:szCs w:val="24"/>
          <w:shd w:val="clear" w:color="auto" w:fill="FFFFFF"/>
        </w:rPr>
        <w:t xml:space="preserve"> Plus</w:t>
      </w:r>
      <w:r>
        <w:rPr>
          <w:rFonts w:hint="eastAsia" w:ascii="宋体" w:hAnsi="宋体" w:cs="Arial"/>
          <w:color w:val="333333"/>
          <w:sz w:val="24"/>
          <w:szCs w:val="24"/>
          <w:shd w:val="clear" w:color="auto" w:fill="FFFFFF"/>
        </w:rPr>
        <w:t>智能信道共享系统；</w:t>
      </w:r>
    </w:p>
    <w:p>
      <w:pPr>
        <w:spacing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bCs/>
          <w:sz w:val="24"/>
          <w:szCs w:val="24"/>
        </w:rPr>
        <w:t>对讲机：</w:t>
      </w:r>
      <w:r>
        <w:rPr>
          <w:rFonts w:hint="eastAsia" w:ascii="宋体" w:hAnsi="宋体"/>
          <w:sz w:val="24"/>
          <w:szCs w:val="24"/>
        </w:rPr>
        <w:t>使用的是摩托罗拉I</w:t>
      </w:r>
      <w:r>
        <w:rPr>
          <w:rFonts w:ascii="宋体" w:hAnsi="宋体"/>
          <w:sz w:val="24"/>
          <w:szCs w:val="24"/>
        </w:rPr>
        <w:t>IB</w:t>
      </w:r>
      <w:r>
        <w:rPr>
          <w:rFonts w:hint="eastAsia" w:ascii="宋体" w:hAnsi="宋体"/>
          <w:sz w:val="24"/>
          <w:szCs w:val="24"/>
        </w:rPr>
        <w:t>级防爆对讲机G</w:t>
      </w:r>
      <w:r>
        <w:rPr>
          <w:rFonts w:ascii="宋体" w:hAnsi="宋体"/>
          <w:sz w:val="24"/>
          <w:szCs w:val="24"/>
        </w:rPr>
        <w:t>P</w:t>
      </w:r>
      <w:r>
        <w:rPr>
          <w:rFonts w:hint="eastAsia" w:ascii="宋体" w:hAnsi="宋体"/>
          <w:sz w:val="24"/>
          <w:szCs w:val="24"/>
        </w:rPr>
        <w:t>33</w:t>
      </w:r>
      <w:r>
        <w:rPr>
          <w:rFonts w:ascii="宋体" w:hAnsi="宋体"/>
          <w:sz w:val="24"/>
          <w:szCs w:val="24"/>
        </w:rPr>
        <w:t>8D</w:t>
      </w:r>
      <w:r>
        <w:rPr>
          <w:rFonts w:hint="eastAsia" w:ascii="宋体" w:hAnsi="宋体"/>
          <w:sz w:val="24"/>
          <w:szCs w:val="24"/>
        </w:rPr>
        <w:t>、G</w:t>
      </w:r>
      <w:r>
        <w:rPr>
          <w:rFonts w:ascii="宋体" w:hAnsi="宋体"/>
          <w:sz w:val="24"/>
          <w:szCs w:val="24"/>
        </w:rPr>
        <w:t>P338D</w:t>
      </w:r>
      <w:r>
        <w:rPr>
          <w:rFonts w:hint="eastAsia" w:ascii="宋体" w:hAnsi="宋体"/>
          <w:sz w:val="24"/>
          <w:szCs w:val="24"/>
        </w:rPr>
        <w:t>+和I</w:t>
      </w:r>
      <w:r>
        <w:rPr>
          <w:rFonts w:ascii="宋体" w:hAnsi="宋体"/>
          <w:sz w:val="24"/>
          <w:szCs w:val="24"/>
        </w:rPr>
        <w:t>IC</w:t>
      </w:r>
      <w:r>
        <w:rPr>
          <w:rFonts w:hint="eastAsia" w:ascii="宋体" w:hAnsi="宋体"/>
          <w:sz w:val="24"/>
          <w:szCs w:val="24"/>
        </w:rPr>
        <w:t>级防爆对讲机X</w:t>
      </w:r>
      <w:r>
        <w:rPr>
          <w:rFonts w:ascii="宋体" w:hAnsi="宋体"/>
          <w:sz w:val="24"/>
          <w:szCs w:val="24"/>
        </w:rPr>
        <w:t>IR P8608 E</w:t>
      </w:r>
      <w:r>
        <w:rPr>
          <w:rFonts w:hint="eastAsia" w:ascii="宋体" w:hAnsi="宋体"/>
          <w:sz w:val="24"/>
          <w:szCs w:val="24"/>
        </w:rPr>
        <w:t>x</w:t>
      </w:r>
      <w:r>
        <w:rPr>
          <w:rFonts w:ascii="宋体" w:hAnsi="宋体"/>
          <w:sz w:val="24"/>
          <w:szCs w:val="24"/>
        </w:rPr>
        <w:t>;</w:t>
      </w:r>
    </w:p>
    <w:p>
      <w:pPr>
        <w:spacing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bCs/>
          <w:sz w:val="24"/>
          <w:szCs w:val="24"/>
        </w:rPr>
        <w:t>信号覆盖：</w:t>
      </w:r>
      <w:r>
        <w:rPr>
          <w:rFonts w:hint="eastAsia" w:ascii="宋体" w:hAnsi="宋体"/>
          <w:sz w:val="24"/>
          <w:szCs w:val="24"/>
        </w:rPr>
        <w:t>使用二根全向高增益天线，安装于厂区30</w:t>
      </w:r>
      <w:r>
        <w:rPr>
          <w:rFonts w:ascii="宋体" w:hAnsi="宋体"/>
          <w:sz w:val="24"/>
          <w:szCs w:val="24"/>
        </w:rPr>
        <w:t>M</w:t>
      </w:r>
      <w:r>
        <w:rPr>
          <w:rFonts w:hint="eastAsia" w:ascii="宋体" w:hAnsi="宋体"/>
          <w:sz w:val="24"/>
          <w:szCs w:val="24"/>
        </w:rPr>
        <w:t>左右的角钢塔上面，用于厂区室外信号覆盖，其中生产厂区有</w:t>
      </w:r>
      <w:r>
        <w:rPr>
          <w:rFonts w:ascii="宋体" w:hAnsi="宋体"/>
          <w:sz w:val="24"/>
          <w:szCs w:val="24"/>
        </w:rPr>
        <w:t>8</w:t>
      </w:r>
      <w:r>
        <w:rPr>
          <w:rFonts w:hint="eastAsia" w:ascii="宋体" w:hAnsi="宋体"/>
          <w:sz w:val="24"/>
          <w:szCs w:val="24"/>
        </w:rPr>
        <w:t>个外操间信号屏蔽严重，使用光纤直放站进行信号覆盖。</w:t>
      </w:r>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24" w:name="_Toc80716095"/>
      <w:bookmarkStart w:id="25" w:name="_Toc129775558"/>
      <w:r>
        <w:rPr>
          <w:rFonts w:ascii="宋体" w:hAnsi="宋体" w:eastAsia="宋体" w:cs="Arial"/>
          <w:b/>
          <w:color w:val="000000"/>
          <w:kern w:val="0"/>
          <w:sz w:val="28"/>
          <w:szCs w:val="28"/>
        </w:rPr>
        <w:t>项目目标</w:t>
      </w:r>
      <w:bookmarkEnd w:id="24"/>
      <w:bookmarkEnd w:id="25"/>
    </w:p>
    <w:p>
      <w:pPr>
        <w:pStyle w:val="76"/>
        <w:adjustRightInd w:val="0"/>
        <w:snapToGrid w:val="0"/>
        <w:spacing w:line="360" w:lineRule="auto"/>
        <w:ind w:left="1" w:firstLine="480"/>
        <w:outlineLvl w:val="1"/>
        <w:rPr>
          <w:rFonts w:ascii="宋体" w:hAnsi="宋体" w:eastAsia="宋体" w:cs="Times New Roman"/>
          <w:sz w:val="24"/>
          <w:szCs w:val="24"/>
        </w:rPr>
      </w:pPr>
      <w:r>
        <w:rPr>
          <w:rFonts w:ascii="宋体" w:hAnsi="宋体" w:eastAsia="宋体" w:cs="Times New Roman"/>
          <w:sz w:val="24"/>
          <w:szCs w:val="24"/>
        </w:rPr>
        <w:t>通过对整个无线通讯系统的专业检测，使各类设备在使用中能得到预警，损坏后能得到及时维修，各类连接线路（包括传输馈线等）能进行常规检查，使无线通讯系统处于良好的运行状态，各类设备和手持对讲机有完善的检测、保养和修理流程，为生产一线正常使用无线通讯系统提供保障。</w:t>
      </w:r>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26" w:name="_Toc129775559"/>
      <w:bookmarkStart w:id="27" w:name="_Toc129774525"/>
      <w:bookmarkStart w:id="28" w:name="_Toc80716096"/>
      <w:r>
        <w:rPr>
          <w:rFonts w:ascii="宋体" w:hAnsi="宋体" w:eastAsia="宋体" w:cs="Arial"/>
          <w:b/>
          <w:color w:val="000000"/>
          <w:kern w:val="0"/>
          <w:sz w:val="28"/>
          <w:szCs w:val="28"/>
        </w:rPr>
        <w:t>项目内容</w:t>
      </w:r>
      <w:bookmarkEnd w:id="26"/>
      <w:bookmarkEnd w:id="27"/>
      <w:bookmarkEnd w:id="28"/>
    </w:p>
    <w:p>
      <w:pPr>
        <w:adjustRightInd w:val="0"/>
        <w:snapToGrid w:val="0"/>
        <w:spacing w:line="360" w:lineRule="auto"/>
        <w:outlineLvl w:val="1"/>
        <w:rPr>
          <w:rFonts w:ascii="Arial" w:hAnsi="Arial" w:cs="Arial"/>
          <w:b/>
          <w:sz w:val="28"/>
          <w:szCs w:val="28"/>
        </w:rPr>
      </w:pPr>
      <w:bookmarkStart w:id="29" w:name="_Toc80711997"/>
      <w:bookmarkStart w:id="30" w:name="_Toc80716097"/>
      <w:bookmarkStart w:id="31" w:name="_Toc80712114"/>
      <w:bookmarkStart w:id="32" w:name="_Toc79398532"/>
      <w:bookmarkStart w:id="33" w:name="_Toc80110630"/>
      <w:bookmarkStart w:id="34" w:name="_Toc79505360"/>
      <w:r>
        <w:rPr>
          <w:rFonts w:ascii="宋体" w:hAnsi="宋体"/>
          <w:sz w:val="24"/>
          <w:szCs w:val="24"/>
        </w:rPr>
        <w:t>4.1</w:t>
      </w:r>
      <w:r>
        <w:rPr>
          <w:rFonts w:hint="eastAsia" w:ascii="宋体" w:hAnsi="宋体"/>
          <w:sz w:val="24"/>
          <w:szCs w:val="24"/>
        </w:rPr>
        <w:t>、</w:t>
      </w:r>
      <w:r>
        <w:rPr>
          <w:sz w:val="24"/>
          <w:szCs w:val="24"/>
        </w:rPr>
        <w:t>需要进行专业检测和维修的无线通讯系统设备明细</w:t>
      </w:r>
      <w:r>
        <w:rPr>
          <w:rFonts w:hint="eastAsia"/>
          <w:sz w:val="24"/>
          <w:szCs w:val="24"/>
        </w:rPr>
        <w:t>台账</w:t>
      </w:r>
      <w:bookmarkEnd w:id="29"/>
      <w:bookmarkEnd w:id="30"/>
      <w:bookmarkEnd w:id="31"/>
      <w:bookmarkEnd w:id="32"/>
      <w:bookmarkEnd w:id="33"/>
      <w:bookmarkEnd w:id="34"/>
    </w:p>
    <w:tbl>
      <w:tblPr>
        <w:tblStyle w:val="49"/>
        <w:tblW w:w="863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9"/>
        <w:gridCol w:w="1759"/>
        <w:gridCol w:w="960"/>
        <w:gridCol w:w="9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trPr>
        <w:tc>
          <w:tcPr>
            <w:tcW w:w="9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5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17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型号</w:t>
            </w:r>
          </w:p>
        </w:tc>
        <w:tc>
          <w:tcPr>
            <w:tcW w:w="960"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9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1440" w:type="dxa"/>
            <w:vAlign w:val="center"/>
          </w:tcPr>
          <w:p>
            <w:pPr>
              <w:spacing w:line="360" w:lineRule="auto"/>
              <w:jc w:val="center"/>
              <w:rPr>
                <w:rFonts w:ascii="宋体" w:hAnsi="宋体" w:cs="宋体"/>
                <w:b/>
                <w:bCs/>
                <w:kern w:val="0"/>
                <w:sz w:val="21"/>
                <w:szCs w:val="21"/>
              </w:rPr>
            </w:pPr>
            <w:r>
              <w:rPr>
                <w:rFonts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摩托罗拉中转台</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MTR 3000</w:t>
            </w:r>
            <w:r>
              <w:rPr>
                <w:rFonts w:ascii="宋体" w:hAnsi="宋体" w:cs="宋体"/>
                <w:color w:val="000000"/>
                <w:kern w:val="0"/>
                <w:sz w:val="21"/>
                <w:szCs w:val="21"/>
              </w:rPr>
              <w:t xml:space="preserve"> UHF</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摩托罗拉中转台</w:t>
            </w:r>
          </w:p>
        </w:tc>
        <w:tc>
          <w:tcPr>
            <w:tcW w:w="1759" w:type="dxa"/>
            <w:vAlign w:val="center"/>
          </w:tcPr>
          <w:p>
            <w:pPr>
              <w:spacing w:line="360" w:lineRule="auto"/>
              <w:jc w:val="center"/>
              <w:rPr>
                <w:rFonts w:ascii="宋体" w:hAnsi="宋体" w:cs="宋体"/>
                <w:color w:val="000000"/>
                <w:kern w:val="0"/>
                <w:sz w:val="21"/>
                <w:szCs w:val="21"/>
              </w:rPr>
            </w:pPr>
            <w:r>
              <w:rPr>
                <w:rFonts w:ascii="宋体" w:hAnsi="宋体" w:cs="宋体"/>
                <w:color w:val="000000"/>
                <w:kern w:val="0"/>
                <w:sz w:val="21"/>
                <w:szCs w:val="21"/>
              </w:rPr>
              <w:t xml:space="preserve">XIR </w:t>
            </w:r>
            <w:r>
              <w:rPr>
                <w:rFonts w:hint="eastAsia" w:ascii="宋体" w:hAnsi="宋体" w:cs="宋体"/>
                <w:color w:val="000000"/>
                <w:kern w:val="0"/>
                <w:sz w:val="21"/>
                <w:szCs w:val="21"/>
              </w:rPr>
              <w:t>R8200</w:t>
            </w:r>
            <w:r>
              <w:rPr>
                <w:rFonts w:ascii="宋体" w:hAnsi="宋体" w:cs="宋体"/>
                <w:color w:val="000000"/>
                <w:kern w:val="0"/>
                <w:sz w:val="21"/>
                <w:szCs w:val="21"/>
              </w:rPr>
              <w:t xml:space="preserve"> U</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GP338D</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73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GP338D+</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426</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360" w:lineRule="auto"/>
              <w:jc w:val="center"/>
              <w:rPr>
                <w:rFonts w:ascii="宋体" w:hAnsi="宋体" w:cs="宋体"/>
                <w:color w:val="000000"/>
                <w:kern w:val="0"/>
                <w:sz w:val="21"/>
                <w:szCs w:val="21"/>
              </w:rPr>
            </w:pPr>
            <w:r>
              <w:rPr>
                <w:rFonts w:ascii="宋体" w:hAnsi="宋体" w:cs="宋体"/>
                <w:color w:val="000000"/>
                <w:kern w:val="0"/>
                <w:sz w:val="21"/>
                <w:szCs w:val="21"/>
              </w:rPr>
              <w:t xml:space="preserve">XIR </w:t>
            </w:r>
            <w:r>
              <w:rPr>
                <w:rFonts w:hint="eastAsia" w:ascii="宋体" w:hAnsi="宋体" w:cs="宋体"/>
                <w:color w:val="000000"/>
                <w:kern w:val="0"/>
                <w:sz w:val="21"/>
                <w:szCs w:val="21"/>
              </w:rPr>
              <w:t>P8608 Ex</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德壹八合一合路器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BS04</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百思盾分路器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BS05</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百思盾双工器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BS635</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百思盾近端机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BS700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百思盾远端机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BS800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百思盾耦合器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BS03</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百思盾分光器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BS350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百思盾室内天线</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BS150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根</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百思盾室外天线</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BS400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根</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360" w:lineRule="auto"/>
              <w:rPr>
                <w:rFonts w:ascii="宋体" w:hAnsi="宋体" w:cs="宋体"/>
                <w:kern w:val="0"/>
                <w:sz w:val="21"/>
                <w:szCs w:val="21"/>
              </w:rPr>
            </w:pPr>
          </w:p>
        </w:tc>
      </w:tr>
    </w:tbl>
    <w:p>
      <w:pPr>
        <w:adjustRightInd w:val="0"/>
        <w:snapToGrid w:val="0"/>
        <w:spacing w:line="360" w:lineRule="auto"/>
        <w:outlineLvl w:val="1"/>
        <w:rPr>
          <w:sz w:val="24"/>
          <w:szCs w:val="24"/>
        </w:rPr>
      </w:pPr>
      <w:bookmarkStart w:id="35" w:name="_Toc80110631"/>
      <w:bookmarkStart w:id="36" w:name="_Toc79398533"/>
      <w:bookmarkStart w:id="37" w:name="_Toc79505361"/>
      <w:bookmarkStart w:id="38" w:name="_Toc80712115"/>
      <w:bookmarkStart w:id="39" w:name="_Toc80716098"/>
      <w:bookmarkStart w:id="40" w:name="_Toc80711998"/>
      <w:r>
        <w:rPr>
          <w:rFonts w:ascii="宋体" w:hAnsi="宋体" w:cs="Arial"/>
          <w:sz w:val="24"/>
        </w:rPr>
        <w:t>4.2</w:t>
      </w:r>
      <w:r>
        <w:rPr>
          <w:sz w:val="24"/>
          <w:szCs w:val="24"/>
        </w:rPr>
        <w:t>项目实施内容</w:t>
      </w:r>
      <w:bookmarkEnd w:id="35"/>
      <w:bookmarkEnd w:id="36"/>
      <w:bookmarkEnd w:id="37"/>
      <w:bookmarkEnd w:id="38"/>
      <w:bookmarkEnd w:id="39"/>
      <w:bookmarkEnd w:id="40"/>
    </w:p>
    <w:p>
      <w:pPr>
        <w:adjustRightInd w:val="0"/>
        <w:snapToGrid w:val="0"/>
        <w:spacing w:line="360" w:lineRule="auto"/>
        <w:ind w:firstLine="480" w:firstLineChars="200"/>
        <w:rPr>
          <w:rFonts w:ascii="Arial" w:hAnsi="Arial" w:cs="Arial"/>
          <w:sz w:val="24"/>
        </w:rPr>
      </w:pPr>
      <w:r>
        <w:rPr>
          <w:rFonts w:ascii="Arial" w:hAnsi="宋体" w:cs="Arial"/>
          <w:sz w:val="24"/>
        </w:rPr>
        <w:t>投标人需要按照双方签订的维修协议内要求的工作流程和服务质量，提供</w:t>
      </w:r>
      <w:r>
        <w:rPr>
          <w:rFonts w:hint="eastAsia" w:ascii="宋体" w:hAnsi="宋体"/>
          <w:sz w:val="24"/>
          <w:szCs w:val="24"/>
        </w:rPr>
        <w:t>福建福海创石油化工有限公司</w:t>
      </w:r>
      <w:r>
        <w:rPr>
          <w:rFonts w:ascii="Arial" w:hAnsi="宋体" w:cs="Arial"/>
          <w:sz w:val="24"/>
        </w:rPr>
        <w:t>无线通讯系统台账内的设备专业检测、保养和维修服务。</w:t>
      </w:r>
    </w:p>
    <w:p>
      <w:pPr>
        <w:adjustRightInd w:val="0"/>
        <w:snapToGrid w:val="0"/>
        <w:spacing w:line="360" w:lineRule="auto"/>
        <w:rPr>
          <w:rFonts w:ascii="Arial" w:hAnsi="Arial" w:cs="Arial"/>
          <w:sz w:val="24"/>
        </w:rPr>
      </w:pPr>
      <w:r>
        <w:rPr>
          <w:rFonts w:hint="eastAsia" w:ascii="宋体" w:hAnsi="宋体" w:cs="Arial"/>
          <w:sz w:val="24"/>
        </w:rPr>
        <w:t>4</w:t>
      </w:r>
      <w:r>
        <w:rPr>
          <w:rFonts w:ascii="宋体" w:hAnsi="宋体" w:cs="Arial"/>
          <w:sz w:val="24"/>
        </w:rPr>
        <w:t>.2.1</w:t>
      </w:r>
      <w:r>
        <w:rPr>
          <w:rFonts w:ascii="Arial" w:hAnsi="Arial" w:cs="Arial"/>
          <w:sz w:val="24"/>
        </w:rPr>
        <w:t xml:space="preserve"> </w:t>
      </w:r>
      <w:r>
        <w:rPr>
          <w:rFonts w:ascii="Arial" w:hAnsi="宋体" w:cs="Arial"/>
          <w:sz w:val="24"/>
        </w:rPr>
        <w:t>维保范围</w:t>
      </w:r>
    </w:p>
    <w:p>
      <w:pPr>
        <w:adjustRightInd w:val="0"/>
        <w:snapToGrid w:val="0"/>
        <w:spacing w:line="360" w:lineRule="auto"/>
        <w:ind w:firstLine="480" w:firstLineChars="200"/>
        <w:rPr>
          <w:rFonts w:ascii="Arial" w:hAnsi="宋体" w:cs="Arial"/>
          <w:sz w:val="24"/>
        </w:rPr>
      </w:pPr>
      <w:r>
        <w:rPr>
          <w:rFonts w:ascii="Arial" w:hAnsi="宋体" w:cs="Arial"/>
          <w:sz w:val="24"/>
        </w:rPr>
        <w:t>本项目维保范围包括所有对讲终端、天馈系统、直放站、中继站、功分器、耦合器</w:t>
      </w:r>
      <w:r>
        <w:rPr>
          <w:rFonts w:hint="eastAsia" w:ascii="Arial" w:hAnsi="宋体" w:cs="Arial"/>
          <w:sz w:val="24"/>
        </w:rPr>
        <w:t>及</w:t>
      </w:r>
      <w:r>
        <w:rPr>
          <w:rFonts w:ascii="Arial" w:hAnsi="宋体" w:cs="Arial"/>
          <w:sz w:val="24"/>
        </w:rPr>
        <w:t>基站</w:t>
      </w:r>
      <w:r>
        <w:rPr>
          <w:rFonts w:hint="eastAsia" w:ascii="Arial" w:hAnsi="宋体" w:cs="Arial"/>
          <w:sz w:val="24"/>
        </w:rPr>
        <w:t>相关</w:t>
      </w:r>
      <w:r>
        <w:rPr>
          <w:rFonts w:ascii="Arial" w:hAnsi="宋体" w:cs="Arial"/>
          <w:sz w:val="24"/>
        </w:rPr>
        <w:t>设备等配件的</w:t>
      </w:r>
      <w:r>
        <w:rPr>
          <w:rFonts w:hint="eastAsia" w:ascii="Arial" w:hAnsi="宋体" w:cs="Arial"/>
          <w:sz w:val="24"/>
        </w:rPr>
        <w:t>专业</w:t>
      </w:r>
      <w:r>
        <w:rPr>
          <w:rFonts w:ascii="Arial" w:hAnsi="宋体" w:cs="Arial"/>
          <w:sz w:val="24"/>
        </w:rPr>
        <w:t>检测，具体设备清单见</w:t>
      </w:r>
      <w:r>
        <w:rPr>
          <w:rFonts w:hint="eastAsia" w:ascii="宋体" w:hAnsi="宋体" w:cs="Arial"/>
          <w:sz w:val="24"/>
        </w:rPr>
        <w:t>4</w:t>
      </w:r>
      <w:r>
        <w:rPr>
          <w:rFonts w:ascii="宋体" w:hAnsi="宋体" w:cs="Arial"/>
          <w:sz w:val="24"/>
        </w:rPr>
        <w:t>.1</w:t>
      </w:r>
      <w:r>
        <w:rPr>
          <w:rFonts w:ascii="Arial" w:hAnsi="宋体" w:cs="Arial"/>
          <w:sz w:val="24"/>
        </w:rPr>
        <w:t xml:space="preserve"> 台帐明细，</w:t>
      </w:r>
      <w:r>
        <w:rPr>
          <w:rFonts w:hint="eastAsia" w:ascii="Arial" w:hAnsi="宋体" w:cs="Arial"/>
          <w:sz w:val="24"/>
        </w:rPr>
        <w:t>手持</w:t>
      </w:r>
      <w:r>
        <w:rPr>
          <w:rFonts w:ascii="Arial" w:hAnsi="宋体" w:cs="Arial"/>
          <w:sz w:val="24"/>
        </w:rPr>
        <w:t>对讲设备</w:t>
      </w:r>
      <w:r>
        <w:rPr>
          <w:rFonts w:ascii="Arial" w:hAnsi="宋体" w:cs="Arial"/>
          <w:color w:val="000000"/>
          <w:sz w:val="24"/>
        </w:rPr>
        <w:t>由投标人代表</w:t>
      </w:r>
      <w:r>
        <w:rPr>
          <w:rFonts w:ascii="Arial" w:hAnsi="宋体" w:cs="Arial"/>
          <w:sz w:val="24"/>
        </w:rPr>
        <w:t>厂商进行维修，</w:t>
      </w:r>
      <w:r>
        <w:rPr>
          <w:rFonts w:ascii="Arial" w:hAnsi="宋体" w:cs="Arial"/>
          <w:color w:val="000000"/>
          <w:sz w:val="24"/>
        </w:rPr>
        <w:t>无法维修的</w:t>
      </w:r>
      <w:r>
        <w:rPr>
          <w:rFonts w:hint="eastAsia" w:ascii="Arial" w:hAnsi="宋体" w:cs="Arial"/>
          <w:color w:val="000000"/>
          <w:sz w:val="24"/>
        </w:rPr>
        <w:t>提供报废书</w:t>
      </w:r>
      <w:r>
        <w:rPr>
          <w:rFonts w:ascii="Arial" w:hAnsi="宋体" w:cs="Arial"/>
          <w:color w:val="000000"/>
          <w:sz w:val="24"/>
        </w:rPr>
        <w:t>，维修后要保证设备整体性能符合原厂的各项认证要求，维修和更换产生的费用</w:t>
      </w:r>
      <w:r>
        <w:rPr>
          <w:rFonts w:ascii="Arial" w:hAnsi="宋体" w:cs="Arial"/>
          <w:sz w:val="24"/>
        </w:rPr>
        <w:t>按双方确定的维修价格明细分项核算后统一由甲方定期向投标人支付。</w:t>
      </w:r>
    </w:p>
    <w:p>
      <w:pPr>
        <w:adjustRightInd w:val="0"/>
        <w:snapToGrid w:val="0"/>
        <w:spacing w:line="360" w:lineRule="auto"/>
        <w:rPr>
          <w:rFonts w:ascii="Arial" w:hAnsi="宋体" w:cs="Arial"/>
          <w:sz w:val="24"/>
        </w:rPr>
      </w:pPr>
      <w:r>
        <w:rPr>
          <w:rFonts w:hint="eastAsia" w:ascii="Arial" w:hAnsi="宋体" w:cs="Arial"/>
          <w:sz w:val="24"/>
        </w:rPr>
        <w:t>维保内容如下：</w:t>
      </w:r>
    </w:p>
    <w:p>
      <w:pPr>
        <w:adjustRightInd w:val="0"/>
        <w:snapToGrid w:val="0"/>
        <w:spacing w:line="360" w:lineRule="auto"/>
        <w:jc w:val="left"/>
        <w:rPr>
          <w:rFonts w:ascii="宋体" w:hAnsi="宋体" w:cs="Arial"/>
          <w:sz w:val="24"/>
        </w:rPr>
      </w:pPr>
      <w:r>
        <w:rPr>
          <w:rFonts w:hint="eastAsia" w:ascii="宋体" w:hAnsi="宋体" w:cs="Arial"/>
          <w:sz w:val="24"/>
        </w:rPr>
        <w:t>（1）投标人对我司手持对讲机的日常维修；</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（2）投标人对我司无线对讲系统设备使用情况进行跟踪服务,确保我司对讲机能正常使用；</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（3）投标人按需求对系统进行专业性检测，并向业主提供一份无线对讲系统检测报告，说明报告期内系统运行情况、维修内容，并预测下一维保期内可能出现的问题及应对措施，提出合理化建议。</w:t>
      </w:r>
      <w:r>
        <w:rPr>
          <w:rFonts w:ascii="宋体" w:hAnsi="宋体" w:cs="Arial"/>
          <w:sz w:val="24"/>
        </w:rPr>
        <w:t>系统</w:t>
      </w:r>
      <w:r>
        <w:rPr>
          <w:rFonts w:hint="eastAsia" w:ascii="宋体" w:hAnsi="宋体" w:cs="Arial"/>
          <w:sz w:val="24"/>
        </w:rPr>
        <w:t>检测项目：检测中转台、合分路器、远近端机等系统运行状态，项目包含功率、频率、天馈、增益、接头、温度等参数指标检测，天馈驻波比检测、基站内设备连接情况检查、干扰检测、信号场强测试等，并提供检测报告；</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（4）对相关设备进行功率、接收灵敏度、发射功率、声音大小检测、维修、调试，系统主机、信道机、远近端机，需到现场进行线路整理、维修、调试；</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（5）对我司写频、分组等对讲机常用设置、软件升级等，无线对讲系统提出整改意见、优化提供技术方案和技术支持；</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（6）投标人需提供维修备用摩托罗拉中继台，在系统故障影响我司系统正常运行时，无偿紧急投用；</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（7）对我司技术人员进行日常维护指导/培训；</w:t>
      </w:r>
    </w:p>
    <w:p>
      <w:pPr>
        <w:adjustRightInd w:val="0"/>
        <w:snapToGrid w:val="0"/>
        <w:spacing w:line="360" w:lineRule="auto"/>
        <w:ind w:left="566" w:leftChars="-24" w:hanging="619" w:hangingChars="258"/>
        <w:rPr>
          <w:rFonts w:ascii="宋体" w:hAnsi="宋体" w:cs="Arial"/>
          <w:sz w:val="24"/>
        </w:rPr>
      </w:pPr>
      <w:r>
        <w:rPr>
          <w:rFonts w:hint="eastAsia" w:ascii="宋体" w:hAnsi="宋体" w:cs="Arial"/>
          <w:sz w:val="24"/>
        </w:rPr>
        <w:t>（</w:t>
      </w:r>
      <w:r>
        <w:rPr>
          <w:rFonts w:ascii="宋体" w:hAnsi="宋体" w:cs="Arial"/>
          <w:sz w:val="24"/>
        </w:rPr>
        <w:t>8</w:t>
      </w:r>
      <w:r>
        <w:rPr>
          <w:rFonts w:hint="eastAsia" w:ascii="宋体" w:hAnsi="宋体" w:cs="Arial"/>
          <w:sz w:val="24"/>
        </w:rPr>
        <w:t>）对后期系统可能存在的扩容、整改、优化时需协助业主方进行频率的申请、变更及审批；</w:t>
      </w:r>
    </w:p>
    <w:p>
      <w:pPr>
        <w:adjustRightInd w:val="0"/>
        <w:snapToGrid w:val="0"/>
        <w:spacing w:line="360" w:lineRule="auto"/>
        <w:ind w:left="566" w:leftChars="-24" w:hanging="619" w:hangingChars="258"/>
        <w:rPr>
          <w:rFonts w:ascii="宋体" w:hAnsi="宋体" w:cs="Arial"/>
          <w:color w:val="000000"/>
          <w:sz w:val="24"/>
        </w:rPr>
      </w:pPr>
      <w:r>
        <w:rPr>
          <w:rFonts w:hint="eastAsia" w:ascii="宋体" w:hAnsi="宋体" w:cs="Arial"/>
          <w:sz w:val="24"/>
        </w:rPr>
        <w:t>（</w:t>
      </w:r>
      <w:r>
        <w:rPr>
          <w:rFonts w:ascii="宋体" w:hAnsi="宋体" w:cs="Arial"/>
          <w:color w:val="000000"/>
          <w:sz w:val="24"/>
        </w:rPr>
        <w:t>9</w:t>
      </w:r>
      <w:r>
        <w:rPr>
          <w:rFonts w:hint="eastAsia" w:ascii="宋体" w:hAnsi="宋体" w:cs="Arial"/>
          <w:color w:val="000000"/>
          <w:sz w:val="24"/>
        </w:rPr>
        <w:t>）在系统出现重大故障时，电话支持无法解决，业主启动厂家现场服务后，投标方工程师应立即动身，</w:t>
      </w:r>
      <w:r>
        <w:rPr>
          <w:rFonts w:ascii="宋体" w:hAnsi="宋体" w:cs="Arial"/>
          <w:color w:val="000000"/>
          <w:sz w:val="24"/>
        </w:rPr>
        <w:t>1</w:t>
      </w:r>
      <w:r>
        <w:rPr>
          <w:rFonts w:hint="eastAsia" w:ascii="宋体" w:hAnsi="宋体" w:cs="Arial"/>
          <w:color w:val="000000"/>
          <w:sz w:val="24"/>
        </w:rPr>
        <w:t>~</w:t>
      </w:r>
      <w:r>
        <w:rPr>
          <w:rFonts w:ascii="宋体" w:hAnsi="宋体" w:cs="Arial"/>
          <w:color w:val="000000"/>
          <w:sz w:val="24"/>
        </w:rPr>
        <w:t>3小时</w:t>
      </w:r>
      <w:r>
        <w:rPr>
          <w:rFonts w:hint="eastAsia" w:ascii="宋体" w:hAnsi="宋体" w:cs="Arial"/>
          <w:color w:val="000000"/>
          <w:sz w:val="24"/>
        </w:rPr>
        <w:t>内到达现场。工程师在现场研究问题，直到找到问题的解决方案，并在现场服务完成后提供此次服务的完整故障抢修过程和处理记录，应急服务的有效时间为全年</w:t>
      </w:r>
      <w:r>
        <w:rPr>
          <w:rFonts w:ascii="宋体" w:hAnsi="宋体" w:cs="Arial"/>
          <w:color w:val="000000"/>
          <w:sz w:val="24"/>
        </w:rPr>
        <w:t>7*24</w:t>
      </w:r>
      <w:r>
        <w:rPr>
          <w:rFonts w:hint="eastAsia" w:ascii="宋体" w:hAnsi="宋体" w:cs="Arial"/>
          <w:color w:val="000000"/>
          <w:sz w:val="24"/>
        </w:rPr>
        <w:t>小时，应急服务记录参考《附件四</w:t>
      </w:r>
      <w:r>
        <w:rPr>
          <w:rFonts w:ascii="宋体" w:hAnsi="宋体" w:cs="Arial"/>
          <w:color w:val="000000"/>
          <w:sz w:val="24"/>
        </w:rPr>
        <w:t>无线通讯系统应急服务记录</w:t>
      </w:r>
      <w:r>
        <w:rPr>
          <w:rFonts w:hint="eastAsia" w:ascii="宋体" w:hAnsi="宋体" w:cs="Arial"/>
          <w:color w:val="000000"/>
          <w:sz w:val="24"/>
        </w:rPr>
        <w:t>》。</w:t>
      </w:r>
    </w:p>
    <w:p>
      <w:pPr>
        <w:adjustRightInd w:val="0"/>
        <w:snapToGrid w:val="0"/>
        <w:spacing w:line="360" w:lineRule="auto"/>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.2.</w:t>
      </w:r>
      <w:r>
        <w:rPr>
          <w:rFonts w:hint="eastAsia" w:ascii="宋体" w:hAnsi="宋体" w:cs="Arial"/>
          <w:color w:val="000000"/>
          <w:sz w:val="24"/>
        </w:rPr>
        <w:t>2</w:t>
      </w:r>
      <w:r>
        <w:rPr>
          <w:rFonts w:ascii="宋体" w:hAnsi="宋体" w:cs="Arial"/>
          <w:color w:val="000000"/>
          <w:sz w:val="24"/>
        </w:rPr>
        <w:t xml:space="preserve"> </w:t>
      </w:r>
      <w:r>
        <w:rPr>
          <w:rFonts w:hint="eastAsia" w:ascii="宋体" w:hAnsi="宋体" w:cs="Arial"/>
          <w:color w:val="000000"/>
          <w:sz w:val="24"/>
        </w:rPr>
        <w:t>维保流程</w:t>
      </w:r>
    </w:p>
    <w:p>
      <w:pPr>
        <w:adjustRightInd w:val="0"/>
        <w:snapToGrid w:val="0"/>
        <w:spacing w:line="360" w:lineRule="auto"/>
        <w:rPr>
          <w:rFonts w:ascii="宋体" w:hAnsi="宋体" w:cs="Arial"/>
          <w:color w:val="000000"/>
          <w:sz w:val="24"/>
        </w:rPr>
      </w:pPr>
      <w:r>
        <w:rPr>
          <w:rFonts w:hint="eastAsia" w:ascii="宋体" w:hAnsi="宋体" w:cs="Arial"/>
          <w:color w:val="000000"/>
          <w:sz w:val="24"/>
        </w:rPr>
        <w:t>（1）日常报修</w:t>
      </w:r>
    </w:p>
    <w:p>
      <w:pPr>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日常报修响应：采用365天*24小时服务响应。接到</w:t>
      </w:r>
      <w:r>
        <w:rPr>
          <w:rFonts w:hint="eastAsia" w:ascii="宋体" w:hAnsi="宋体" w:cs="Arial"/>
          <w:color w:val="000000"/>
          <w:sz w:val="24"/>
        </w:rPr>
        <w:t>业主方</w:t>
      </w:r>
      <w:r>
        <w:rPr>
          <w:rFonts w:ascii="宋体" w:hAnsi="宋体" w:cs="Arial"/>
          <w:color w:val="000000"/>
          <w:sz w:val="24"/>
        </w:rPr>
        <w:t>日常报修后2-4小时时间内响应，维修服务期间如有设备损坏，在有备件时更换备件解决（如因水、火、雷电灾害等特殊原因造成不能及时解决的，则以书面形式说明情况及处理方案）</w:t>
      </w:r>
      <w:r>
        <w:rPr>
          <w:rFonts w:hint="eastAsia" w:ascii="宋体" w:hAnsi="宋体" w:cs="Arial"/>
          <w:color w:val="000000"/>
          <w:sz w:val="24"/>
        </w:rPr>
        <w:t>。如需返厂维修，需在</w:t>
      </w:r>
      <w:r>
        <w:rPr>
          <w:rFonts w:ascii="宋体" w:hAnsi="宋体" w:cs="Arial"/>
          <w:color w:val="000000"/>
          <w:sz w:val="24"/>
        </w:rPr>
        <w:t>3</w:t>
      </w:r>
      <w:r>
        <w:rPr>
          <w:rFonts w:hint="eastAsia" w:ascii="宋体" w:hAnsi="宋体" w:cs="Arial"/>
          <w:color w:val="000000"/>
          <w:sz w:val="24"/>
        </w:rPr>
        <w:t>个工作日内到取走，</w:t>
      </w:r>
      <w:r>
        <w:rPr>
          <w:rFonts w:ascii="宋体" w:hAnsi="宋体" w:cs="Arial"/>
          <w:color w:val="000000"/>
          <w:sz w:val="24"/>
        </w:rPr>
        <w:t>20个工作日内</w:t>
      </w:r>
      <w:r>
        <w:rPr>
          <w:rFonts w:hint="eastAsia" w:ascii="宋体" w:hAnsi="宋体" w:cs="Arial"/>
          <w:color w:val="000000"/>
          <w:sz w:val="24"/>
        </w:rPr>
        <w:t>返还，维修费用根据本次招标的约定协议价进行，双方根据《附件二无线对讲设备维修确认表》做好记录，每半年进行结算1次</w:t>
      </w:r>
      <w:r>
        <w:rPr>
          <w:rFonts w:ascii="宋体" w:hAnsi="宋体" w:cs="Arial"/>
          <w:color w:val="000000"/>
          <w:sz w:val="24"/>
        </w:rPr>
        <w:t>。</w:t>
      </w:r>
    </w:p>
    <w:p>
      <w:pPr>
        <w:adjustRightInd w:val="0"/>
        <w:snapToGrid w:val="0"/>
        <w:spacing w:line="360" w:lineRule="auto"/>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专业检测</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当招标人需要对无线对讲系统检测时，投标方制定专业检测方案（方案由投标人自行拟定），投标人结合现场情况指派工程师不低于两人到现场进行专业检测，期间业主方指派一人随同进行现场的配合协调，检测的记录表详见《附件三</w:t>
      </w:r>
      <w:r>
        <w:rPr>
          <w:rFonts w:ascii="宋体" w:hAnsi="宋体" w:cs="Arial"/>
          <w:color w:val="000000"/>
          <w:sz w:val="24"/>
        </w:rPr>
        <w:t>无线通讯系统专业检测记录</w:t>
      </w:r>
      <w:r>
        <w:rPr>
          <w:rFonts w:hint="eastAsia" w:ascii="宋体" w:hAnsi="宋体" w:cs="Arial"/>
          <w:color w:val="000000"/>
          <w:sz w:val="24"/>
        </w:rPr>
        <w:t>》，检测及维护的内容不限于：</w:t>
      </w:r>
      <w:r>
        <w:rPr>
          <w:rFonts w:ascii="宋体" w:hAnsi="宋体" w:cs="Arial"/>
          <w:color w:val="000000"/>
          <w:sz w:val="24"/>
        </w:rPr>
        <w:t>无线通信系统电源检测</w:t>
      </w:r>
      <w:r>
        <w:rPr>
          <w:rFonts w:hint="eastAsia" w:ascii="宋体" w:hAnsi="宋体" w:cs="Arial"/>
          <w:color w:val="000000"/>
          <w:sz w:val="24"/>
        </w:rPr>
        <w:t>；</w:t>
      </w:r>
      <w:r>
        <w:rPr>
          <w:rFonts w:ascii="宋体" w:hAnsi="宋体" w:cs="Arial"/>
          <w:color w:val="000000"/>
          <w:sz w:val="24"/>
        </w:rPr>
        <w:t>基站收发信机、中转台、直放站等设备灰尘清理，系统功能、信号输出检测、信号覆盖检测等维护</w:t>
      </w:r>
      <w:r>
        <w:rPr>
          <w:rFonts w:hint="eastAsia" w:ascii="宋体" w:hAnsi="宋体" w:cs="Arial"/>
          <w:color w:val="000000"/>
          <w:sz w:val="24"/>
        </w:rPr>
        <w:t>；</w:t>
      </w:r>
      <w:r>
        <w:rPr>
          <w:rFonts w:ascii="宋体" w:hAnsi="宋体" w:cs="Arial"/>
          <w:color w:val="000000"/>
          <w:sz w:val="24"/>
        </w:rPr>
        <w:t>对讲机检测、使用功能检测</w:t>
      </w:r>
      <w:r>
        <w:rPr>
          <w:rFonts w:hint="eastAsia" w:ascii="宋体" w:hAnsi="宋体" w:cs="Arial"/>
          <w:color w:val="000000"/>
          <w:sz w:val="24"/>
        </w:rPr>
        <w:t>；</w:t>
      </w:r>
      <w:r>
        <w:rPr>
          <w:rFonts w:ascii="宋体" w:hAnsi="宋体" w:cs="Arial"/>
          <w:color w:val="000000"/>
          <w:sz w:val="24"/>
        </w:rPr>
        <w:t>系统连接线路（包括传输馈线等）常规检查</w:t>
      </w:r>
      <w:r>
        <w:rPr>
          <w:rFonts w:hint="eastAsia" w:ascii="宋体" w:hAnsi="宋体" w:cs="Arial"/>
          <w:color w:val="000000"/>
          <w:sz w:val="24"/>
        </w:rPr>
        <w:t>；</w:t>
      </w:r>
      <w:r>
        <w:rPr>
          <w:rFonts w:ascii="宋体" w:hAnsi="宋体" w:cs="Arial"/>
          <w:color w:val="000000"/>
          <w:sz w:val="24"/>
        </w:rPr>
        <w:t>放大器、功分器、天线等前端设备灰尘清理</w:t>
      </w:r>
      <w:r>
        <w:rPr>
          <w:rFonts w:hint="eastAsia" w:ascii="宋体" w:hAnsi="宋体" w:cs="Arial"/>
          <w:color w:val="000000"/>
          <w:sz w:val="24"/>
        </w:rPr>
        <w:t>；</w:t>
      </w:r>
      <w:r>
        <w:rPr>
          <w:rFonts w:ascii="宋体" w:hAnsi="宋体" w:cs="Arial"/>
          <w:color w:val="000000"/>
          <w:sz w:val="24"/>
        </w:rPr>
        <w:t>设备连接检查维护</w:t>
      </w:r>
      <w:r>
        <w:rPr>
          <w:rFonts w:hint="eastAsia" w:ascii="宋体" w:hAnsi="宋体" w:cs="Arial"/>
          <w:color w:val="000000"/>
          <w:sz w:val="24"/>
        </w:rPr>
        <w:t>、</w:t>
      </w:r>
      <w:r>
        <w:rPr>
          <w:rFonts w:ascii="宋体" w:hAnsi="宋体" w:cs="Arial"/>
          <w:color w:val="000000"/>
          <w:sz w:val="24"/>
        </w:rPr>
        <w:t>各类设备的故障维修。检查过程中发现的隐患及问题，及时进行故障排除和功能恢复。</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检测结果根据《附件三</w:t>
      </w:r>
      <w:r>
        <w:rPr>
          <w:rFonts w:ascii="宋体" w:hAnsi="宋体" w:cs="Arial"/>
          <w:color w:val="000000"/>
          <w:sz w:val="24"/>
        </w:rPr>
        <w:t>无线通讯系统专业检测记录</w:t>
      </w:r>
      <w:r>
        <w:rPr>
          <w:rFonts w:hint="eastAsia" w:ascii="宋体" w:hAnsi="宋体" w:cs="Arial"/>
          <w:color w:val="000000"/>
          <w:sz w:val="24"/>
        </w:rPr>
        <w:t>》编制详细的检测报告，对系统的整体情况进行描述及总结，对系统存在隐患或故障的，需在报告中体现，并制定优化或整改方案。</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检测费用根据本次招标的约定协议价进行，每半年进行结算</w:t>
      </w:r>
      <w:r>
        <w:rPr>
          <w:rFonts w:ascii="宋体" w:hAnsi="宋体" w:cs="Arial"/>
          <w:color w:val="000000"/>
          <w:sz w:val="24"/>
        </w:rPr>
        <w:t>。</w:t>
      </w:r>
    </w:p>
    <w:p>
      <w:pPr>
        <w:adjustRightInd w:val="0"/>
        <w:snapToGrid w:val="0"/>
        <w:spacing w:line="360" w:lineRule="auto"/>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.2.</w:t>
      </w:r>
      <w:r>
        <w:rPr>
          <w:rFonts w:hint="eastAsia" w:ascii="宋体" w:hAnsi="宋体" w:cs="Arial"/>
          <w:color w:val="000000"/>
          <w:sz w:val="24"/>
        </w:rPr>
        <w:t>3</w:t>
      </w:r>
      <w:r>
        <w:rPr>
          <w:rFonts w:ascii="宋体" w:hAnsi="宋体" w:cs="Arial"/>
          <w:color w:val="000000"/>
          <w:sz w:val="24"/>
        </w:rPr>
        <w:t xml:space="preserve"> </w:t>
      </w:r>
      <w:r>
        <w:rPr>
          <w:rFonts w:hint="eastAsia" w:ascii="宋体" w:hAnsi="宋体" w:cs="Arial"/>
          <w:color w:val="000000"/>
          <w:sz w:val="24"/>
        </w:rPr>
        <w:t>价格</w:t>
      </w:r>
    </w:p>
    <w:p>
      <w:pPr>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咨询摩托罗拉公司及代理商</w:t>
      </w:r>
      <w:r>
        <w:rPr>
          <w:rFonts w:hint="eastAsia" w:ascii="宋体" w:hAnsi="宋体" w:cs="Arial"/>
          <w:color w:val="000000"/>
          <w:sz w:val="24"/>
        </w:rPr>
        <w:t>，形成固定基准价。通过公司</w:t>
      </w:r>
      <w:r>
        <w:rPr>
          <w:rFonts w:ascii="宋体" w:hAnsi="宋体" w:cs="Arial"/>
          <w:color w:val="000000"/>
          <w:sz w:val="24"/>
        </w:rPr>
        <w:t>规定采办流程,确定无线通讯服务及</w:t>
      </w:r>
      <w:r>
        <w:rPr>
          <w:rFonts w:hint="eastAsia" w:ascii="宋体" w:hAnsi="宋体" w:cs="Arial"/>
          <w:color w:val="000000"/>
          <w:sz w:val="24"/>
        </w:rPr>
        <w:t>手持</w:t>
      </w:r>
      <w:r>
        <w:rPr>
          <w:rFonts w:ascii="宋体" w:hAnsi="宋体" w:cs="Arial"/>
          <w:color w:val="000000"/>
          <w:sz w:val="24"/>
        </w:rPr>
        <w:t>对讲机的维修费</w:t>
      </w:r>
      <w:r>
        <w:rPr>
          <w:rFonts w:hint="eastAsia" w:ascii="宋体" w:hAnsi="宋体" w:cs="Arial"/>
          <w:color w:val="000000"/>
          <w:sz w:val="24"/>
        </w:rPr>
        <w:t>项目下浮率L。投标商</w:t>
      </w:r>
      <w:r>
        <w:rPr>
          <w:rFonts w:ascii="宋体" w:hAnsi="宋体" w:cs="Arial"/>
          <w:color w:val="000000"/>
          <w:sz w:val="24"/>
        </w:rPr>
        <w:t>标明各类设备维修和服务的基准价下浮率</w:t>
      </w:r>
      <w:r>
        <w:rPr>
          <w:rFonts w:hint="eastAsia" w:ascii="宋体" w:hAnsi="宋体" w:cs="Arial"/>
          <w:color w:val="000000"/>
          <w:sz w:val="24"/>
        </w:rPr>
        <w:t>L</w:t>
      </w:r>
      <w:r>
        <w:rPr>
          <w:rFonts w:ascii="宋体" w:hAnsi="宋体" w:cs="Arial"/>
          <w:color w:val="000000"/>
          <w:sz w:val="24"/>
        </w:rPr>
        <w:t>，形成协议价格，交由维修单位执行</w:t>
      </w:r>
      <w:r>
        <w:rPr>
          <w:rFonts w:hint="eastAsia" w:ascii="宋体" w:hAnsi="宋体" w:cs="Arial"/>
          <w:color w:val="000000"/>
          <w:sz w:val="24"/>
        </w:rPr>
        <w:t>。</w:t>
      </w:r>
      <w:r>
        <w:rPr>
          <w:rFonts w:ascii="宋体" w:hAnsi="宋体" w:cs="Arial"/>
          <w:color w:val="000000"/>
          <w:sz w:val="24"/>
        </w:rPr>
        <w:t>实际维修时详细记录维修事项和数量，最终以</w:t>
      </w:r>
      <w:r>
        <w:rPr>
          <w:rFonts w:hint="eastAsia" w:ascii="宋体" w:hAnsi="宋体" w:cs="Arial"/>
          <w:color w:val="000000"/>
          <w:sz w:val="24"/>
        </w:rPr>
        <w:t>“基准价*（1</w:t>
      </w:r>
      <w:r>
        <w:rPr>
          <w:rFonts w:ascii="宋体" w:hAnsi="宋体" w:cs="Arial"/>
          <w:color w:val="000000"/>
          <w:sz w:val="24"/>
        </w:rPr>
        <w:t>-下浮率</w:t>
      </w:r>
      <w:r>
        <w:rPr>
          <w:rFonts w:hint="eastAsia" w:ascii="宋体" w:hAnsi="宋体" w:cs="Arial"/>
          <w:color w:val="000000"/>
          <w:sz w:val="24"/>
        </w:rPr>
        <w:t>L）”数量</w:t>
      </w:r>
      <w:r>
        <w:rPr>
          <w:rFonts w:ascii="宋体" w:hAnsi="宋体" w:cs="Arial"/>
          <w:color w:val="000000"/>
          <w:sz w:val="24"/>
        </w:rPr>
        <w:t>与</w:t>
      </w:r>
      <w:r>
        <w:rPr>
          <w:rFonts w:hint="eastAsia" w:ascii="宋体" w:hAnsi="宋体" w:cs="Arial"/>
          <w:color w:val="000000"/>
          <w:sz w:val="24"/>
        </w:rPr>
        <w:t>招标人</w:t>
      </w:r>
      <w:r>
        <w:rPr>
          <w:rFonts w:ascii="宋体" w:hAnsi="宋体" w:cs="Arial"/>
          <w:color w:val="000000"/>
          <w:sz w:val="24"/>
        </w:rPr>
        <w:t>进行结算。</w:t>
      </w:r>
    </w:p>
    <w:p>
      <w:pPr>
        <w:adjustRightInd w:val="0"/>
        <w:snapToGrid w:val="0"/>
        <w:spacing w:line="360" w:lineRule="auto"/>
        <w:ind w:firstLine="480" w:firstLineChars="200"/>
        <w:rPr>
          <w:rFonts w:ascii="Arial" w:hAnsi="宋体" w:cs="Arial"/>
          <w:color w:val="000000"/>
          <w:sz w:val="24"/>
        </w:rPr>
      </w:pPr>
      <w:r>
        <w:rPr>
          <w:rFonts w:ascii="宋体" w:hAnsi="宋体" w:cs="Arial"/>
          <w:color w:val="000000"/>
          <w:sz w:val="24"/>
        </w:rPr>
        <w:t>维修清单详见</w:t>
      </w:r>
      <w:r>
        <w:rPr>
          <w:rFonts w:hint="eastAsia" w:ascii="宋体" w:hAnsi="宋体" w:cs="Arial"/>
          <w:color w:val="000000"/>
          <w:sz w:val="24"/>
        </w:rPr>
        <w:t>五</w:t>
      </w:r>
      <w:r>
        <w:rPr>
          <w:rFonts w:ascii="宋体" w:hAnsi="宋体" w:cs="Arial"/>
          <w:color w:val="000000"/>
          <w:sz w:val="24"/>
        </w:rPr>
        <w:t xml:space="preserve">. </w:t>
      </w:r>
      <w:r>
        <w:rPr>
          <w:rFonts w:hint="eastAsia" w:ascii="宋体" w:hAnsi="宋体" w:cs="Arial"/>
          <w:color w:val="000000"/>
          <w:sz w:val="24"/>
        </w:rPr>
        <w:t>商务报价</w:t>
      </w:r>
      <w:r>
        <w:rPr>
          <w:rFonts w:ascii="Arial" w:hAnsi="宋体" w:cs="Arial"/>
          <w:color w:val="000000"/>
          <w:sz w:val="24"/>
        </w:rPr>
        <w:t>。</w:t>
      </w:r>
      <w:r>
        <w:rPr>
          <w:rFonts w:hint="eastAsia" w:ascii="Arial" w:hAnsi="宋体" w:cs="Arial"/>
          <w:color w:val="000000"/>
          <w:sz w:val="24"/>
        </w:rPr>
        <w:t xml:space="preserve"> </w:t>
      </w:r>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41" w:name="_Toc80716099"/>
      <w:r>
        <w:rPr>
          <w:rFonts w:ascii="宋体" w:hAnsi="宋体" w:eastAsia="宋体" w:cs="Arial"/>
          <w:b/>
          <w:color w:val="000000"/>
          <w:kern w:val="0"/>
          <w:sz w:val="28"/>
          <w:szCs w:val="28"/>
        </w:rPr>
        <w:t>商务报价</w:t>
      </w:r>
      <w:bookmarkEnd w:id="41"/>
    </w:p>
    <w:p>
      <w:pPr>
        <w:pStyle w:val="76"/>
        <w:adjustRightInd w:val="0"/>
        <w:snapToGrid w:val="0"/>
        <w:spacing w:line="360" w:lineRule="auto"/>
        <w:ind w:left="1" w:firstLine="480"/>
        <w:outlineLvl w:val="1"/>
        <w:rPr>
          <w:rFonts w:ascii="宋体" w:hAnsi="宋体" w:eastAsia="宋体" w:cs="Arial"/>
          <w:color w:val="000000"/>
          <w:sz w:val="24"/>
          <w:szCs w:val="20"/>
        </w:rPr>
      </w:pPr>
      <w:r>
        <w:rPr>
          <w:rFonts w:hint="eastAsia" w:ascii="宋体" w:hAnsi="宋体" w:eastAsia="宋体" w:cs="Arial"/>
          <w:color w:val="000000"/>
          <w:sz w:val="24"/>
          <w:szCs w:val="20"/>
        </w:rPr>
        <w:t>分项报价表下浮率（表</w:t>
      </w:r>
      <w:r>
        <w:rPr>
          <w:rFonts w:ascii="宋体" w:hAnsi="宋体" w:eastAsia="宋体" w:cs="Arial"/>
          <w:color w:val="000000"/>
          <w:sz w:val="24"/>
          <w:szCs w:val="20"/>
        </w:rPr>
        <w:t>5</w:t>
      </w:r>
      <w:r>
        <w:rPr>
          <w:rFonts w:hint="eastAsia" w:ascii="宋体" w:hAnsi="宋体" w:eastAsia="宋体" w:cs="Arial"/>
          <w:color w:val="000000"/>
          <w:sz w:val="24"/>
          <w:szCs w:val="20"/>
        </w:rPr>
        <w:t>）</w:t>
      </w:r>
      <w:r>
        <w:rPr>
          <w:rFonts w:ascii="宋体" w:hAnsi="宋体" w:eastAsia="宋体" w:cs="Arial"/>
          <w:color w:val="000000"/>
          <w:sz w:val="24"/>
          <w:szCs w:val="20"/>
        </w:rPr>
        <w:t xml:space="preserve"> </w:t>
      </w:r>
    </w:p>
    <w:tbl>
      <w:tblPr>
        <w:tblStyle w:val="48"/>
        <w:tblW w:w="8738" w:type="dxa"/>
        <w:tblInd w:w="63" w:type="dxa"/>
        <w:tblLayout w:type="fixed"/>
        <w:tblCellMar>
          <w:top w:w="0" w:type="dxa"/>
          <w:left w:w="108" w:type="dxa"/>
          <w:bottom w:w="0" w:type="dxa"/>
          <w:right w:w="108" w:type="dxa"/>
        </w:tblCellMar>
      </w:tblPr>
      <w:tblGrid>
        <w:gridCol w:w="575"/>
        <w:gridCol w:w="2329"/>
        <w:gridCol w:w="1124"/>
        <w:gridCol w:w="2599"/>
        <w:gridCol w:w="2111"/>
      </w:tblGrid>
      <w:tr>
        <w:tblPrEx>
          <w:tblCellMar>
            <w:top w:w="0" w:type="dxa"/>
            <w:left w:w="108" w:type="dxa"/>
            <w:bottom w:w="0" w:type="dxa"/>
            <w:right w:w="108" w:type="dxa"/>
          </w:tblCellMar>
        </w:tblPrEx>
        <w:trPr>
          <w:trHeight w:val="789" w:hRule="atLeast"/>
        </w:trPr>
        <w:tc>
          <w:tcPr>
            <w:tcW w:w="575" w:type="dxa"/>
            <w:tcBorders>
              <w:top w:val="single" w:color="auto" w:sz="8" w:space="0"/>
              <w:left w:val="single" w:color="auto" w:sz="8" w:space="0"/>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2329" w:type="dxa"/>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分项名称</w:t>
            </w:r>
          </w:p>
        </w:tc>
        <w:tc>
          <w:tcPr>
            <w:tcW w:w="3723" w:type="dxa"/>
            <w:gridSpan w:val="2"/>
            <w:tcBorders>
              <w:top w:val="single" w:color="auto" w:sz="8" w:space="0"/>
              <w:left w:val="nil"/>
              <w:bottom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下浮率报价</w:t>
            </w:r>
          </w:p>
        </w:tc>
        <w:tc>
          <w:tcPr>
            <w:tcW w:w="211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资格</w:t>
            </w:r>
            <w:r>
              <w:rPr>
                <w:rFonts w:ascii="宋体" w:hAnsi="宋体" w:cs="宋体"/>
                <w:bCs/>
                <w:color w:val="000000"/>
                <w:kern w:val="0"/>
                <w:szCs w:val="21"/>
              </w:rPr>
              <w:t>审查</w:t>
            </w:r>
            <w:r>
              <w:rPr>
                <w:rFonts w:hint="eastAsia" w:ascii="宋体" w:hAnsi="宋体" w:cs="宋体"/>
                <w:bCs/>
                <w:color w:val="000000"/>
                <w:kern w:val="0"/>
                <w:szCs w:val="21"/>
              </w:rPr>
              <w:t>（资质）</w:t>
            </w:r>
          </w:p>
        </w:tc>
      </w:tr>
      <w:tr>
        <w:tblPrEx>
          <w:tblCellMar>
            <w:top w:w="0" w:type="dxa"/>
            <w:left w:w="108" w:type="dxa"/>
            <w:bottom w:w="0" w:type="dxa"/>
            <w:right w:w="108" w:type="dxa"/>
          </w:tblCellMar>
        </w:tblPrEx>
        <w:trPr>
          <w:trHeight w:val="479" w:hRule="atLeast"/>
        </w:trPr>
        <w:tc>
          <w:tcPr>
            <w:tcW w:w="57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2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各类设备专业检测费用</w:t>
            </w:r>
            <w:r>
              <w:rPr>
                <w:rFonts w:hint="eastAsia" w:ascii="宋体" w:hAnsi="宋体" w:cs="Arial"/>
                <w:color w:val="000000"/>
                <w:sz w:val="24"/>
              </w:rPr>
              <w:t>（表</w:t>
            </w:r>
            <w:r>
              <w:rPr>
                <w:rFonts w:ascii="宋体" w:hAnsi="宋体" w:cs="Arial"/>
                <w:color w:val="000000"/>
                <w:sz w:val="24"/>
              </w:rPr>
              <w:t>5-</w:t>
            </w:r>
            <w:r>
              <w:rPr>
                <w:rFonts w:hint="eastAsia" w:ascii="宋体" w:hAnsi="宋体" w:cs="Arial"/>
                <w:color w:val="000000"/>
                <w:sz w:val="24"/>
              </w:rPr>
              <w:t>1）</w:t>
            </w:r>
          </w:p>
        </w:tc>
        <w:tc>
          <w:tcPr>
            <w:tcW w:w="1124"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Arial"/>
                <w:color w:val="000000"/>
                <w:sz w:val="24"/>
              </w:rPr>
            </w:pPr>
            <w:r>
              <w:rPr>
                <w:rFonts w:hint="eastAsia" w:ascii="宋体" w:hAnsi="宋体" w:cs="Arial"/>
                <w:color w:val="000000"/>
                <w:kern w:val="0"/>
                <w:szCs w:val="21"/>
              </w:rPr>
              <w:t>L</w:t>
            </w:r>
          </w:p>
          <w:p>
            <w:pPr>
              <w:widowControl/>
              <w:rPr>
                <w:rFonts w:ascii="宋体" w:hAnsi="宋体" w:cs="Arial"/>
                <w:color w:val="000000"/>
                <w:kern w:val="0"/>
                <w:szCs w:val="21"/>
              </w:rPr>
            </w:pPr>
          </w:p>
        </w:tc>
        <w:tc>
          <w:tcPr>
            <w:tcW w:w="2599" w:type="dxa"/>
            <w:vMerge w:val="restart"/>
            <w:tcBorders>
              <w:top w:val="single" w:color="auto" w:sz="4" w:space="0"/>
              <w:left w:val="nil"/>
              <w:right w:val="single" w:color="auto" w:sz="4" w:space="0"/>
            </w:tcBorders>
            <w:shd w:val="clear" w:color="auto" w:fill="auto"/>
            <w:vAlign w:val="center"/>
          </w:tcPr>
          <w:p>
            <w:pPr>
              <w:widowControl/>
              <w:jc w:val="right"/>
              <w:rPr>
                <w:rFonts w:ascii="宋体" w:hAnsi="宋体" w:cs="Arial"/>
                <w:bCs/>
                <w:color w:val="000000"/>
                <w:kern w:val="0"/>
                <w:szCs w:val="21"/>
              </w:rPr>
            </w:pPr>
            <w:r>
              <w:rPr>
                <w:rFonts w:ascii="宋体" w:hAnsi="宋体" w:cs="Arial"/>
                <w:bCs/>
                <w:color w:val="000000"/>
                <w:kern w:val="0"/>
                <w:szCs w:val="21"/>
              </w:rPr>
              <w:t>　</w:t>
            </w:r>
            <w:r>
              <w:rPr>
                <w:rFonts w:hint="eastAsia" w:ascii="宋体" w:hAnsi="宋体" w:cs="Arial"/>
                <w:bCs/>
                <w:color w:val="000000"/>
                <w:kern w:val="0"/>
                <w:szCs w:val="21"/>
              </w:rPr>
              <w:t>%</w:t>
            </w:r>
          </w:p>
          <w:p>
            <w:pPr>
              <w:jc w:val="right"/>
              <w:rPr>
                <w:rFonts w:ascii="宋体" w:hAnsi="宋体" w:cs="Arial"/>
                <w:bCs/>
                <w:color w:val="000000"/>
                <w:kern w:val="0"/>
                <w:szCs w:val="21"/>
              </w:rPr>
            </w:pPr>
            <w:r>
              <w:rPr>
                <w:rFonts w:ascii="宋体" w:hAnsi="宋体" w:cs="Arial"/>
                <w:bCs/>
                <w:color w:val="000000"/>
                <w:kern w:val="0"/>
                <w:szCs w:val="21"/>
              </w:rPr>
              <w:t>　</w:t>
            </w:r>
          </w:p>
        </w:tc>
        <w:tc>
          <w:tcPr>
            <w:tcW w:w="2111" w:type="dxa"/>
            <w:vMerge w:val="restart"/>
            <w:tcBorders>
              <w:top w:val="single" w:color="auto" w:sz="4" w:space="0"/>
              <w:left w:val="nil"/>
              <w:right w:val="single" w:color="auto" w:sz="8" w:space="0"/>
            </w:tcBorders>
            <w:shd w:val="clear" w:color="auto" w:fill="auto"/>
            <w:vAlign w:val="center"/>
          </w:tcPr>
          <w:p>
            <w:pPr>
              <w:widowControl/>
              <w:jc w:val="center"/>
              <w:rPr>
                <w:rFonts w:ascii="宋体" w:hAnsi="宋体"/>
                <w:sz w:val="24"/>
                <w:szCs w:val="24"/>
              </w:rPr>
            </w:pPr>
            <w:r>
              <w:rPr>
                <w:rFonts w:hint="eastAsia" w:ascii="宋体" w:hAnsi="宋体"/>
                <w:sz w:val="24"/>
                <w:szCs w:val="24"/>
              </w:rPr>
              <w:t>满足招标文件</w:t>
            </w:r>
          </w:p>
          <w:p>
            <w:pPr>
              <w:widowControl/>
              <w:jc w:val="center"/>
              <w:rPr>
                <w:rFonts w:ascii="宋体" w:hAnsi="宋体" w:cs="宋体"/>
                <w:color w:val="000000"/>
                <w:kern w:val="0"/>
                <w:szCs w:val="21"/>
              </w:rPr>
            </w:pPr>
            <w:r>
              <w:rPr>
                <w:rFonts w:hint="eastAsia" w:ascii="宋体" w:hAnsi="宋体"/>
                <w:sz w:val="24"/>
                <w:szCs w:val="24"/>
              </w:rPr>
              <w:t>要求</w:t>
            </w:r>
          </w:p>
        </w:tc>
      </w:tr>
      <w:tr>
        <w:tblPrEx>
          <w:tblCellMar>
            <w:top w:w="0" w:type="dxa"/>
            <w:left w:w="108" w:type="dxa"/>
            <w:bottom w:w="0" w:type="dxa"/>
            <w:right w:w="108" w:type="dxa"/>
          </w:tblCellMar>
        </w:tblPrEx>
        <w:trPr>
          <w:trHeight w:val="485" w:hRule="atLeast"/>
        </w:trPr>
        <w:tc>
          <w:tcPr>
            <w:tcW w:w="575" w:type="dxa"/>
            <w:tcBorders>
              <w:top w:val="nil"/>
              <w:left w:val="single" w:color="auto" w:sz="8"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2329" w:type="dxa"/>
            <w:tcBorders>
              <w:top w:val="nil"/>
              <w:left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手持对讲机维修费用</w:t>
            </w:r>
            <w:r>
              <w:rPr>
                <w:rFonts w:hint="eastAsia" w:ascii="宋体" w:hAnsi="宋体" w:cs="Arial"/>
                <w:color w:val="000000"/>
                <w:sz w:val="24"/>
              </w:rPr>
              <w:t>（表</w:t>
            </w:r>
            <w:r>
              <w:rPr>
                <w:rFonts w:ascii="宋体" w:hAnsi="宋体" w:cs="Arial"/>
                <w:color w:val="000000"/>
                <w:sz w:val="24"/>
              </w:rPr>
              <w:t>5-2</w:t>
            </w:r>
            <w:r>
              <w:rPr>
                <w:rFonts w:hint="eastAsia" w:ascii="宋体" w:hAnsi="宋体" w:cs="Arial"/>
                <w:color w:val="000000"/>
                <w:sz w:val="24"/>
              </w:rPr>
              <w:t>）</w:t>
            </w:r>
          </w:p>
        </w:tc>
        <w:tc>
          <w:tcPr>
            <w:tcW w:w="1124" w:type="dxa"/>
            <w:vMerge w:val="continue"/>
            <w:tcBorders>
              <w:left w:val="nil"/>
              <w:right w:val="single" w:color="auto" w:sz="4" w:space="0"/>
            </w:tcBorders>
            <w:shd w:val="clear" w:color="auto" w:fill="auto"/>
            <w:vAlign w:val="center"/>
          </w:tcPr>
          <w:p>
            <w:pPr>
              <w:widowControl/>
              <w:rPr>
                <w:rFonts w:ascii="宋体" w:hAnsi="宋体" w:cs="Arial"/>
                <w:color w:val="000000"/>
                <w:kern w:val="0"/>
                <w:szCs w:val="21"/>
              </w:rPr>
            </w:pPr>
          </w:p>
        </w:tc>
        <w:tc>
          <w:tcPr>
            <w:tcW w:w="2599" w:type="dxa"/>
            <w:vMerge w:val="continue"/>
            <w:tcBorders>
              <w:left w:val="nil"/>
              <w:right w:val="single" w:color="auto" w:sz="4" w:space="0"/>
            </w:tcBorders>
            <w:shd w:val="clear" w:color="auto" w:fill="auto"/>
            <w:vAlign w:val="center"/>
          </w:tcPr>
          <w:p>
            <w:pPr>
              <w:jc w:val="right"/>
              <w:rPr>
                <w:rFonts w:ascii="宋体" w:hAnsi="宋体" w:cs="Arial"/>
                <w:bCs/>
                <w:color w:val="000000"/>
                <w:kern w:val="0"/>
                <w:szCs w:val="21"/>
              </w:rPr>
            </w:pPr>
          </w:p>
        </w:tc>
        <w:tc>
          <w:tcPr>
            <w:tcW w:w="2111"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2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应急服务费用</w:t>
            </w:r>
          </w:p>
          <w:p>
            <w:pPr>
              <w:widowControl/>
              <w:jc w:val="center"/>
              <w:rPr>
                <w:rFonts w:ascii="宋体" w:hAnsi="宋体" w:cs="宋体"/>
                <w:bCs/>
                <w:color w:val="000000"/>
                <w:kern w:val="0"/>
                <w:szCs w:val="21"/>
              </w:rPr>
            </w:pPr>
            <w:r>
              <w:rPr>
                <w:rFonts w:hint="eastAsia" w:ascii="宋体" w:hAnsi="宋体" w:cs="Arial"/>
                <w:color w:val="000000"/>
                <w:sz w:val="24"/>
              </w:rPr>
              <w:t>（表</w:t>
            </w:r>
            <w:r>
              <w:rPr>
                <w:rFonts w:ascii="宋体" w:hAnsi="宋体" w:cs="Arial"/>
                <w:color w:val="000000"/>
                <w:sz w:val="24"/>
              </w:rPr>
              <w:t>5-3</w:t>
            </w:r>
            <w:r>
              <w:rPr>
                <w:rFonts w:hint="eastAsia" w:ascii="宋体" w:hAnsi="宋体" w:cs="Arial"/>
                <w:color w:val="000000"/>
                <w:sz w:val="24"/>
              </w:rPr>
              <w:t>）</w:t>
            </w:r>
          </w:p>
        </w:tc>
        <w:tc>
          <w:tcPr>
            <w:tcW w:w="1124" w:type="dxa"/>
            <w:vMerge w:val="continue"/>
            <w:tcBorders>
              <w:left w:val="nil"/>
              <w:bottom w:val="single" w:color="auto" w:sz="4" w:space="0"/>
              <w:right w:val="single" w:color="auto" w:sz="4" w:space="0"/>
            </w:tcBorders>
            <w:shd w:val="clear" w:color="auto" w:fill="auto"/>
            <w:vAlign w:val="center"/>
          </w:tcPr>
          <w:p>
            <w:pPr>
              <w:widowControl/>
              <w:rPr>
                <w:rFonts w:ascii="宋体" w:hAnsi="宋体" w:cs="Arial"/>
                <w:color w:val="000000"/>
                <w:kern w:val="0"/>
                <w:szCs w:val="21"/>
              </w:rPr>
            </w:pPr>
          </w:p>
        </w:tc>
        <w:tc>
          <w:tcPr>
            <w:tcW w:w="2599" w:type="dxa"/>
            <w:vMerge w:val="continue"/>
            <w:tcBorders>
              <w:left w:val="nil"/>
              <w:bottom w:val="single" w:color="auto" w:sz="4" w:space="0"/>
              <w:right w:val="single" w:color="auto" w:sz="4" w:space="0"/>
            </w:tcBorders>
            <w:shd w:val="clear" w:color="auto" w:fill="auto"/>
            <w:vAlign w:val="center"/>
          </w:tcPr>
          <w:p>
            <w:pPr>
              <w:widowControl/>
              <w:jc w:val="right"/>
              <w:rPr>
                <w:rFonts w:ascii="宋体" w:hAnsi="宋体" w:cs="Arial"/>
                <w:bCs/>
                <w:color w:val="000000"/>
                <w:kern w:val="0"/>
                <w:szCs w:val="21"/>
              </w:rPr>
            </w:pPr>
          </w:p>
        </w:tc>
        <w:tc>
          <w:tcPr>
            <w:tcW w:w="2111" w:type="dxa"/>
            <w:vMerge w:val="continue"/>
            <w:tcBorders>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rPr>
            </w:pPr>
          </w:p>
        </w:tc>
      </w:tr>
    </w:tbl>
    <w:p>
      <w:pPr>
        <w:spacing w:line="460" w:lineRule="exact"/>
        <w:ind w:left="985" w:leftChars="-100" w:hanging="1205" w:hangingChars="500"/>
        <w:rPr>
          <w:rFonts w:ascii="宋体" w:hAnsi="宋体" w:cs="Arial"/>
          <w:color w:val="000000"/>
          <w:sz w:val="24"/>
        </w:rPr>
      </w:pPr>
      <w:r>
        <w:rPr>
          <w:rFonts w:hint="eastAsia" w:ascii="宋体" w:hAnsi="宋体"/>
          <w:b/>
          <w:sz w:val="24"/>
        </w:rPr>
        <w:t>说明：</w:t>
      </w:r>
      <w:r>
        <w:rPr>
          <w:rFonts w:hint="eastAsia" w:ascii="宋体" w:hAnsi="宋体" w:cs="Arial"/>
          <w:color w:val="000000"/>
          <w:sz w:val="24"/>
        </w:rPr>
        <w:t>1、L指“各类设备专业检测费用” “手持对讲机维修费用” “应急服务费用”基准单价（含税，元）填报统一的下浮率；</w:t>
      </w:r>
    </w:p>
    <w:p>
      <w:pPr>
        <w:spacing w:line="460" w:lineRule="exact"/>
        <w:ind w:firstLine="480" w:firstLineChars="200"/>
        <w:rPr>
          <w:rFonts w:ascii="宋体" w:hAnsi="宋体" w:cs="Arial"/>
          <w:color w:val="000000"/>
          <w:sz w:val="24"/>
        </w:rPr>
      </w:pPr>
      <w:r>
        <w:rPr>
          <w:rFonts w:hint="eastAsia" w:ascii="宋体" w:hAnsi="宋体" w:cs="Arial"/>
          <w:color w:val="000000"/>
          <w:sz w:val="24"/>
        </w:rPr>
        <w:t>2、下浮率保留两位小数点，如8.31%。</w:t>
      </w:r>
    </w:p>
    <w:p>
      <w:pPr>
        <w:spacing w:line="360" w:lineRule="auto"/>
        <w:rPr>
          <w:rFonts w:ascii="宋体" w:hAnsi="宋体" w:cs="Arial"/>
          <w:b/>
          <w:color w:val="000000"/>
          <w:sz w:val="24"/>
        </w:rPr>
      </w:pPr>
      <w:bookmarkStart w:id="42" w:name="_Toc80110633"/>
      <w:bookmarkStart w:id="43" w:name="_Toc80712000"/>
      <w:bookmarkStart w:id="44" w:name="_Toc80712117"/>
      <w:bookmarkStart w:id="45" w:name="_Toc79398535"/>
      <w:bookmarkStart w:id="46" w:name="_Toc79505363"/>
      <w:bookmarkStart w:id="47" w:name="_Toc80716100"/>
      <w:r>
        <w:rPr>
          <w:rFonts w:ascii="宋体" w:hAnsi="宋体" w:cs="Arial"/>
          <w:b/>
          <w:color w:val="000000"/>
          <w:sz w:val="24"/>
        </w:rPr>
        <w:t>5</w:t>
      </w:r>
      <w:r>
        <w:rPr>
          <w:rFonts w:hint="eastAsia" w:ascii="宋体" w:hAnsi="宋体" w:cs="Arial"/>
          <w:b/>
          <w:color w:val="000000"/>
          <w:sz w:val="24"/>
        </w:rPr>
        <w:t>.1各类设备专业检测内容和报价（表</w:t>
      </w:r>
      <w:r>
        <w:rPr>
          <w:rFonts w:ascii="宋体" w:hAnsi="宋体" w:cs="Arial"/>
          <w:b/>
          <w:color w:val="000000"/>
          <w:sz w:val="24"/>
        </w:rPr>
        <w:t>5-</w:t>
      </w:r>
      <w:r>
        <w:rPr>
          <w:rFonts w:hint="eastAsia" w:ascii="宋体" w:hAnsi="宋体" w:cs="Arial"/>
          <w:b/>
          <w:color w:val="000000"/>
          <w:sz w:val="24"/>
        </w:rPr>
        <w:t>1）</w:t>
      </w:r>
      <w:bookmarkEnd w:id="42"/>
      <w:bookmarkEnd w:id="43"/>
      <w:bookmarkEnd w:id="44"/>
      <w:bookmarkEnd w:id="45"/>
      <w:bookmarkEnd w:id="46"/>
      <w:bookmarkEnd w:id="47"/>
    </w:p>
    <w:p>
      <w:pPr>
        <w:spacing w:line="360" w:lineRule="auto"/>
        <w:ind w:firstLine="480" w:firstLineChars="200"/>
        <w:rPr>
          <w:rFonts w:ascii="宋体" w:hAnsi="宋体" w:cs="Arial"/>
          <w:color w:val="000000"/>
          <w:sz w:val="24"/>
        </w:rPr>
      </w:pPr>
      <w:r>
        <w:rPr>
          <w:rFonts w:hint="eastAsia" w:ascii="宋体" w:hAnsi="宋体" w:cs="Arial"/>
          <w:color w:val="000000"/>
          <w:sz w:val="24"/>
        </w:rPr>
        <w:t>专业检测：当甲方需要对无线对讲系统检测时，投标方根据以下检测内容对系统进行检测，并提交检测报告。</w:t>
      </w:r>
    </w:p>
    <w:tbl>
      <w:tblPr>
        <w:tblStyle w:val="48"/>
        <w:tblW w:w="8959" w:type="dxa"/>
        <w:tblInd w:w="113" w:type="dxa"/>
        <w:tblLayout w:type="autofit"/>
        <w:tblCellMar>
          <w:top w:w="0" w:type="dxa"/>
          <w:left w:w="108" w:type="dxa"/>
          <w:bottom w:w="0" w:type="dxa"/>
          <w:right w:w="108" w:type="dxa"/>
        </w:tblCellMar>
      </w:tblPr>
      <w:tblGrid>
        <w:gridCol w:w="847"/>
        <w:gridCol w:w="1319"/>
        <w:gridCol w:w="3983"/>
        <w:gridCol w:w="825"/>
        <w:gridCol w:w="1985"/>
      </w:tblGrid>
      <w:tr>
        <w:tblPrEx>
          <w:tblCellMar>
            <w:top w:w="0" w:type="dxa"/>
            <w:left w:w="108" w:type="dxa"/>
            <w:bottom w:w="0" w:type="dxa"/>
            <w:right w:w="108" w:type="dxa"/>
          </w:tblCellMar>
        </w:tblPrEx>
        <w:trPr>
          <w:trHeight w:val="940"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序号</w:t>
            </w:r>
          </w:p>
        </w:tc>
        <w:tc>
          <w:tcPr>
            <w:tcW w:w="131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名称</w:t>
            </w:r>
          </w:p>
        </w:tc>
        <w:tc>
          <w:tcPr>
            <w:tcW w:w="398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专业检测内容</w:t>
            </w:r>
          </w:p>
        </w:tc>
        <w:tc>
          <w:tcPr>
            <w:tcW w:w="8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次</w:t>
            </w:r>
            <w:r>
              <w:rPr>
                <w:rFonts w:hint="eastAsia" w:ascii="宋体" w:hAnsi="宋体" w:cs="Arial"/>
                <w:color w:val="000000"/>
                <w:kern w:val="0"/>
                <w:szCs w:val="21"/>
              </w:rPr>
              <w:t>/元</w:t>
            </w:r>
          </w:p>
        </w:tc>
      </w:tr>
      <w:tr>
        <w:tblPrEx>
          <w:tblCellMar>
            <w:top w:w="0" w:type="dxa"/>
            <w:left w:w="108" w:type="dxa"/>
            <w:bottom w:w="0" w:type="dxa"/>
            <w:right w:w="108" w:type="dxa"/>
          </w:tblCellMar>
        </w:tblPrEx>
        <w:trPr>
          <w:trHeight w:val="70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系统常规检测</w:t>
            </w:r>
          </w:p>
        </w:tc>
        <w:tc>
          <w:tcPr>
            <w:tcW w:w="39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设备常规检测：检测系统主设备和基站，以及主系统与天馈、传输，电源等其它相应配套设施的链路，确保设备都完好、工作正常。</w:t>
            </w:r>
          </w:p>
        </w:tc>
        <w:tc>
          <w:tcPr>
            <w:tcW w:w="825" w:type="dxa"/>
            <w:vMerge w:val="restart"/>
            <w:tcBorders>
              <w:top w:val="nil"/>
              <w:left w:val="nil"/>
              <w:right w:val="single" w:color="auto" w:sz="4" w:space="0"/>
            </w:tcBorders>
            <w:shd w:val="clear" w:color="000000" w:fill="FFFFFF"/>
            <w:noWrap/>
            <w:vAlign w:val="center"/>
          </w:tcPr>
          <w:p>
            <w:pPr>
              <w:widowControl/>
              <w:ind w:firstLine="220" w:firstLineChars="100"/>
              <w:rPr>
                <w:rFonts w:ascii="宋体" w:hAnsi="宋体" w:cs="Arial"/>
                <w:color w:val="000000"/>
                <w:kern w:val="0"/>
                <w:szCs w:val="21"/>
              </w:rPr>
            </w:pPr>
            <w:r>
              <w:rPr>
                <w:rFonts w:hint="eastAsia" w:ascii="宋体" w:hAnsi="宋体" w:cs="Arial"/>
                <w:color w:val="000000"/>
                <w:kern w:val="0"/>
                <w:szCs w:val="21"/>
              </w:rPr>
              <w:t>次</w:t>
            </w:r>
          </w:p>
        </w:tc>
        <w:tc>
          <w:tcPr>
            <w:tcW w:w="1985" w:type="dxa"/>
            <w:vMerge w:val="restart"/>
            <w:tcBorders>
              <w:top w:val="nil"/>
              <w:left w:val="nil"/>
              <w:right w:val="single" w:color="auto" w:sz="4" w:space="0"/>
            </w:tcBorders>
            <w:shd w:val="clear" w:color="auto" w:fill="auto"/>
            <w:noWrap/>
            <w:vAlign w:val="center"/>
          </w:tcPr>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10000</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jc w:val="left"/>
              <w:rPr>
                <w:rFonts w:ascii="宋体" w:hAnsi="宋体" w:cs="Arial"/>
                <w:color w:val="000000"/>
                <w:kern w:val="0"/>
                <w:szCs w:val="21"/>
              </w:rPr>
            </w:pPr>
            <w:r>
              <w:rPr>
                <w:rFonts w:ascii="宋体" w:hAnsi="宋体" w:cs="Arial"/>
                <w:color w:val="000000"/>
                <w:kern w:val="0"/>
                <w:szCs w:val="21"/>
              </w:rPr>
              <w:t>　</w:t>
            </w:r>
          </w:p>
        </w:tc>
      </w:tr>
      <w:tr>
        <w:tblPrEx>
          <w:tblCellMar>
            <w:top w:w="0" w:type="dxa"/>
            <w:left w:w="108" w:type="dxa"/>
            <w:bottom w:w="0" w:type="dxa"/>
            <w:right w:w="108" w:type="dxa"/>
          </w:tblCellMar>
        </w:tblPrEx>
        <w:trPr>
          <w:trHeight w:val="102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专业检测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完整、详细地对基站主设备运行、载波的发射功率和频率偏移度进行测试；进行天线驻波比测试；对系统功能、信号输出检测，发现问题或故障及时处理和上报，排除系统隐患。</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407"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设备除尘</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对基站、收发信机、中继台、直放站等设备灰尘清理，对系统中放大器、功分器、天线等前端设备灰尘清理</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73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4</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关键配件检测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对系统中耦合器、功分器、放大器、开关整流器、避雷器进行输出功率测试，保证老化的元件及时更换。</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5</w:t>
            </w:r>
          </w:p>
        </w:tc>
        <w:tc>
          <w:tcPr>
            <w:tcW w:w="13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无线环境检测、无线信号覆盖测试</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无线环境检测：检测基站信号是否受到干扰；</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6</w:t>
            </w: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Cs w:val="21"/>
              </w:rPr>
            </w:pP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无线信号覆盖测试：按照要求用测试软件和专用对讲机现场测量覆盖区通话情况，并记录测试文件，存档待查</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18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7</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终端检测（对讲机）</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检测内容：检测对讲机外观是否破损、开裂，显示是否正常、键盘功能完整，天线是否完好，电池使用时间。通过仪器检测接收灵敏度、发射功率、频偏、调制度等基本技术指标。对存在故障隐患的终端提出送修。</w:t>
            </w:r>
          </w:p>
        </w:tc>
        <w:tc>
          <w:tcPr>
            <w:tcW w:w="825" w:type="dxa"/>
            <w:vMerge w:val="continue"/>
            <w:tcBorders>
              <w:left w:val="nil"/>
              <w:bottom w:val="single" w:color="auto" w:sz="4" w:space="0"/>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p>
        </w:tc>
      </w:tr>
    </w:tbl>
    <w:p>
      <w:pPr>
        <w:spacing w:line="360" w:lineRule="auto"/>
        <w:rPr>
          <w:rFonts w:ascii="宋体" w:hAnsi="宋体" w:cs="Arial"/>
          <w:color w:val="000000"/>
          <w:sz w:val="24"/>
        </w:rPr>
      </w:pPr>
    </w:p>
    <w:p>
      <w:pPr>
        <w:spacing w:line="360" w:lineRule="auto"/>
        <w:rPr>
          <w:rFonts w:ascii="宋体" w:hAnsi="宋体" w:cs="Arial"/>
          <w:color w:val="000000"/>
          <w:sz w:val="24"/>
        </w:rPr>
      </w:pPr>
      <w:r>
        <w:rPr>
          <w:rFonts w:ascii="宋体" w:hAnsi="宋体" w:cs="Arial"/>
          <w:color w:val="000000"/>
          <w:sz w:val="24"/>
        </w:rPr>
        <w:t>5</w:t>
      </w:r>
      <w:r>
        <w:rPr>
          <w:rFonts w:hint="eastAsia" w:ascii="宋体" w:hAnsi="宋体" w:cs="Arial"/>
          <w:color w:val="000000"/>
          <w:sz w:val="24"/>
        </w:rPr>
        <w:t>.2手持对讲设备的维修费用（表</w:t>
      </w:r>
      <w:r>
        <w:rPr>
          <w:rFonts w:ascii="宋体" w:hAnsi="宋体" w:cs="Arial"/>
          <w:color w:val="000000"/>
          <w:sz w:val="24"/>
        </w:rPr>
        <w:t>5-2</w:t>
      </w:r>
      <w:r>
        <w:rPr>
          <w:rFonts w:hint="eastAsia" w:ascii="宋体" w:hAnsi="宋体" w:cs="Arial"/>
          <w:color w:val="000000"/>
          <w:sz w:val="24"/>
        </w:rPr>
        <w:t>）</w:t>
      </w:r>
    </w:p>
    <w:p>
      <w:pPr>
        <w:pStyle w:val="76"/>
        <w:numPr>
          <w:ilvl w:val="0"/>
          <w:numId w:val="10"/>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 xml:space="preserve">摩托罗拉GP338D </w:t>
      </w:r>
      <w:r>
        <w:rPr>
          <w:rFonts w:ascii="宋体" w:hAnsi="宋体" w:eastAsia="宋体" w:cs="Arial"/>
          <w:color w:val="000000"/>
          <w:sz w:val="24"/>
          <w:szCs w:val="20"/>
        </w:rPr>
        <w:t>/</w:t>
      </w:r>
      <w:r>
        <w:rPr>
          <w:rFonts w:hint="eastAsia" w:ascii="宋体" w:hAnsi="宋体" w:eastAsia="宋体" w:cs="Arial"/>
          <w:color w:val="000000"/>
          <w:sz w:val="24"/>
          <w:szCs w:val="20"/>
        </w:rPr>
        <w:t>GP338D</w:t>
      </w:r>
      <w:r>
        <w:rPr>
          <w:rFonts w:ascii="宋体" w:hAnsi="宋体" w:eastAsia="宋体" w:cs="Arial"/>
          <w:color w:val="000000"/>
          <w:sz w:val="24"/>
          <w:szCs w:val="20"/>
        </w:rPr>
        <w:t>+</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-1）</w:t>
      </w:r>
    </w:p>
    <w:tbl>
      <w:tblPr>
        <w:tblStyle w:val="4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4044"/>
        <w:gridCol w:w="202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4044"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故障处理方式</w:t>
            </w:r>
          </w:p>
        </w:tc>
        <w:tc>
          <w:tcPr>
            <w:tcW w:w="2021" w:type="dxa"/>
            <w:shd w:val="clear" w:color="auto" w:fill="auto"/>
            <w:vAlign w:val="center"/>
          </w:tcPr>
          <w:p>
            <w:pPr>
              <w:widowControl/>
              <w:jc w:val="center"/>
              <w:rPr>
                <w:rFonts w:ascii="宋体" w:hAnsi="宋体" w:cs="宋体"/>
                <w:bCs/>
                <w:color w:val="000000"/>
                <w:kern w:val="0"/>
                <w:szCs w:val="21"/>
              </w:rPr>
            </w:pPr>
            <w:r>
              <w:rPr>
                <w:rFonts w:ascii="宋体" w:hAnsi="宋体" w:cs="宋体"/>
                <w:bCs/>
                <w:color w:val="000000"/>
                <w:kern w:val="0"/>
                <w:szCs w:val="21"/>
              </w:rPr>
              <w:t>品牌</w:t>
            </w:r>
          </w:p>
        </w:tc>
        <w:tc>
          <w:tcPr>
            <w:tcW w:w="1770" w:type="dxa"/>
          </w:tcPr>
          <w:p>
            <w:pPr>
              <w:widowControl/>
              <w:jc w:val="center"/>
              <w:rPr>
                <w:rFonts w:ascii="宋体" w:hAnsi="宋体" w:cs="宋体"/>
                <w:bCs/>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台</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维修主板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1755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更换前壳</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更换后铝壳</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更换选件板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785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更换旋钮帽</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软件修复</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p>
        </w:tc>
      </w:tr>
    </w:tbl>
    <w:p>
      <w:pPr>
        <w:pStyle w:val="76"/>
        <w:spacing w:line="360" w:lineRule="auto"/>
        <w:ind w:left="720" w:firstLine="0" w:firstLineChars="0"/>
        <w:rPr>
          <w:rFonts w:ascii="宋体" w:hAnsi="宋体" w:eastAsia="宋体" w:cs="Arial"/>
          <w:color w:val="000000"/>
          <w:sz w:val="24"/>
          <w:szCs w:val="20"/>
        </w:rPr>
      </w:pPr>
    </w:p>
    <w:p>
      <w:pPr>
        <w:pStyle w:val="76"/>
        <w:numPr>
          <w:ilvl w:val="0"/>
          <w:numId w:val="10"/>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x对讲机维修清单（I</w:t>
      </w:r>
      <w:r>
        <w:rPr>
          <w:rFonts w:ascii="宋体" w:hAnsi="宋体" w:eastAsia="宋体" w:cs="Arial"/>
          <w:color w:val="000000"/>
          <w:sz w:val="24"/>
          <w:szCs w:val="20"/>
        </w:rPr>
        <w:t>IC</w:t>
      </w:r>
      <w:r>
        <w:rPr>
          <w:rFonts w:hint="eastAsia" w:ascii="宋体" w:hAnsi="宋体" w:eastAsia="宋体" w:cs="Arial"/>
          <w:color w:val="000000"/>
          <w:sz w:val="24"/>
          <w:szCs w:val="20"/>
        </w:rPr>
        <w:t>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2</w:t>
      </w:r>
      <w:r>
        <w:rPr>
          <w:rFonts w:hint="eastAsia" w:ascii="宋体" w:hAnsi="宋体" w:eastAsia="宋体" w:cs="Arial"/>
          <w:color w:val="000000"/>
          <w:sz w:val="24"/>
          <w:szCs w:val="20"/>
        </w:rPr>
        <w:t>）</w:t>
      </w:r>
    </w:p>
    <w:tbl>
      <w:tblPr>
        <w:tblStyle w:val="48"/>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4037"/>
        <w:gridCol w:w="191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4037"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1916"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1756"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037" w:type="dxa"/>
            <w:shd w:val="clear" w:color="auto" w:fill="auto"/>
            <w:vAlign w:val="center"/>
          </w:tcPr>
          <w:p>
            <w:pPr>
              <w:widowControl/>
              <w:jc w:val="center"/>
              <w:rPr>
                <w:rFonts w:ascii="宋体" w:hAnsi="宋体" w:cs="宋体"/>
                <w:color w:val="000000"/>
                <w:kern w:val="0"/>
                <w:szCs w:val="21"/>
                <w:highlight w:val="yellow"/>
              </w:rPr>
            </w:pPr>
            <w:r>
              <w:rPr>
                <w:rFonts w:ascii="宋体" w:hAnsi="宋体" w:cs="宋体"/>
                <w:color w:val="000000"/>
                <w:kern w:val="0"/>
                <w:szCs w:val="21"/>
              </w:rPr>
              <w:t>更换主板</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更换前壳</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更换旋钮帽</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软件修复</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180</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4037"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r>
              <w:rPr>
                <w:rFonts w:hint="eastAsia" w:ascii="宋体" w:hAnsi="宋体" w:cs="宋体"/>
                <w:color w:val="000000"/>
                <w:kern w:val="0"/>
                <w:szCs w:val="21"/>
              </w:rPr>
              <w:t>　</w:t>
            </w:r>
          </w:p>
        </w:tc>
      </w:tr>
    </w:tbl>
    <w:p>
      <w:pPr>
        <w:spacing w:line="360" w:lineRule="auto"/>
        <w:rPr>
          <w:b/>
          <w:sz w:val="24"/>
          <w:szCs w:val="24"/>
          <w:lang w:val="en-GB"/>
        </w:rPr>
      </w:pPr>
      <w:bookmarkStart w:id="48" w:name="_Toc79398536"/>
    </w:p>
    <w:p>
      <w:pPr>
        <w:spacing w:line="360" w:lineRule="auto"/>
        <w:rPr>
          <w:b/>
          <w:sz w:val="24"/>
          <w:szCs w:val="24"/>
          <w:lang w:val="en-GB"/>
        </w:rPr>
      </w:pPr>
      <w:r>
        <w:rPr>
          <w:b/>
          <w:sz w:val="24"/>
          <w:szCs w:val="24"/>
          <w:lang w:val="en-GB"/>
        </w:rPr>
        <w:t>5.3</w:t>
      </w:r>
      <w:r>
        <w:rPr>
          <w:rFonts w:hint="eastAsia"/>
          <w:b/>
          <w:sz w:val="24"/>
          <w:szCs w:val="24"/>
          <w:lang w:val="en-GB"/>
        </w:rPr>
        <w:t>应急服务内容及报价.（表5-</w:t>
      </w:r>
      <w:r>
        <w:rPr>
          <w:b/>
          <w:sz w:val="24"/>
          <w:szCs w:val="24"/>
          <w:lang w:val="en-GB"/>
        </w:rPr>
        <w:t>3</w:t>
      </w:r>
      <w:r>
        <w:rPr>
          <w:rFonts w:hint="eastAsia"/>
          <w:b/>
          <w:sz w:val="24"/>
          <w:szCs w:val="24"/>
          <w:lang w:val="en-GB"/>
        </w:rPr>
        <w:t>）</w:t>
      </w:r>
      <w:bookmarkEnd w:id="48"/>
    </w:p>
    <w:tbl>
      <w:tblPr>
        <w:tblStyle w:val="49"/>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83"/>
        <w:gridCol w:w="4264"/>
        <w:gridCol w:w="8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16" w:type="dxa"/>
            <w:vAlign w:val="bottom"/>
          </w:tcPr>
          <w:p>
            <w:pPr>
              <w:adjustRightInd w:val="0"/>
              <w:snapToGrid w:val="0"/>
              <w:spacing w:line="360" w:lineRule="auto"/>
              <w:jc w:val="center"/>
              <w:outlineLvl w:val="1"/>
              <w:rPr>
                <w:rFonts w:ascii="Arial" w:hAnsi="Arial" w:cs="Arial"/>
                <w:b/>
                <w:kern w:val="0"/>
                <w:sz w:val="21"/>
                <w:szCs w:val="21"/>
              </w:rPr>
            </w:pPr>
            <w:bookmarkStart w:id="49" w:name="_Toc80716101"/>
            <w:bookmarkStart w:id="50" w:name="_Toc80712118"/>
            <w:bookmarkStart w:id="51" w:name="_Toc80110634"/>
            <w:bookmarkStart w:id="52" w:name="_Toc79398537"/>
            <w:bookmarkStart w:id="53" w:name="_Toc80712001"/>
            <w:bookmarkStart w:id="54" w:name="_Toc79505364"/>
            <w:r>
              <w:rPr>
                <w:rFonts w:hint="eastAsia" w:ascii="宋体" w:hAnsi="宋体" w:cs="宋体"/>
                <w:b/>
                <w:bCs/>
                <w:color w:val="000000"/>
                <w:kern w:val="0"/>
                <w:sz w:val="21"/>
                <w:szCs w:val="21"/>
              </w:rPr>
              <w:t>序号</w:t>
            </w:r>
            <w:bookmarkEnd w:id="49"/>
            <w:bookmarkEnd w:id="50"/>
            <w:bookmarkEnd w:id="51"/>
            <w:bookmarkEnd w:id="52"/>
            <w:bookmarkEnd w:id="53"/>
            <w:bookmarkEnd w:id="54"/>
          </w:p>
        </w:tc>
        <w:tc>
          <w:tcPr>
            <w:tcW w:w="1183" w:type="dxa"/>
            <w:vAlign w:val="bottom"/>
          </w:tcPr>
          <w:p>
            <w:pPr>
              <w:adjustRightInd w:val="0"/>
              <w:snapToGrid w:val="0"/>
              <w:spacing w:line="360" w:lineRule="auto"/>
              <w:jc w:val="center"/>
              <w:outlineLvl w:val="1"/>
              <w:rPr>
                <w:rFonts w:ascii="Arial" w:hAnsi="Arial" w:cs="Arial"/>
                <w:b/>
                <w:kern w:val="0"/>
                <w:sz w:val="21"/>
                <w:szCs w:val="21"/>
              </w:rPr>
            </w:pPr>
            <w:bookmarkStart w:id="55" w:name="_Toc79505365"/>
            <w:bookmarkStart w:id="56" w:name="_Toc80712002"/>
            <w:bookmarkStart w:id="57" w:name="_Toc79398538"/>
            <w:bookmarkStart w:id="58" w:name="_Toc80716102"/>
            <w:bookmarkStart w:id="59" w:name="_Toc80110635"/>
            <w:bookmarkStart w:id="60" w:name="_Toc80712119"/>
            <w:r>
              <w:rPr>
                <w:rFonts w:hint="eastAsia" w:ascii="宋体" w:hAnsi="宋体" w:cs="Arial"/>
                <w:b/>
                <w:bCs/>
                <w:color w:val="000000"/>
                <w:kern w:val="0"/>
                <w:sz w:val="21"/>
                <w:szCs w:val="21"/>
              </w:rPr>
              <w:t>名称</w:t>
            </w:r>
            <w:bookmarkEnd w:id="55"/>
            <w:bookmarkEnd w:id="56"/>
            <w:bookmarkEnd w:id="57"/>
            <w:bookmarkEnd w:id="58"/>
            <w:bookmarkEnd w:id="59"/>
            <w:bookmarkEnd w:id="60"/>
          </w:p>
        </w:tc>
        <w:tc>
          <w:tcPr>
            <w:tcW w:w="4264" w:type="dxa"/>
            <w:vAlign w:val="bottom"/>
          </w:tcPr>
          <w:p>
            <w:pPr>
              <w:adjustRightInd w:val="0"/>
              <w:snapToGrid w:val="0"/>
              <w:spacing w:line="360" w:lineRule="auto"/>
              <w:jc w:val="center"/>
              <w:outlineLvl w:val="1"/>
              <w:rPr>
                <w:rFonts w:ascii="Arial" w:hAnsi="Arial" w:cs="Arial"/>
                <w:b/>
                <w:kern w:val="0"/>
                <w:sz w:val="21"/>
                <w:szCs w:val="21"/>
              </w:rPr>
            </w:pPr>
            <w:bookmarkStart w:id="61" w:name="_Toc80716103"/>
            <w:bookmarkStart w:id="62" w:name="_Toc79398539"/>
            <w:bookmarkStart w:id="63" w:name="_Toc79505366"/>
            <w:bookmarkStart w:id="64" w:name="_Toc80110636"/>
            <w:bookmarkStart w:id="65" w:name="_Toc80712120"/>
            <w:bookmarkStart w:id="66" w:name="_Toc80712003"/>
            <w:r>
              <w:rPr>
                <w:rFonts w:hint="eastAsia" w:ascii="宋体" w:hAnsi="宋体" w:cs="Arial"/>
                <w:b/>
                <w:bCs/>
                <w:color w:val="000000"/>
                <w:kern w:val="0"/>
                <w:sz w:val="21"/>
                <w:szCs w:val="21"/>
              </w:rPr>
              <w:t>专业检测内容</w:t>
            </w:r>
            <w:bookmarkEnd w:id="61"/>
            <w:bookmarkEnd w:id="62"/>
            <w:bookmarkEnd w:id="63"/>
            <w:bookmarkEnd w:id="64"/>
            <w:bookmarkEnd w:id="65"/>
            <w:bookmarkEnd w:id="66"/>
          </w:p>
        </w:tc>
        <w:tc>
          <w:tcPr>
            <w:tcW w:w="850" w:type="dxa"/>
            <w:vAlign w:val="bottom"/>
          </w:tcPr>
          <w:p>
            <w:pPr>
              <w:adjustRightInd w:val="0"/>
              <w:snapToGrid w:val="0"/>
              <w:spacing w:line="360" w:lineRule="auto"/>
              <w:jc w:val="center"/>
              <w:outlineLvl w:val="1"/>
              <w:rPr>
                <w:rFonts w:ascii="Arial" w:hAnsi="Arial" w:cs="Arial"/>
                <w:b/>
                <w:kern w:val="0"/>
                <w:sz w:val="21"/>
                <w:szCs w:val="21"/>
              </w:rPr>
            </w:pPr>
            <w:bookmarkStart w:id="67" w:name="_Toc80716104"/>
            <w:bookmarkStart w:id="68" w:name="_Toc80110637"/>
            <w:bookmarkStart w:id="69" w:name="_Toc79398540"/>
            <w:bookmarkStart w:id="70" w:name="_Toc80712004"/>
            <w:bookmarkStart w:id="71" w:name="_Toc79505367"/>
            <w:bookmarkStart w:id="72" w:name="_Toc80712121"/>
            <w:r>
              <w:rPr>
                <w:rFonts w:hint="eastAsia" w:ascii="宋体" w:hAnsi="宋体" w:cs="Arial"/>
                <w:b/>
                <w:bCs/>
                <w:color w:val="000000"/>
                <w:kern w:val="0"/>
                <w:sz w:val="21"/>
                <w:szCs w:val="21"/>
              </w:rPr>
              <w:t>单位</w:t>
            </w:r>
            <w:bookmarkEnd w:id="67"/>
            <w:bookmarkEnd w:id="68"/>
            <w:bookmarkEnd w:id="69"/>
            <w:bookmarkEnd w:id="70"/>
            <w:bookmarkEnd w:id="71"/>
            <w:bookmarkEnd w:id="72"/>
          </w:p>
        </w:tc>
        <w:tc>
          <w:tcPr>
            <w:tcW w:w="1448"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0"/>
                <w:szCs w:val="21"/>
              </w:rPr>
              <w:t>基准价.</w:t>
            </w:r>
            <w:r>
              <w:rPr>
                <w:rFonts w:ascii="宋体" w:hAnsi="宋体" w:cs="Arial"/>
                <w:color w:val="000000"/>
                <w:kern w:val="0"/>
                <w:sz w:val="20"/>
                <w:szCs w:val="21"/>
              </w:rPr>
              <w:t>次</w:t>
            </w:r>
            <w:r>
              <w:rPr>
                <w:rFonts w:hint="eastAsia" w:ascii="宋体" w:hAnsi="宋体" w:cs="Arial"/>
                <w:color w:val="000000"/>
                <w:kern w:val="0"/>
                <w:sz w:val="2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216" w:type="dxa"/>
            <w:vAlign w:val="center"/>
          </w:tcPr>
          <w:p>
            <w:pPr>
              <w:adjustRightInd w:val="0"/>
              <w:snapToGrid w:val="0"/>
              <w:spacing w:line="360" w:lineRule="auto"/>
              <w:jc w:val="center"/>
              <w:outlineLvl w:val="1"/>
              <w:rPr>
                <w:rFonts w:ascii="Arial" w:hAnsi="Arial" w:cs="Arial"/>
                <w:b/>
                <w:kern w:val="0"/>
                <w:sz w:val="21"/>
                <w:szCs w:val="21"/>
              </w:rPr>
            </w:pPr>
            <w:bookmarkStart w:id="73" w:name="_Toc80712007"/>
            <w:bookmarkStart w:id="74" w:name="_Toc79505370"/>
            <w:bookmarkStart w:id="75" w:name="_Toc80716107"/>
            <w:bookmarkStart w:id="76" w:name="_Toc80712124"/>
            <w:bookmarkStart w:id="77" w:name="_Toc80110640"/>
            <w:bookmarkStart w:id="78" w:name="_Toc79398543"/>
            <w:r>
              <w:rPr>
                <w:rFonts w:hint="eastAsia" w:ascii="宋体" w:hAnsi="宋体" w:cs="Arial"/>
                <w:color w:val="000000"/>
                <w:kern w:val="0"/>
                <w:sz w:val="21"/>
                <w:szCs w:val="21"/>
              </w:rPr>
              <w:t>1</w:t>
            </w:r>
            <w:bookmarkEnd w:id="73"/>
            <w:bookmarkEnd w:id="74"/>
            <w:bookmarkEnd w:id="75"/>
            <w:bookmarkEnd w:id="76"/>
            <w:bookmarkEnd w:id="77"/>
            <w:bookmarkEnd w:id="78"/>
          </w:p>
        </w:tc>
        <w:tc>
          <w:tcPr>
            <w:tcW w:w="1183" w:type="dxa"/>
            <w:vAlign w:val="center"/>
          </w:tcPr>
          <w:p>
            <w:pPr>
              <w:adjustRightInd w:val="0"/>
              <w:snapToGrid w:val="0"/>
              <w:spacing w:line="360" w:lineRule="auto"/>
              <w:outlineLvl w:val="1"/>
              <w:rPr>
                <w:rFonts w:ascii="Arial" w:hAnsi="Arial" w:cs="Arial"/>
                <w:b/>
                <w:kern w:val="0"/>
                <w:sz w:val="21"/>
                <w:szCs w:val="21"/>
              </w:rPr>
            </w:pPr>
            <w:bookmarkStart w:id="79" w:name="_Toc80110641"/>
            <w:bookmarkStart w:id="80" w:name="_Toc79505371"/>
            <w:bookmarkStart w:id="81" w:name="_Toc80716108"/>
            <w:bookmarkStart w:id="82" w:name="_Toc80712008"/>
            <w:bookmarkStart w:id="83" w:name="_Toc79398544"/>
            <w:bookmarkStart w:id="84" w:name="_Toc80712125"/>
            <w:r>
              <w:rPr>
                <w:rFonts w:hint="eastAsia" w:ascii="宋体" w:hAnsi="宋体" w:cs="Arial"/>
                <w:color w:val="000000"/>
                <w:kern w:val="0"/>
                <w:sz w:val="21"/>
                <w:szCs w:val="21"/>
              </w:rPr>
              <w:t>紧急现场服务</w:t>
            </w:r>
            <w:bookmarkEnd w:id="79"/>
            <w:bookmarkEnd w:id="80"/>
            <w:bookmarkEnd w:id="81"/>
            <w:bookmarkEnd w:id="82"/>
            <w:bookmarkEnd w:id="83"/>
            <w:bookmarkEnd w:id="84"/>
          </w:p>
        </w:tc>
        <w:tc>
          <w:tcPr>
            <w:tcW w:w="4264" w:type="dxa"/>
            <w:vAlign w:val="center"/>
          </w:tcPr>
          <w:p>
            <w:pPr>
              <w:adjustRightInd w:val="0"/>
              <w:snapToGrid w:val="0"/>
              <w:spacing w:line="360" w:lineRule="auto"/>
              <w:outlineLvl w:val="1"/>
              <w:rPr>
                <w:rFonts w:ascii="Arial" w:hAnsi="Arial" w:cs="Arial"/>
                <w:b/>
                <w:kern w:val="0"/>
                <w:sz w:val="21"/>
                <w:szCs w:val="21"/>
              </w:rPr>
            </w:pPr>
            <w:bookmarkStart w:id="85" w:name="_Toc80110642"/>
            <w:bookmarkStart w:id="86" w:name="_Toc80712009"/>
            <w:bookmarkStart w:id="87" w:name="_Toc80712126"/>
            <w:bookmarkStart w:id="88" w:name="_Toc79505372"/>
            <w:bookmarkStart w:id="89" w:name="_Toc79398545"/>
            <w:bookmarkStart w:id="90" w:name="_Toc80716109"/>
            <w:r>
              <w:rPr>
                <w:rFonts w:hint="eastAsia" w:ascii="宋体" w:hAnsi="宋体" w:cs="Arial"/>
                <w:color w:val="000000"/>
                <w:kern w:val="0"/>
                <w:sz w:val="21"/>
                <w:szCs w:val="21"/>
              </w:rPr>
              <w:t>基站遇到重大问题，电话支持无法解决时，用户启动厂家现场服务后，原厂工程师动身并尽量在最短的时间内到达现场。工程师在现场研究问题，直至找到问题的解决方案并完成系统故障修复，在现场服务完成后提供此次服务的完整故障抢修过程和处理记录，紧急服务的本地现场服务有效时间为全年</w:t>
            </w:r>
            <w:r>
              <w:rPr>
                <w:rFonts w:ascii="宋体" w:hAnsi="宋体" w:cs="Arial"/>
                <w:color w:val="000000"/>
                <w:kern w:val="0"/>
                <w:sz w:val="21"/>
                <w:szCs w:val="21"/>
              </w:rPr>
              <w:t>7*24</w:t>
            </w:r>
            <w:r>
              <w:rPr>
                <w:rFonts w:hint="eastAsia" w:ascii="宋体" w:hAnsi="宋体" w:cs="Arial"/>
                <w:color w:val="000000"/>
                <w:kern w:val="0"/>
                <w:sz w:val="21"/>
                <w:szCs w:val="21"/>
              </w:rPr>
              <w:t>小时</w:t>
            </w:r>
            <w:bookmarkEnd w:id="85"/>
            <w:bookmarkEnd w:id="86"/>
            <w:bookmarkEnd w:id="87"/>
            <w:bookmarkEnd w:id="88"/>
            <w:bookmarkEnd w:id="89"/>
            <w:bookmarkEnd w:id="90"/>
          </w:p>
        </w:tc>
        <w:tc>
          <w:tcPr>
            <w:tcW w:w="850" w:type="dxa"/>
            <w:vMerge w:val="restart"/>
            <w:vAlign w:val="center"/>
          </w:tcPr>
          <w:p>
            <w:pPr>
              <w:adjustRightInd w:val="0"/>
              <w:snapToGrid w:val="0"/>
              <w:spacing w:line="360" w:lineRule="auto"/>
              <w:jc w:val="center"/>
              <w:outlineLvl w:val="1"/>
              <w:rPr>
                <w:rFonts w:ascii="Arial" w:hAnsi="Arial" w:cs="Arial"/>
                <w:b/>
                <w:kern w:val="0"/>
                <w:sz w:val="21"/>
                <w:szCs w:val="21"/>
              </w:rPr>
            </w:pPr>
            <w:bookmarkStart w:id="91" w:name="_Toc80712010"/>
            <w:bookmarkStart w:id="92" w:name="_Toc80712127"/>
            <w:bookmarkStart w:id="93" w:name="_Toc80716110"/>
            <w:r>
              <w:rPr>
                <w:rFonts w:hint="eastAsia" w:ascii="宋体" w:hAnsi="宋体" w:cs="Arial"/>
                <w:color w:val="000000"/>
                <w:kern w:val="0"/>
                <w:sz w:val="21"/>
                <w:szCs w:val="21"/>
              </w:rPr>
              <w:t>次</w:t>
            </w:r>
            <w:bookmarkEnd w:id="91"/>
            <w:bookmarkEnd w:id="92"/>
            <w:bookmarkEnd w:id="93"/>
          </w:p>
        </w:tc>
        <w:tc>
          <w:tcPr>
            <w:tcW w:w="1448" w:type="dxa"/>
            <w:vMerge w:val="restart"/>
            <w:vAlign w:val="center"/>
          </w:tcPr>
          <w:p>
            <w:pPr>
              <w:adjustRightInd w:val="0"/>
              <w:snapToGrid w:val="0"/>
              <w:spacing w:line="360" w:lineRule="auto"/>
              <w:outlineLvl w:val="1"/>
              <w:rPr>
                <w:rFonts w:ascii="Arial" w:hAnsi="Arial" w:cs="Arial"/>
                <w:b/>
                <w:kern w:val="0"/>
                <w:sz w:val="21"/>
                <w:szCs w:val="21"/>
              </w:rPr>
            </w:pPr>
            <w:r>
              <w:rPr>
                <w:rFonts w:ascii="宋体" w:hAnsi="宋体" w:cs="Arial"/>
                <w:color w:val="000000"/>
                <w:kern w:val="0"/>
                <w:sz w:val="21"/>
                <w:szCs w:val="21"/>
              </w:rPr>
              <w:t>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16" w:type="dxa"/>
            <w:vAlign w:val="center"/>
          </w:tcPr>
          <w:p>
            <w:pPr>
              <w:adjustRightInd w:val="0"/>
              <w:snapToGrid w:val="0"/>
              <w:spacing w:line="360" w:lineRule="auto"/>
              <w:jc w:val="center"/>
              <w:outlineLvl w:val="1"/>
              <w:rPr>
                <w:rFonts w:ascii="宋体" w:hAnsi="宋体" w:cs="Arial"/>
                <w:color w:val="000000"/>
                <w:kern w:val="0"/>
                <w:sz w:val="21"/>
                <w:szCs w:val="21"/>
              </w:rPr>
            </w:pPr>
            <w:bookmarkStart w:id="94" w:name="_Toc80716111"/>
            <w:bookmarkStart w:id="95" w:name="_Toc80712128"/>
            <w:bookmarkStart w:id="96" w:name="_Toc80110645"/>
            <w:bookmarkStart w:id="97" w:name="_Toc80712011"/>
            <w:bookmarkStart w:id="98" w:name="_Toc79398548"/>
            <w:bookmarkStart w:id="99" w:name="_Toc79505375"/>
            <w:r>
              <w:rPr>
                <w:rFonts w:hint="eastAsia" w:ascii="宋体" w:hAnsi="宋体" w:cs="Arial"/>
                <w:kern w:val="0"/>
                <w:sz w:val="21"/>
                <w:szCs w:val="21"/>
              </w:rPr>
              <w:t>2</w:t>
            </w:r>
            <w:bookmarkEnd w:id="94"/>
            <w:bookmarkEnd w:id="95"/>
            <w:bookmarkEnd w:id="96"/>
            <w:bookmarkEnd w:id="97"/>
            <w:bookmarkEnd w:id="98"/>
            <w:bookmarkEnd w:id="99"/>
          </w:p>
        </w:tc>
        <w:tc>
          <w:tcPr>
            <w:tcW w:w="1183" w:type="dxa"/>
            <w:vAlign w:val="center"/>
          </w:tcPr>
          <w:p>
            <w:pPr>
              <w:adjustRightInd w:val="0"/>
              <w:snapToGrid w:val="0"/>
              <w:spacing w:line="360" w:lineRule="auto"/>
              <w:outlineLvl w:val="1"/>
              <w:rPr>
                <w:rFonts w:ascii="宋体" w:hAnsi="宋体" w:cs="Arial"/>
                <w:color w:val="000000"/>
                <w:kern w:val="0"/>
                <w:sz w:val="21"/>
                <w:szCs w:val="21"/>
              </w:rPr>
            </w:pPr>
            <w:bookmarkStart w:id="100" w:name="_Toc80712129"/>
            <w:bookmarkStart w:id="101" w:name="_Toc80712012"/>
            <w:bookmarkStart w:id="102" w:name="_Toc80716112"/>
            <w:bookmarkStart w:id="103" w:name="_Toc79505376"/>
            <w:bookmarkStart w:id="104" w:name="_Toc79398549"/>
            <w:bookmarkStart w:id="105" w:name="_Toc80110646"/>
            <w:r>
              <w:rPr>
                <w:rFonts w:ascii="宋体" w:hAnsi="宋体" w:cs="Arial"/>
                <w:color w:val="000000"/>
                <w:kern w:val="0"/>
                <w:sz w:val="21"/>
                <w:szCs w:val="21"/>
              </w:rPr>
              <w:t>应急</w:t>
            </w:r>
            <w:r>
              <w:rPr>
                <w:rFonts w:hint="eastAsia" w:ascii="宋体" w:hAnsi="宋体" w:cs="Arial"/>
                <w:color w:val="000000"/>
                <w:kern w:val="0"/>
                <w:sz w:val="21"/>
                <w:szCs w:val="21"/>
              </w:rPr>
              <w:t>服务</w:t>
            </w:r>
            <w:bookmarkEnd w:id="100"/>
            <w:bookmarkEnd w:id="101"/>
            <w:bookmarkEnd w:id="102"/>
            <w:bookmarkEnd w:id="103"/>
            <w:bookmarkEnd w:id="104"/>
            <w:bookmarkEnd w:id="105"/>
          </w:p>
        </w:tc>
        <w:tc>
          <w:tcPr>
            <w:tcW w:w="4264" w:type="dxa"/>
            <w:vAlign w:val="center"/>
          </w:tcPr>
          <w:p>
            <w:pPr>
              <w:adjustRightInd w:val="0"/>
              <w:snapToGrid w:val="0"/>
              <w:spacing w:line="360" w:lineRule="auto"/>
              <w:outlineLvl w:val="1"/>
              <w:rPr>
                <w:rFonts w:ascii="宋体" w:hAnsi="宋体" w:cs="Arial"/>
                <w:color w:val="000000"/>
                <w:kern w:val="0"/>
                <w:sz w:val="21"/>
                <w:szCs w:val="21"/>
              </w:rPr>
            </w:pPr>
            <w:bookmarkStart w:id="106" w:name="_Toc80712130"/>
            <w:bookmarkStart w:id="107" w:name="_Toc79398550"/>
            <w:bookmarkStart w:id="108" w:name="_Toc80110647"/>
            <w:bookmarkStart w:id="109" w:name="_Toc79505377"/>
            <w:bookmarkStart w:id="110" w:name="_Toc80712013"/>
            <w:bookmarkStart w:id="111" w:name="_Toc80716113"/>
            <w:r>
              <w:rPr>
                <w:rFonts w:ascii="宋体" w:hAnsi="宋体" w:cs="Arial"/>
                <w:color w:val="000000"/>
                <w:kern w:val="0"/>
                <w:sz w:val="21"/>
                <w:szCs w:val="21"/>
              </w:rPr>
              <w:t>厂方如遇极端天气或其它紧急事件需应急加强通信保障，提前介入检查各通信基站运行情况及配合用户制定应急预案，派员及携带预案中可能使用的相关设备及器材参与24小时值班，直至事件结束。</w:t>
            </w:r>
            <w:bookmarkEnd w:id="106"/>
            <w:bookmarkEnd w:id="107"/>
            <w:bookmarkEnd w:id="108"/>
            <w:bookmarkEnd w:id="109"/>
            <w:bookmarkEnd w:id="110"/>
            <w:bookmarkEnd w:id="111"/>
          </w:p>
        </w:tc>
        <w:tc>
          <w:tcPr>
            <w:tcW w:w="850" w:type="dxa"/>
            <w:vMerge w:val="continue"/>
            <w:vAlign w:val="center"/>
          </w:tcPr>
          <w:p>
            <w:pPr>
              <w:adjustRightInd w:val="0"/>
              <w:snapToGrid w:val="0"/>
              <w:spacing w:line="360" w:lineRule="auto"/>
              <w:outlineLvl w:val="1"/>
              <w:rPr>
                <w:rFonts w:ascii="宋体" w:hAnsi="宋体" w:cs="Arial"/>
                <w:color w:val="000000"/>
                <w:kern w:val="0"/>
                <w:sz w:val="21"/>
                <w:szCs w:val="21"/>
              </w:rPr>
            </w:pPr>
          </w:p>
        </w:tc>
        <w:tc>
          <w:tcPr>
            <w:tcW w:w="1448" w:type="dxa"/>
            <w:vMerge w:val="continue"/>
            <w:vAlign w:val="center"/>
          </w:tcPr>
          <w:p>
            <w:pPr>
              <w:adjustRightInd w:val="0"/>
              <w:snapToGrid w:val="0"/>
              <w:spacing w:line="360" w:lineRule="auto"/>
              <w:outlineLvl w:val="1"/>
              <w:rPr>
                <w:rFonts w:ascii="宋体" w:hAnsi="宋体" w:cs="Arial"/>
                <w:color w:val="000000"/>
                <w:kern w:val="0"/>
                <w:sz w:val="21"/>
                <w:szCs w:val="21"/>
              </w:rPr>
            </w:pPr>
          </w:p>
        </w:tc>
      </w:tr>
    </w:tbl>
    <w:p>
      <w:pPr>
        <w:adjustRightInd w:val="0"/>
        <w:snapToGrid w:val="0"/>
        <w:spacing w:line="360" w:lineRule="auto"/>
        <w:outlineLvl w:val="1"/>
        <w:rPr>
          <w:b/>
          <w:sz w:val="24"/>
          <w:szCs w:val="24"/>
          <w:lang w:val="en-GB"/>
        </w:rPr>
      </w:pPr>
      <w:bookmarkStart w:id="112" w:name="_Toc80712131"/>
      <w:bookmarkStart w:id="113" w:name="_Toc80716114"/>
      <w:bookmarkStart w:id="114" w:name="_Toc80712014"/>
      <w:bookmarkStart w:id="115" w:name="_Toc79505378"/>
      <w:bookmarkStart w:id="116" w:name="_Toc79398551"/>
      <w:r>
        <w:rPr>
          <w:b/>
          <w:sz w:val="24"/>
          <w:szCs w:val="24"/>
          <w:lang w:val="en-GB"/>
        </w:rPr>
        <w:t>5.4</w:t>
      </w:r>
      <w:bookmarkStart w:id="117" w:name="_Toc391555054"/>
      <w:bookmarkStart w:id="118" w:name="_Toc387665746"/>
      <w:bookmarkStart w:id="119" w:name="_Toc275371646"/>
      <w:bookmarkStart w:id="120" w:name="_Toc217376862"/>
      <w:bookmarkStart w:id="121" w:name="_Toc271707399"/>
      <w:bookmarkStart w:id="122" w:name="_Toc203211182"/>
      <w:bookmarkStart w:id="123" w:name="_Toc231812188"/>
      <w:bookmarkStart w:id="124" w:name="_Toc271628036"/>
      <w:bookmarkStart w:id="125" w:name="_Toc214272857"/>
      <w:bookmarkStart w:id="126" w:name="_Toc235418945"/>
      <w:bookmarkStart w:id="127" w:name="_Toc220325187"/>
      <w:bookmarkStart w:id="128" w:name="_Toc242868841"/>
      <w:bookmarkStart w:id="129" w:name="_Toc220230528"/>
      <w:bookmarkStart w:id="130" w:name="_Toc214691446"/>
      <w:bookmarkStart w:id="131" w:name="_Toc242868899"/>
      <w:bookmarkStart w:id="132" w:name="_Toc217463007"/>
      <w:bookmarkStart w:id="133" w:name="_Toc214691863"/>
      <w:bookmarkStart w:id="134" w:name="_Toc225328490"/>
      <w:bookmarkStart w:id="135" w:name="_Toc233519574"/>
      <w:bookmarkStart w:id="136" w:name="_Toc223926907"/>
      <w:bookmarkStart w:id="137" w:name="_Toc229889980"/>
      <w:bookmarkStart w:id="138" w:name="_Toc214965367"/>
      <w:bookmarkStart w:id="139" w:name="_Toc209859687"/>
      <w:bookmarkStart w:id="140" w:name="_Toc232239113"/>
      <w:bookmarkStart w:id="141" w:name="_Toc229890110"/>
      <w:bookmarkStart w:id="142" w:name="_Toc217462851"/>
      <w:bookmarkStart w:id="143" w:name="_Toc217462948"/>
      <w:bookmarkStart w:id="144" w:name="_Toc229292193"/>
      <w:bookmarkStart w:id="145" w:name="_Toc214272604"/>
      <w:bookmarkStart w:id="146" w:name="_Toc231812128"/>
      <w:bookmarkStart w:id="147" w:name="_Toc217376767"/>
      <w:bookmarkStart w:id="148" w:name="_Toc217376314"/>
      <w:bookmarkStart w:id="149" w:name="_Toc214272924"/>
      <w:bookmarkStart w:id="150" w:name="_Toc223426569"/>
      <w:bookmarkStart w:id="151" w:name="_Toc209859850"/>
      <w:bookmarkStart w:id="152" w:name="_Toc217376959"/>
      <w:bookmarkStart w:id="153" w:name="_Toc214965256"/>
      <w:bookmarkStart w:id="154" w:name="_Toc229890052"/>
      <w:bookmarkStart w:id="155" w:name="_Toc214691351"/>
      <w:r>
        <w:rPr>
          <w:rFonts w:hint="eastAsia"/>
          <w:b/>
          <w:sz w:val="24"/>
          <w:szCs w:val="24"/>
          <w:lang w:val="en-GB"/>
        </w:rPr>
        <w:t>维保</w:t>
      </w:r>
      <w:r>
        <w:rPr>
          <w:b/>
          <w:sz w:val="24"/>
          <w:szCs w:val="24"/>
          <w:lang w:val="en-GB"/>
        </w:rPr>
        <w:t>方联系方式</w:t>
      </w:r>
      <w:bookmarkEnd w:id="112"/>
      <w:bookmarkEnd w:id="113"/>
      <w:bookmarkEnd w:id="114"/>
      <w:bookmarkEnd w:id="115"/>
      <w:bookmarkEnd w:id="116"/>
      <w:r>
        <w:rPr>
          <w:b/>
          <w:sz w:val="24"/>
          <w:szCs w:val="24"/>
          <w:lang w:val="en-GB"/>
        </w:rPr>
        <w:t xml:space="preserve"> </w:t>
      </w:r>
      <w:bookmarkEnd w:id="117"/>
      <w:bookmarkEnd w:id="118"/>
      <w:bookmarkEnd w:id="119"/>
    </w:p>
    <w:p>
      <w:pPr>
        <w:adjustRightInd w:val="0"/>
        <w:snapToGrid w:val="0"/>
        <w:spacing w:line="360" w:lineRule="auto"/>
        <w:rPr>
          <w:rFonts w:ascii="宋体" w:hAnsi="宋体" w:cs="Arial"/>
          <w:color w:val="000000"/>
          <w:sz w:val="24"/>
        </w:rPr>
      </w:pPr>
      <w:r>
        <w:rPr>
          <w:rFonts w:ascii="宋体" w:hAnsi="宋体" w:cs="Arial"/>
          <w:color w:val="000000"/>
          <w:sz w:val="24"/>
        </w:rPr>
        <w:t>维修方名称：XXXXXXXXXXXXXXXXXXX</w:t>
      </w:r>
    </w:p>
    <w:p>
      <w:pPr>
        <w:adjustRightInd w:val="0"/>
        <w:snapToGrid w:val="0"/>
        <w:spacing w:line="360" w:lineRule="auto"/>
        <w:rPr>
          <w:rFonts w:ascii="宋体" w:hAnsi="宋体" w:cs="Arial"/>
          <w:color w:val="000000"/>
          <w:sz w:val="24"/>
        </w:rPr>
      </w:pPr>
      <w:r>
        <w:rPr>
          <w:rFonts w:ascii="宋体" w:hAnsi="宋体" w:cs="Arial"/>
          <w:color w:val="000000"/>
          <w:sz w:val="24"/>
        </w:rPr>
        <w:t>地址：XXXXXXXXXXXXXXXXXXX  邮编： XXXXXXXXXXXX</w:t>
      </w:r>
    </w:p>
    <w:p>
      <w:pPr>
        <w:adjustRightInd w:val="0"/>
        <w:snapToGrid w:val="0"/>
        <w:spacing w:line="360" w:lineRule="auto"/>
        <w:rPr>
          <w:rFonts w:ascii="宋体" w:hAnsi="宋体" w:cs="Arial"/>
          <w:color w:val="000000"/>
          <w:sz w:val="24"/>
        </w:rPr>
      </w:pPr>
      <w:r>
        <w:rPr>
          <w:rFonts w:ascii="宋体" w:hAnsi="宋体" w:cs="Arial"/>
          <w:color w:val="000000"/>
          <w:sz w:val="24"/>
        </w:rPr>
        <w:t>联系方式：XXXXXXXXXXXXXXXXXXXX传真：XXXXXXXXXXXXXXXXX</w:t>
      </w:r>
    </w:p>
    <w:p>
      <w:pPr>
        <w:adjustRightInd w:val="0"/>
        <w:snapToGrid w:val="0"/>
        <w:spacing w:line="360" w:lineRule="auto"/>
        <w:rPr>
          <w:rFonts w:ascii="宋体" w:hAnsi="宋体" w:cs="Arial"/>
          <w:color w:val="000000"/>
          <w:sz w:val="24"/>
        </w:rPr>
      </w:pPr>
      <w:r>
        <w:rPr>
          <w:rFonts w:ascii="宋体" w:hAnsi="宋体" w:cs="Arial"/>
          <w:color w:val="000000"/>
          <w:sz w:val="24"/>
        </w:rPr>
        <w:t>维修人员列表：</w:t>
      </w:r>
    </w:p>
    <w:p>
      <w:pPr>
        <w:adjustRightInd w:val="0"/>
        <w:snapToGrid w:val="0"/>
        <w:spacing w:line="360" w:lineRule="auto"/>
        <w:rPr>
          <w:rFonts w:ascii="Arial" w:hAnsi="宋体" w:cs="Arial"/>
          <w:sz w:val="24"/>
        </w:rPr>
      </w:pPr>
      <w:r>
        <w:rPr>
          <w:rFonts w:ascii="宋体" w:hAnsi="宋体" w:cs="Arial"/>
          <w:color w:val="000000"/>
          <w:sz w:val="24"/>
        </w:rPr>
        <w:t>维修人员应向甲方报备</w:t>
      </w:r>
      <w:r>
        <w:rPr>
          <w:rFonts w:hint="eastAsia" w:ascii="宋体" w:hAnsi="宋体" w:cs="Arial"/>
          <w:color w:val="000000"/>
          <w:sz w:val="24"/>
        </w:rPr>
        <w:t>，</w:t>
      </w:r>
      <w:r>
        <w:rPr>
          <w:rFonts w:ascii="宋体" w:hAnsi="宋体" w:cs="Arial"/>
          <w:color w:val="000000"/>
          <w:sz w:val="24"/>
        </w:rPr>
        <w:t>报备人员需具有良好的技术服务能力，能够提供快速的服务响应</w:t>
      </w:r>
      <w:r>
        <w:rPr>
          <w:rFonts w:ascii="Arial" w:hAnsi="宋体" w:cs="Arial"/>
          <w:sz w:val="24"/>
        </w:rPr>
        <w:t>。</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13"/>
        <w:gridCol w:w="2019"/>
        <w:gridCol w:w="363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26" w:type="dxa"/>
            <w:gridSpan w:val="5"/>
            <w:vAlign w:val="center"/>
          </w:tcPr>
          <w:p>
            <w:pPr>
              <w:adjustRightInd w:val="0"/>
              <w:snapToGrid w:val="0"/>
              <w:jc w:val="center"/>
              <w:rPr>
                <w:rFonts w:ascii="Arial" w:hAnsi="Arial" w:cs="Arial"/>
                <w:szCs w:val="21"/>
              </w:rPr>
            </w:pPr>
            <w:r>
              <w:rPr>
                <w:rFonts w:ascii="Arial" w:hAnsi="宋体" w:cs="Arial"/>
                <w:szCs w:val="21"/>
              </w:rPr>
              <w:t>售后服务人员一览表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宋体" w:cs="Arial"/>
                <w:szCs w:val="21"/>
              </w:rPr>
              <w:t>序号</w:t>
            </w:r>
          </w:p>
        </w:tc>
        <w:tc>
          <w:tcPr>
            <w:tcW w:w="1013" w:type="dxa"/>
            <w:vAlign w:val="center"/>
          </w:tcPr>
          <w:p>
            <w:pPr>
              <w:adjustRightInd w:val="0"/>
              <w:snapToGrid w:val="0"/>
              <w:rPr>
                <w:rFonts w:ascii="Arial" w:hAnsi="Arial" w:cs="Arial"/>
                <w:szCs w:val="21"/>
              </w:rPr>
            </w:pPr>
            <w:r>
              <w:rPr>
                <w:rFonts w:ascii="Arial" w:hAnsi="宋体" w:cs="Arial"/>
                <w:szCs w:val="21"/>
              </w:rPr>
              <w:t>姓名</w:t>
            </w:r>
          </w:p>
        </w:tc>
        <w:tc>
          <w:tcPr>
            <w:tcW w:w="2019" w:type="dxa"/>
            <w:vAlign w:val="center"/>
          </w:tcPr>
          <w:p>
            <w:pPr>
              <w:adjustRightInd w:val="0"/>
              <w:snapToGrid w:val="0"/>
              <w:rPr>
                <w:rFonts w:ascii="Arial" w:hAnsi="Arial" w:cs="Arial"/>
                <w:szCs w:val="21"/>
              </w:rPr>
            </w:pPr>
            <w:r>
              <w:rPr>
                <w:rFonts w:ascii="Arial" w:hAnsi="宋体" w:cs="Arial"/>
                <w:szCs w:val="21"/>
              </w:rPr>
              <w:t>职位</w:t>
            </w:r>
          </w:p>
        </w:tc>
        <w:tc>
          <w:tcPr>
            <w:tcW w:w="3637" w:type="dxa"/>
            <w:vAlign w:val="center"/>
          </w:tcPr>
          <w:p>
            <w:pPr>
              <w:adjustRightInd w:val="0"/>
              <w:snapToGrid w:val="0"/>
              <w:rPr>
                <w:rFonts w:ascii="Arial" w:hAnsi="Arial" w:cs="Arial"/>
                <w:szCs w:val="21"/>
              </w:rPr>
            </w:pPr>
            <w:r>
              <w:rPr>
                <w:rFonts w:ascii="Arial" w:hAnsi="宋体" w:cs="Arial"/>
                <w:szCs w:val="21"/>
              </w:rPr>
              <w:t>工作内容</w:t>
            </w:r>
          </w:p>
        </w:tc>
        <w:tc>
          <w:tcPr>
            <w:tcW w:w="1549" w:type="dxa"/>
            <w:vAlign w:val="center"/>
          </w:tcPr>
          <w:p>
            <w:pPr>
              <w:adjustRightInd w:val="0"/>
              <w:snapToGrid w:val="0"/>
              <w:rPr>
                <w:rFonts w:ascii="Arial" w:hAnsi="Arial" w:cs="Arial"/>
                <w:szCs w:val="21"/>
              </w:rPr>
            </w:pPr>
            <w:r>
              <w:rPr>
                <w:rFonts w:ascii="Arial" w:hAnsi="宋体" w:cs="Arial"/>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1</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项目经理</w:t>
            </w:r>
          </w:p>
        </w:tc>
        <w:tc>
          <w:tcPr>
            <w:tcW w:w="3637" w:type="dxa"/>
            <w:vAlign w:val="center"/>
          </w:tcPr>
          <w:p>
            <w:pPr>
              <w:adjustRightInd w:val="0"/>
              <w:snapToGrid w:val="0"/>
              <w:rPr>
                <w:rFonts w:ascii="Arial" w:hAnsi="Arial" w:cs="Arial"/>
                <w:szCs w:val="21"/>
              </w:rPr>
            </w:pPr>
            <w:r>
              <w:rPr>
                <w:rFonts w:ascii="Arial" w:hAnsi="宋体" w:cs="Arial"/>
                <w:szCs w:val="21"/>
              </w:rPr>
              <w:t>维修服务总体负责人</w:t>
            </w:r>
          </w:p>
        </w:tc>
        <w:tc>
          <w:tcPr>
            <w:tcW w:w="1549" w:type="dxa"/>
            <w:vAlign w:val="center"/>
          </w:tcPr>
          <w:p>
            <w:pPr>
              <w:adjustRightInd w:val="0"/>
              <w:snapToGrid w:val="0"/>
              <w:rPr>
                <w:rFonts w:ascii="Arial" w:hAnsi="Arial" w:cs="Arial"/>
                <w:szCs w:val="21"/>
              </w:rPr>
            </w:pPr>
            <w:r>
              <w:rPr>
                <w:rFonts w:ascii="Arial" w:hAnsi="Arial" w:cs="Arial"/>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2</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技术工程师</w:t>
            </w:r>
          </w:p>
        </w:tc>
        <w:tc>
          <w:tcPr>
            <w:tcW w:w="3637" w:type="dxa"/>
            <w:vAlign w:val="center"/>
          </w:tcPr>
          <w:p>
            <w:pPr>
              <w:adjustRightInd w:val="0"/>
              <w:snapToGrid w:val="0"/>
              <w:rPr>
                <w:rFonts w:ascii="Arial" w:hAnsi="Arial" w:cs="Arial"/>
                <w:szCs w:val="21"/>
              </w:rPr>
            </w:pPr>
            <w:r>
              <w:rPr>
                <w:rFonts w:ascii="Arial" w:hAnsi="宋体" w:cs="Arial"/>
                <w:szCs w:val="21"/>
              </w:rPr>
              <w:t>系统、终端维修</w:t>
            </w:r>
          </w:p>
        </w:tc>
        <w:tc>
          <w:tcPr>
            <w:tcW w:w="1549" w:type="dxa"/>
            <w:vAlign w:val="center"/>
          </w:tcPr>
          <w:p>
            <w:pPr>
              <w:adjustRightInd w:val="0"/>
              <w:snapToGrid w:val="0"/>
              <w:rPr>
                <w:rFonts w:ascii="Arial" w:hAnsi="Arial" w:cs="Arial"/>
                <w:szCs w:val="21"/>
              </w:rPr>
            </w:pPr>
            <w:r>
              <w:rPr>
                <w:rFonts w:ascii="Arial" w:hAnsi="Arial" w:cs="Arial"/>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3</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技术工程师</w:t>
            </w:r>
          </w:p>
        </w:tc>
        <w:tc>
          <w:tcPr>
            <w:tcW w:w="3637" w:type="dxa"/>
          </w:tcPr>
          <w:p>
            <w:pPr>
              <w:adjustRightInd w:val="0"/>
              <w:snapToGrid w:val="0"/>
              <w:rPr>
                <w:rFonts w:ascii="Arial" w:hAnsi="Arial" w:cs="Arial"/>
                <w:szCs w:val="21"/>
              </w:rPr>
            </w:pPr>
            <w:r>
              <w:rPr>
                <w:rFonts w:ascii="Arial" w:hAnsi="宋体" w:cs="Arial"/>
                <w:szCs w:val="21"/>
              </w:rPr>
              <w:t>系统、终端维修</w:t>
            </w:r>
          </w:p>
        </w:tc>
        <w:tc>
          <w:tcPr>
            <w:tcW w:w="1549" w:type="dxa"/>
            <w:vAlign w:val="center"/>
          </w:tcPr>
          <w:p>
            <w:pPr>
              <w:adjustRightInd w:val="0"/>
              <w:snapToGrid w:val="0"/>
              <w:rPr>
                <w:rFonts w:ascii="Arial" w:hAnsi="Arial" w:cs="Arial"/>
                <w:szCs w:val="21"/>
              </w:rPr>
            </w:pPr>
            <w:r>
              <w:rPr>
                <w:rFonts w:ascii="Arial" w:hAnsi="Arial" w:cs="Arial"/>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4</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技术工程师</w:t>
            </w:r>
          </w:p>
        </w:tc>
        <w:tc>
          <w:tcPr>
            <w:tcW w:w="3637" w:type="dxa"/>
          </w:tcPr>
          <w:p>
            <w:pPr>
              <w:adjustRightInd w:val="0"/>
              <w:snapToGrid w:val="0"/>
              <w:rPr>
                <w:rFonts w:ascii="Arial" w:hAnsi="Arial" w:cs="Arial"/>
                <w:szCs w:val="21"/>
              </w:rPr>
            </w:pPr>
            <w:r>
              <w:rPr>
                <w:rFonts w:ascii="Arial" w:hAnsi="宋体" w:cs="Arial"/>
                <w:szCs w:val="21"/>
              </w:rPr>
              <w:t>系统、终端维修</w:t>
            </w:r>
          </w:p>
        </w:tc>
        <w:tc>
          <w:tcPr>
            <w:tcW w:w="1549" w:type="dxa"/>
            <w:vAlign w:val="center"/>
          </w:tcPr>
          <w:p>
            <w:pPr>
              <w:adjustRightInd w:val="0"/>
              <w:snapToGrid w:val="0"/>
              <w:rPr>
                <w:rFonts w:ascii="Arial" w:hAnsi="Arial" w:cs="Arial"/>
                <w:szCs w:val="21"/>
              </w:rPr>
            </w:pPr>
            <w:r>
              <w:rPr>
                <w:rFonts w:ascii="Arial" w:hAnsi="Arial" w:cs="Arial"/>
                <w:szCs w:val="21"/>
              </w:rPr>
              <w:t>X</w:t>
            </w:r>
          </w:p>
        </w:tc>
      </w:t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tbl>
    <w:p>
      <w:pPr>
        <w:pStyle w:val="76"/>
        <w:tabs>
          <w:tab w:val="left" w:pos="3700"/>
        </w:tabs>
        <w:snapToGrid w:val="0"/>
        <w:ind w:firstLine="0" w:firstLineChars="0"/>
        <w:rPr>
          <w:rFonts w:ascii="Arial" w:hAnsi="Arial" w:cs="Arial"/>
          <w:b/>
          <w:sz w:val="28"/>
          <w:szCs w:val="28"/>
        </w:rPr>
      </w:pPr>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156" w:name="_Toc80716115"/>
      <w:r>
        <w:rPr>
          <w:rFonts w:hint="eastAsia" w:ascii="宋体" w:hAnsi="宋体" w:eastAsia="宋体" w:cs="Arial"/>
          <w:b/>
          <w:color w:val="000000"/>
          <w:kern w:val="0"/>
          <w:sz w:val="28"/>
          <w:szCs w:val="28"/>
        </w:rPr>
        <w:t>评审方法</w:t>
      </w:r>
      <w:bookmarkEnd w:id="156"/>
    </w:p>
    <w:p>
      <w:pPr>
        <w:pStyle w:val="76"/>
        <w:numPr>
          <w:ilvl w:val="0"/>
          <w:numId w:val="11"/>
        </w:numPr>
        <w:tabs>
          <w:tab w:val="left" w:pos="3700"/>
        </w:tabs>
        <w:snapToGrid w:val="0"/>
        <w:spacing w:line="360" w:lineRule="auto"/>
        <w:ind w:firstLineChars="0"/>
        <w:rPr>
          <w:rFonts w:ascii="宋体" w:hAnsi="宋体" w:eastAsia="宋体" w:cs="Arial"/>
          <w:color w:val="000000"/>
          <w:sz w:val="24"/>
          <w:szCs w:val="20"/>
        </w:rPr>
      </w:pPr>
      <w:r>
        <w:rPr>
          <w:rFonts w:ascii="宋体" w:hAnsi="宋体" w:eastAsia="宋体" w:cs="Arial"/>
          <w:color w:val="000000"/>
          <w:sz w:val="24"/>
          <w:szCs w:val="20"/>
        </w:rPr>
        <w:t>各分项分值分配如下：（满分100分）</w:t>
      </w:r>
    </w:p>
    <w:p>
      <w:pPr>
        <w:pStyle w:val="76"/>
        <w:tabs>
          <w:tab w:val="left" w:pos="3700"/>
        </w:tabs>
        <w:snapToGrid w:val="0"/>
        <w:spacing w:line="360" w:lineRule="auto"/>
        <w:ind w:firstLine="0" w:firstLineChars="0"/>
        <w:rPr>
          <w:rFonts w:ascii="宋体" w:hAnsi="宋体" w:eastAsia="宋体" w:cs="Arial"/>
          <w:color w:val="000000"/>
          <w:sz w:val="24"/>
          <w:szCs w:val="20"/>
        </w:rPr>
      </w:pPr>
      <w:r>
        <w:rPr>
          <w:rFonts w:hint="eastAsia" w:ascii="宋体" w:hAnsi="宋体" w:eastAsia="宋体" w:cs="Arial"/>
          <w:color w:val="000000"/>
          <w:sz w:val="24"/>
          <w:szCs w:val="20"/>
        </w:rPr>
        <w:t>（1）P</w:t>
      </w:r>
      <w:r>
        <w:rPr>
          <w:rFonts w:ascii="宋体" w:hAnsi="宋体" w:eastAsia="宋体" w:cs="Arial"/>
          <w:color w:val="000000"/>
          <w:sz w:val="24"/>
          <w:szCs w:val="20"/>
        </w:rPr>
        <w:t>T:</w:t>
      </w:r>
      <w:r>
        <w:rPr>
          <w:rFonts w:hint="eastAsia" w:ascii="宋体" w:hAnsi="宋体" w:eastAsia="宋体" w:cs="Arial"/>
          <w:color w:val="000000"/>
          <w:sz w:val="24"/>
          <w:szCs w:val="20"/>
        </w:rPr>
        <w:t xml:space="preserve">技术部分评分 </w:t>
      </w:r>
      <w:r>
        <w:rPr>
          <w:rFonts w:ascii="宋体" w:hAnsi="宋体" w:eastAsia="宋体" w:cs="Arial"/>
          <w:color w:val="000000"/>
          <w:sz w:val="24"/>
          <w:szCs w:val="20"/>
        </w:rPr>
        <w:t xml:space="preserve">        满分35分；</w:t>
      </w:r>
    </w:p>
    <w:p>
      <w:pPr>
        <w:pStyle w:val="76"/>
        <w:tabs>
          <w:tab w:val="left" w:pos="3700"/>
        </w:tabs>
        <w:snapToGrid w:val="0"/>
        <w:spacing w:line="360" w:lineRule="auto"/>
        <w:ind w:firstLine="0" w:firstLineChars="0"/>
        <w:rPr>
          <w:rFonts w:ascii="宋体" w:hAnsi="宋体" w:eastAsia="宋体" w:cs="Arial"/>
          <w:color w:val="000000"/>
          <w:sz w:val="24"/>
          <w:szCs w:val="20"/>
        </w:rPr>
      </w:pPr>
      <w:r>
        <w:rPr>
          <w:rFonts w:hint="eastAsia" w:ascii="宋体" w:hAnsi="宋体" w:eastAsia="宋体" w:cs="Arial"/>
          <w:color w:val="000000"/>
          <w:sz w:val="24"/>
          <w:szCs w:val="20"/>
        </w:rPr>
        <w:t>（2）P</w:t>
      </w:r>
      <w:r>
        <w:rPr>
          <w:rFonts w:ascii="宋体" w:hAnsi="宋体" w:eastAsia="宋体" w:cs="Arial"/>
          <w:color w:val="000000"/>
          <w:sz w:val="24"/>
          <w:szCs w:val="20"/>
        </w:rPr>
        <w:t>F:</w:t>
      </w:r>
      <w:r>
        <w:rPr>
          <w:rFonts w:hint="eastAsia" w:ascii="宋体" w:hAnsi="宋体" w:eastAsia="宋体" w:cs="Arial"/>
          <w:color w:val="000000"/>
          <w:sz w:val="24"/>
          <w:szCs w:val="20"/>
        </w:rPr>
        <w:t xml:space="preserve">商务报价部分评分 </w:t>
      </w:r>
      <w:r>
        <w:rPr>
          <w:rFonts w:ascii="宋体" w:hAnsi="宋体" w:eastAsia="宋体" w:cs="Arial"/>
          <w:color w:val="000000"/>
          <w:sz w:val="24"/>
          <w:szCs w:val="20"/>
        </w:rPr>
        <w:t xml:space="preserve">    满分 </w:t>
      </w:r>
      <w:r>
        <w:rPr>
          <w:rFonts w:hint="eastAsia" w:ascii="宋体" w:hAnsi="宋体" w:eastAsia="宋体" w:cs="Arial"/>
          <w:color w:val="000000"/>
          <w:sz w:val="24"/>
          <w:szCs w:val="20"/>
        </w:rPr>
        <w:t>6</w:t>
      </w:r>
      <w:r>
        <w:rPr>
          <w:rFonts w:ascii="宋体" w:hAnsi="宋体" w:eastAsia="宋体" w:cs="Arial"/>
          <w:color w:val="000000"/>
          <w:sz w:val="24"/>
          <w:szCs w:val="20"/>
        </w:rPr>
        <w:t>5</w:t>
      </w:r>
      <w:r>
        <w:rPr>
          <w:rFonts w:hint="eastAsia" w:ascii="宋体" w:hAnsi="宋体" w:eastAsia="宋体" w:cs="Arial"/>
          <w:color w:val="000000"/>
          <w:sz w:val="24"/>
          <w:szCs w:val="20"/>
        </w:rPr>
        <w:t>分。</w:t>
      </w:r>
      <w:r>
        <w:rPr>
          <w:rFonts w:ascii="宋体" w:hAnsi="宋体" w:eastAsia="宋体" w:cs="Arial"/>
          <w:color w:val="000000"/>
          <w:sz w:val="24"/>
          <w:szCs w:val="20"/>
        </w:rPr>
        <w:t xml:space="preserve"> </w:t>
      </w:r>
    </w:p>
    <w:p>
      <w:pPr>
        <w:pStyle w:val="76"/>
        <w:tabs>
          <w:tab w:val="left" w:pos="3700"/>
        </w:tabs>
        <w:snapToGrid w:val="0"/>
        <w:spacing w:line="360" w:lineRule="auto"/>
        <w:ind w:left="480" w:hanging="480" w:hangingChars="200"/>
        <w:rPr>
          <w:rFonts w:ascii="宋体" w:hAnsi="宋体" w:eastAsia="宋体" w:cs="Arial"/>
          <w:color w:val="000000"/>
          <w:sz w:val="24"/>
          <w:szCs w:val="20"/>
        </w:rPr>
      </w:pPr>
      <w:r>
        <w:rPr>
          <w:rFonts w:hint="eastAsia" w:ascii="宋体" w:hAnsi="宋体" w:eastAsia="宋体" w:cs="Arial"/>
          <w:color w:val="000000"/>
          <w:sz w:val="24"/>
          <w:szCs w:val="20"/>
        </w:rPr>
        <w:t>注:①PT和P</w:t>
      </w:r>
      <w:r>
        <w:rPr>
          <w:rFonts w:ascii="宋体" w:hAnsi="宋体" w:eastAsia="宋体" w:cs="Arial"/>
          <w:color w:val="000000"/>
          <w:sz w:val="24"/>
          <w:szCs w:val="20"/>
        </w:rPr>
        <w:t>F</w:t>
      </w:r>
      <w:r>
        <w:rPr>
          <w:rFonts w:hint="eastAsia" w:ascii="宋体" w:hAnsi="宋体" w:eastAsia="宋体" w:cs="Arial"/>
          <w:color w:val="000000"/>
          <w:sz w:val="24"/>
          <w:szCs w:val="20"/>
        </w:rPr>
        <w:t>部分的最终得分为各个评标委员会评分的算术平均值，并四舍五入取小数点后2位数。②评标委员会评分取小数点后1位数。</w:t>
      </w:r>
    </w:p>
    <w:p>
      <w:pPr>
        <w:pStyle w:val="76"/>
        <w:tabs>
          <w:tab w:val="left" w:pos="3700"/>
        </w:tabs>
        <w:snapToGrid w:val="0"/>
        <w:spacing w:line="360" w:lineRule="auto"/>
        <w:ind w:firstLine="480"/>
        <w:rPr>
          <w:rFonts w:ascii="宋体" w:hAnsi="宋体" w:eastAsia="宋体" w:cs="Arial"/>
          <w:color w:val="000000"/>
          <w:sz w:val="24"/>
          <w:szCs w:val="20"/>
        </w:rPr>
      </w:pPr>
      <w:r>
        <w:rPr>
          <w:rFonts w:hint="eastAsia" w:ascii="宋体" w:hAnsi="宋体" w:eastAsia="宋体" w:cs="Arial"/>
          <w:color w:val="000000"/>
          <w:sz w:val="24"/>
          <w:szCs w:val="20"/>
        </w:rPr>
        <w:t>综合得分：P＝PT＋P</w:t>
      </w:r>
      <w:r>
        <w:rPr>
          <w:rFonts w:ascii="宋体" w:hAnsi="宋体" w:eastAsia="宋体" w:cs="Arial"/>
          <w:color w:val="000000"/>
          <w:sz w:val="24"/>
          <w:szCs w:val="20"/>
        </w:rPr>
        <w:t>F</w:t>
      </w:r>
    </w:p>
    <w:p>
      <w:pPr>
        <w:pStyle w:val="76"/>
        <w:numPr>
          <w:ilvl w:val="0"/>
          <w:numId w:val="11"/>
        </w:numPr>
        <w:tabs>
          <w:tab w:val="left" w:pos="3700"/>
        </w:tabs>
        <w:snapToGrid w:val="0"/>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技术部分评分</w:t>
      </w:r>
      <w:r>
        <w:rPr>
          <w:rFonts w:ascii="宋体" w:hAnsi="宋体" w:eastAsia="宋体" w:cs="Arial"/>
          <w:color w:val="000000"/>
          <w:sz w:val="24"/>
          <w:szCs w:val="20"/>
        </w:rPr>
        <w:t>PT</w:t>
      </w:r>
      <w:r>
        <w:rPr>
          <w:rFonts w:hint="eastAsia" w:ascii="宋体" w:hAnsi="宋体" w:eastAsia="宋体" w:cs="Arial"/>
          <w:color w:val="000000"/>
          <w:sz w:val="24"/>
          <w:szCs w:val="20"/>
        </w:rPr>
        <w:t xml:space="preserve"> </w:t>
      </w:r>
      <w:r>
        <w:rPr>
          <w:rFonts w:ascii="宋体" w:hAnsi="宋体" w:eastAsia="宋体" w:cs="Arial"/>
          <w:color w:val="000000"/>
          <w:sz w:val="24"/>
          <w:szCs w:val="20"/>
        </w:rPr>
        <w:t xml:space="preserve">  满分35分</w:t>
      </w:r>
    </w:p>
    <w:tbl>
      <w:tblPr>
        <w:tblStyle w:val="48"/>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60"/>
        <w:gridCol w:w="1352"/>
        <w:gridCol w:w="598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06" w:hRule="atLeast"/>
          <w:tblHeader/>
          <w:jc w:val="center"/>
        </w:trPr>
        <w:tc>
          <w:tcPr>
            <w:tcW w:w="760"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序号</w:t>
            </w:r>
          </w:p>
        </w:tc>
        <w:tc>
          <w:tcPr>
            <w:tcW w:w="1352"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评审内容</w:t>
            </w:r>
          </w:p>
        </w:tc>
        <w:tc>
          <w:tcPr>
            <w:tcW w:w="5988"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评分细则</w:t>
            </w:r>
          </w:p>
        </w:tc>
        <w:tc>
          <w:tcPr>
            <w:tcW w:w="812"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ascii="Arial" w:hAnsi="Arial" w:cs="Arial"/>
                <w:szCs w:val="21"/>
                <w:lang w:val="zh-CN"/>
              </w:rPr>
              <w:t>1</w:t>
            </w:r>
          </w:p>
        </w:tc>
        <w:tc>
          <w:tcPr>
            <w:tcW w:w="1352"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资质等级 (满分</w:t>
            </w:r>
            <w:r>
              <w:rPr>
                <w:rFonts w:ascii="Arial" w:hAnsi="宋体" w:cs="Arial"/>
                <w:color w:val="000000"/>
                <w:szCs w:val="21"/>
              </w:rPr>
              <w:t>5</w:t>
            </w:r>
            <w:r>
              <w:rPr>
                <w:rFonts w:hint="eastAsia" w:ascii="Arial" w:hAnsi="宋体" w:cs="Arial"/>
                <w:color w:val="000000"/>
                <w:szCs w:val="21"/>
              </w:rPr>
              <w:t>分)</w:t>
            </w:r>
          </w:p>
        </w:tc>
        <w:tc>
          <w:tcPr>
            <w:tcW w:w="5988" w:type="dxa"/>
            <w:vAlign w:val="center"/>
          </w:tcPr>
          <w:p>
            <w:pPr>
              <w:spacing w:line="360" w:lineRule="auto"/>
              <w:rPr>
                <w:rFonts w:ascii="Arial" w:hAnsi="宋体" w:cs="Arial"/>
                <w:color w:val="000000"/>
                <w:szCs w:val="21"/>
              </w:rPr>
            </w:pPr>
            <w:r>
              <w:rPr>
                <w:rFonts w:hint="eastAsia" w:ascii="Arial" w:hAnsi="宋体" w:cs="Arial"/>
                <w:color w:val="000000"/>
                <w:szCs w:val="21"/>
              </w:rPr>
              <w:t>持有制造商摩托罗拉针对此项目售后维修服务授权</w:t>
            </w:r>
            <w:r>
              <w:rPr>
                <w:rFonts w:ascii="Arial" w:hAnsi="宋体" w:cs="Arial"/>
                <w:color w:val="000000"/>
                <w:szCs w:val="21"/>
              </w:rPr>
              <w:t>5</w:t>
            </w:r>
            <w:r>
              <w:rPr>
                <w:rFonts w:hint="eastAsia" w:ascii="Arial" w:hAnsi="宋体" w:cs="Arial"/>
                <w:color w:val="000000"/>
                <w:szCs w:val="21"/>
              </w:rPr>
              <w:t>分，没有摩托罗拉制造商上述证明函不符合此项目要求，不推荐为中标人，并不在往下评分。</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w:t>
            </w:r>
            <w:r>
              <w:rPr>
                <w:rFonts w:hint="eastAsia" w:ascii="宋体" w:hAnsi="宋体" w:cs="Arial"/>
                <w:szCs w:val="21"/>
                <w:lang w:val="zh-CN"/>
              </w:rPr>
              <w:t>-</w:t>
            </w:r>
            <w:r>
              <w:rPr>
                <w:rFonts w:ascii="宋体" w:hAnsi="宋体" w:cs="Arial"/>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ascii="Arial" w:hAnsi="Arial" w:cs="Arial"/>
                <w:szCs w:val="21"/>
                <w:lang w:val="zh-CN"/>
              </w:rPr>
              <w:t>2</w:t>
            </w:r>
          </w:p>
        </w:tc>
        <w:tc>
          <w:tcPr>
            <w:tcW w:w="1352"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注册资本 (满分</w:t>
            </w:r>
            <w:r>
              <w:rPr>
                <w:rFonts w:ascii="Arial" w:hAnsi="宋体" w:cs="Arial"/>
                <w:color w:val="000000" w:themeColor="text1"/>
                <w:szCs w:val="21"/>
              </w:rPr>
              <w:t>10</w:t>
            </w:r>
            <w:r>
              <w:rPr>
                <w:rFonts w:hint="eastAsia" w:ascii="Arial" w:hAnsi="宋体" w:cs="Arial"/>
                <w:color w:val="000000"/>
                <w:szCs w:val="21"/>
              </w:rPr>
              <w:t>分)</w:t>
            </w:r>
          </w:p>
        </w:tc>
        <w:tc>
          <w:tcPr>
            <w:tcW w:w="5988" w:type="dxa"/>
            <w:vAlign w:val="center"/>
          </w:tcPr>
          <w:p>
            <w:pPr>
              <w:spacing w:line="360" w:lineRule="auto"/>
              <w:rPr>
                <w:rFonts w:ascii="Arial" w:hAnsi="宋体" w:cs="Arial"/>
                <w:color w:val="000000"/>
                <w:szCs w:val="21"/>
              </w:rPr>
            </w:pPr>
            <w:r>
              <w:rPr>
                <w:rFonts w:hint="eastAsia" w:ascii="Arial" w:hAnsi="宋体" w:cs="Arial"/>
                <w:color w:val="000000"/>
                <w:szCs w:val="21"/>
              </w:rPr>
              <w:t>注册资本低于2</w:t>
            </w:r>
            <w:r>
              <w:rPr>
                <w:rFonts w:ascii="Arial" w:hAnsi="宋体" w:cs="Arial"/>
                <w:color w:val="000000"/>
                <w:szCs w:val="21"/>
              </w:rPr>
              <w:t>00万</w:t>
            </w:r>
            <w:r>
              <w:rPr>
                <w:rFonts w:hint="eastAsia" w:ascii="Arial" w:hAnsi="宋体" w:cs="Arial"/>
                <w:color w:val="000000"/>
                <w:szCs w:val="21"/>
              </w:rPr>
              <w:t>元得0</w:t>
            </w:r>
            <w:r>
              <w:rPr>
                <w:rFonts w:ascii="Arial" w:hAnsi="宋体" w:cs="Arial"/>
                <w:color w:val="000000"/>
                <w:szCs w:val="21"/>
              </w:rPr>
              <w:t>-2</w:t>
            </w:r>
            <w:r>
              <w:rPr>
                <w:rFonts w:hint="eastAsia" w:ascii="Arial" w:hAnsi="宋体" w:cs="Arial"/>
                <w:color w:val="000000"/>
                <w:szCs w:val="21"/>
              </w:rPr>
              <w:t>分，</w:t>
            </w:r>
            <w:r>
              <w:rPr>
                <w:rFonts w:ascii="Arial" w:hAnsi="宋体" w:cs="Arial"/>
                <w:color w:val="000000"/>
                <w:szCs w:val="21"/>
              </w:rPr>
              <w:t>≥200</w:t>
            </w:r>
            <w:r>
              <w:rPr>
                <w:rFonts w:hint="eastAsia" w:ascii="Arial" w:hAnsi="宋体" w:cs="Arial"/>
                <w:color w:val="000000"/>
                <w:szCs w:val="21"/>
              </w:rPr>
              <w:t>万元得0</w:t>
            </w:r>
            <w:r>
              <w:rPr>
                <w:rFonts w:ascii="Arial" w:hAnsi="宋体" w:cs="Arial"/>
                <w:color w:val="000000"/>
                <w:szCs w:val="21"/>
              </w:rPr>
              <w:t>-3</w:t>
            </w:r>
            <w:r>
              <w:rPr>
                <w:rFonts w:hint="eastAsia" w:ascii="Arial" w:hAnsi="宋体" w:cs="Arial"/>
                <w:color w:val="000000"/>
                <w:szCs w:val="21"/>
              </w:rPr>
              <w:t>分,≥</w:t>
            </w:r>
            <w:r>
              <w:rPr>
                <w:rFonts w:ascii="Arial" w:hAnsi="宋体" w:cs="Arial"/>
                <w:color w:val="000000"/>
                <w:szCs w:val="21"/>
              </w:rPr>
              <w:t>500</w:t>
            </w:r>
            <w:r>
              <w:rPr>
                <w:rFonts w:hint="eastAsia" w:ascii="Arial" w:hAnsi="宋体" w:cs="Arial"/>
                <w:color w:val="000000"/>
                <w:szCs w:val="21"/>
              </w:rPr>
              <w:t>万得0</w:t>
            </w:r>
            <w:r>
              <w:rPr>
                <w:rFonts w:ascii="Arial" w:hAnsi="宋体" w:cs="Arial"/>
                <w:color w:val="000000"/>
                <w:szCs w:val="21"/>
              </w:rPr>
              <w:t>-5</w:t>
            </w:r>
            <w:r>
              <w:rPr>
                <w:rFonts w:hint="eastAsia" w:ascii="Arial" w:hAnsi="宋体" w:cs="Arial"/>
                <w:color w:val="000000"/>
                <w:szCs w:val="21"/>
              </w:rPr>
              <w:t>分，≥1</w:t>
            </w:r>
            <w:r>
              <w:rPr>
                <w:rFonts w:ascii="Arial" w:hAnsi="宋体" w:cs="Arial"/>
                <w:color w:val="000000"/>
                <w:szCs w:val="21"/>
              </w:rPr>
              <w:t>0</w:t>
            </w:r>
            <w:r>
              <w:rPr>
                <w:rFonts w:hint="eastAsia" w:ascii="Arial" w:hAnsi="宋体" w:cs="Arial"/>
                <w:color w:val="000000"/>
                <w:szCs w:val="21"/>
              </w:rPr>
              <w:t>00万得0</w:t>
            </w:r>
            <w:r>
              <w:rPr>
                <w:rFonts w:ascii="Arial" w:hAnsi="宋体" w:cs="Arial"/>
                <w:color w:val="000000"/>
                <w:szCs w:val="21"/>
              </w:rPr>
              <w:t>-10</w:t>
            </w:r>
            <w:r>
              <w:rPr>
                <w:rFonts w:hint="eastAsia" w:ascii="Arial" w:hAnsi="宋体" w:cs="Arial"/>
                <w:color w:val="000000"/>
                <w:szCs w:val="21"/>
              </w:rPr>
              <w:t>分。</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ascii="Arial" w:hAnsi="Arial" w:cs="Arial"/>
                <w:szCs w:val="21"/>
                <w:lang w:val="zh-CN"/>
              </w:rPr>
              <w:t>3</w:t>
            </w:r>
          </w:p>
        </w:tc>
        <w:tc>
          <w:tcPr>
            <w:tcW w:w="1352"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综合实力 (满分10分)</w:t>
            </w:r>
          </w:p>
        </w:tc>
        <w:tc>
          <w:tcPr>
            <w:tcW w:w="5988" w:type="dxa"/>
            <w:vAlign w:val="center"/>
          </w:tcPr>
          <w:p>
            <w:pPr>
              <w:spacing w:line="360" w:lineRule="auto"/>
              <w:rPr>
                <w:rFonts w:ascii="Arial" w:hAnsi="宋体" w:cs="Arial"/>
                <w:color w:val="000000" w:themeColor="text1"/>
                <w:szCs w:val="21"/>
              </w:rPr>
            </w:pPr>
            <w:r>
              <w:rPr>
                <w:rFonts w:hint="eastAsia" w:ascii="Arial" w:hAnsi="宋体" w:cs="Arial"/>
                <w:color w:val="000000"/>
                <w:szCs w:val="21"/>
              </w:rPr>
              <w:t>无摩托罗拉代理0</w:t>
            </w:r>
            <w:r>
              <w:rPr>
                <w:rFonts w:ascii="Arial" w:hAnsi="宋体" w:cs="Arial"/>
                <w:color w:val="000000"/>
                <w:szCs w:val="21"/>
              </w:rPr>
              <w:t>-3</w:t>
            </w:r>
            <w:r>
              <w:rPr>
                <w:rFonts w:hint="eastAsia" w:ascii="Arial" w:hAnsi="宋体" w:cs="Arial"/>
                <w:color w:val="000000"/>
                <w:szCs w:val="21"/>
              </w:rPr>
              <w:t>；摩托罗拉普通代理</w:t>
            </w:r>
            <w:r>
              <w:rPr>
                <w:rFonts w:ascii="Arial" w:hAnsi="宋体" w:cs="Arial"/>
                <w:color w:val="000000"/>
                <w:szCs w:val="21"/>
              </w:rPr>
              <w:t>5</w:t>
            </w:r>
            <w:r>
              <w:rPr>
                <w:rFonts w:hint="eastAsia" w:ascii="Arial" w:hAnsi="宋体" w:cs="Arial"/>
                <w:color w:val="000000"/>
                <w:szCs w:val="21"/>
              </w:rPr>
              <w:t>分，银牌代理得</w:t>
            </w:r>
            <w:r>
              <w:rPr>
                <w:rFonts w:ascii="Arial" w:hAnsi="宋体" w:cs="Arial"/>
                <w:color w:val="000000"/>
                <w:szCs w:val="21"/>
              </w:rPr>
              <w:t>8</w:t>
            </w:r>
            <w:r>
              <w:rPr>
                <w:rFonts w:hint="eastAsia" w:ascii="Arial" w:hAnsi="宋体" w:cs="Arial"/>
                <w:color w:val="000000"/>
                <w:szCs w:val="21"/>
              </w:rPr>
              <w:t>分，</w:t>
            </w:r>
            <w:r>
              <w:rPr>
                <w:rFonts w:hint="eastAsia"/>
              </w:rPr>
              <w:t xml:space="preserve"> </w:t>
            </w:r>
            <w:r>
              <w:rPr>
                <w:rFonts w:hint="eastAsia" w:ascii="Arial" w:hAnsi="宋体" w:cs="Arial"/>
                <w:color w:val="000000"/>
                <w:szCs w:val="21"/>
              </w:rPr>
              <w:t>金牌代理的</w:t>
            </w:r>
            <w:r>
              <w:rPr>
                <w:rFonts w:ascii="Arial" w:hAnsi="宋体" w:cs="Arial"/>
                <w:color w:val="000000"/>
                <w:szCs w:val="21"/>
              </w:rPr>
              <w:t>10</w:t>
            </w:r>
            <w:r>
              <w:rPr>
                <w:rFonts w:hint="eastAsia" w:ascii="Arial" w:hAnsi="宋体" w:cs="Arial"/>
                <w:color w:val="000000"/>
                <w:szCs w:val="21"/>
              </w:rPr>
              <w:t>分</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0-1</w:t>
            </w:r>
            <w:r>
              <w:rPr>
                <w:rFonts w:hint="eastAsia" w:ascii="宋体" w:hAnsi="宋体" w:cs="Arial"/>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hint="eastAsia" w:ascii="Arial" w:hAnsi="Arial" w:cs="Arial"/>
                <w:szCs w:val="21"/>
                <w:lang w:val="zh-CN"/>
              </w:rPr>
              <w:t>4</w:t>
            </w:r>
          </w:p>
        </w:tc>
        <w:tc>
          <w:tcPr>
            <w:tcW w:w="1352" w:type="dxa"/>
            <w:vAlign w:val="center"/>
          </w:tcPr>
          <w:p>
            <w:pPr>
              <w:adjustRightInd w:val="0"/>
              <w:snapToGrid w:val="0"/>
              <w:jc w:val="center"/>
              <w:rPr>
                <w:rFonts w:ascii="Arial" w:hAnsi="宋体" w:cs="Arial"/>
                <w:color w:val="000000"/>
                <w:szCs w:val="21"/>
              </w:rPr>
            </w:pPr>
            <w:r>
              <w:rPr>
                <w:rFonts w:hint="eastAsia" w:ascii="Arial" w:hAnsi="宋体" w:cs="Arial"/>
                <w:color w:val="000000"/>
                <w:szCs w:val="21"/>
              </w:rPr>
              <w:t>业绩</w:t>
            </w:r>
          </w:p>
          <w:p>
            <w:pPr>
              <w:adjustRightInd w:val="0"/>
              <w:snapToGrid w:val="0"/>
              <w:jc w:val="center"/>
              <w:rPr>
                <w:rFonts w:ascii="Arial" w:hAnsi="宋体" w:cs="Arial"/>
                <w:kern w:val="0"/>
                <w:szCs w:val="21"/>
              </w:rPr>
            </w:pPr>
            <w:r>
              <w:rPr>
                <w:rFonts w:hint="eastAsia" w:ascii="Arial" w:hAnsi="宋体" w:cs="Arial"/>
                <w:color w:val="000000"/>
                <w:szCs w:val="21"/>
              </w:rPr>
              <w:t>（满分1</w:t>
            </w:r>
            <w:r>
              <w:rPr>
                <w:rFonts w:ascii="Arial" w:hAnsi="宋体" w:cs="Arial"/>
                <w:color w:val="000000"/>
                <w:szCs w:val="21"/>
              </w:rPr>
              <w:t>0</w:t>
            </w:r>
            <w:r>
              <w:rPr>
                <w:rFonts w:hint="eastAsia" w:ascii="Arial" w:hAnsi="宋体" w:cs="Arial"/>
                <w:color w:val="000000"/>
                <w:szCs w:val="21"/>
              </w:rPr>
              <w:t>分）</w:t>
            </w:r>
          </w:p>
        </w:tc>
        <w:tc>
          <w:tcPr>
            <w:tcW w:w="5988" w:type="dxa"/>
            <w:vAlign w:val="center"/>
          </w:tcPr>
          <w:p>
            <w:pPr>
              <w:spacing w:line="500" w:lineRule="atLeast"/>
              <w:rPr>
                <w:rFonts w:ascii="Arial" w:hAnsi="宋体" w:cs="Arial"/>
                <w:color w:val="000000"/>
                <w:szCs w:val="21"/>
              </w:rPr>
            </w:pPr>
            <w:r>
              <w:rPr>
                <w:rFonts w:hint="eastAsia" w:ascii="Arial" w:hAnsi="宋体" w:cs="Arial"/>
                <w:color w:val="000000"/>
                <w:szCs w:val="21"/>
              </w:rPr>
              <w:t>具有石油化工企业无线通信系统设备维保项目及供货业绩：提供供货业绩得0</w:t>
            </w:r>
            <w:r>
              <w:rPr>
                <w:rFonts w:ascii="Arial" w:hAnsi="宋体" w:cs="Arial"/>
                <w:color w:val="000000"/>
                <w:szCs w:val="21"/>
              </w:rPr>
              <w:t>-</w:t>
            </w:r>
            <w:r>
              <w:rPr>
                <w:rFonts w:hint="eastAsia" w:ascii="Arial" w:hAnsi="宋体" w:cs="Arial"/>
                <w:color w:val="000000"/>
                <w:szCs w:val="21"/>
              </w:rPr>
              <w:t>3分，1年系统维保业绩得</w:t>
            </w:r>
            <w:r>
              <w:rPr>
                <w:rFonts w:ascii="Arial" w:hAnsi="宋体" w:cs="Arial"/>
                <w:color w:val="000000"/>
                <w:szCs w:val="21"/>
              </w:rPr>
              <w:t>0-5</w:t>
            </w:r>
            <w:r>
              <w:rPr>
                <w:rFonts w:hint="eastAsia" w:ascii="Arial" w:hAnsi="宋体" w:cs="Arial"/>
                <w:color w:val="000000"/>
                <w:szCs w:val="21"/>
              </w:rPr>
              <w:t>分，提供2年维保业绩得</w:t>
            </w:r>
            <w:r>
              <w:rPr>
                <w:rFonts w:ascii="Arial" w:hAnsi="宋体" w:cs="Arial"/>
                <w:color w:val="000000"/>
                <w:szCs w:val="21"/>
              </w:rPr>
              <w:t>3-8</w:t>
            </w:r>
            <w:r>
              <w:rPr>
                <w:rFonts w:hint="eastAsia" w:ascii="Arial" w:hAnsi="宋体" w:cs="Arial"/>
                <w:color w:val="000000"/>
                <w:szCs w:val="21"/>
              </w:rPr>
              <w:t>分，提供3年维保业绩得</w:t>
            </w:r>
            <w:r>
              <w:rPr>
                <w:rFonts w:ascii="Arial" w:hAnsi="宋体" w:cs="Arial"/>
                <w:color w:val="000000"/>
                <w:szCs w:val="21"/>
              </w:rPr>
              <w:t>5-10</w:t>
            </w:r>
            <w:r>
              <w:rPr>
                <w:rFonts w:hint="eastAsia" w:ascii="Arial" w:hAnsi="宋体" w:cs="Arial"/>
                <w:color w:val="000000"/>
                <w:szCs w:val="21"/>
              </w:rPr>
              <w:t>分。（需提供完整石油石化企业无线通信系统设备维修保养合同，业绩合同复印件加盖投标人公章并</w:t>
            </w:r>
            <w:r>
              <w:rPr>
                <w:rFonts w:ascii="Arial" w:hAnsi="宋体" w:cs="Arial"/>
                <w:color w:val="000000"/>
                <w:szCs w:val="21"/>
              </w:rPr>
              <w:t>全部装订在投标文件中</w:t>
            </w:r>
            <w:r>
              <w:rPr>
                <w:rFonts w:hint="eastAsia" w:ascii="Arial" w:hAnsi="宋体" w:cs="Arial"/>
                <w:color w:val="000000"/>
                <w:szCs w:val="21"/>
              </w:rPr>
              <w:t>，原件备查）。</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w:t>
            </w:r>
            <w:r>
              <w:rPr>
                <w:rFonts w:hint="eastAsia" w:ascii="宋体" w:hAnsi="宋体" w:cs="Arial"/>
                <w:szCs w:val="21"/>
                <w:lang w:val="zh-CN"/>
              </w:rPr>
              <w:t>1</w:t>
            </w:r>
            <w:r>
              <w:rPr>
                <w:rFonts w:ascii="宋体" w:hAnsi="宋体" w:cs="Arial"/>
                <w:szCs w:val="21"/>
                <w:lang w:val="zh-CN"/>
              </w:rPr>
              <w:t>0</w:t>
            </w:r>
          </w:p>
        </w:tc>
      </w:tr>
    </w:tbl>
    <w:p>
      <w:pPr>
        <w:tabs>
          <w:tab w:val="left" w:pos="3700"/>
        </w:tabs>
        <w:snapToGrid w:val="0"/>
        <w:spacing w:line="360" w:lineRule="auto"/>
        <w:rPr>
          <w:rFonts w:ascii="Arial" w:hAnsi="Arial" w:cs="Arial"/>
          <w:sz w:val="24"/>
          <w:szCs w:val="24"/>
        </w:rPr>
      </w:pPr>
    </w:p>
    <w:p>
      <w:pPr>
        <w:pStyle w:val="76"/>
        <w:numPr>
          <w:ilvl w:val="0"/>
          <w:numId w:val="11"/>
        </w:numPr>
        <w:tabs>
          <w:tab w:val="left" w:pos="3700"/>
        </w:tabs>
        <w:snapToGrid w:val="0"/>
        <w:spacing w:line="360" w:lineRule="auto"/>
        <w:ind w:firstLineChars="0"/>
        <w:rPr>
          <w:sz w:val="24"/>
          <w:szCs w:val="24"/>
          <w:lang w:val="en-GB"/>
        </w:rPr>
      </w:pPr>
      <w:r>
        <w:rPr>
          <w:rFonts w:hint="eastAsia" w:ascii="Arial" w:hAnsi="宋体" w:cs="Arial"/>
          <w:color w:val="000000"/>
          <w:sz w:val="24"/>
        </w:rPr>
        <w:t>商务报价部分评分 P</w:t>
      </w:r>
      <w:r>
        <w:rPr>
          <w:rFonts w:ascii="Arial" w:hAnsi="宋体" w:cs="Arial"/>
          <w:color w:val="000000"/>
          <w:sz w:val="24"/>
        </w:rPr>
        <w:t>F</w:t>
      </w:r>
      <w:r>
        <w:rPr>
          <w:rFonts w:hint="eastAsia" w:ascii="Arial" w:hAnsi="宋体" w:cs="Arial"/>
          <w:color w:val="000000"/>
          <w:sz w:val="24"/>
        </w:rPr>
        <w:t xml:space="preserve"> </w:t>
      </w:r>
      <w:r>
        <w:rPr>
          <w:rFonts w:ascii="Arial" w:hAnsi="宋体" w:cs="Arial"/>
          <w:color w:val="000000"/>
          <w:sz w:val="24"/>
        </w:rPr>
        <w:t xml:space="preserve">   </w:t>
      </w:r>
      <w:r>
        <w:rPr>
          <w:sz w:val="24"/>
          <w:szCs w:val="24"/>
          <w:lang w:val="en-GB"/>
        </w:rPr>
        <w:t>满分</w:t>
      </w:r>
      <w:r>
        <w:rPr>
          <w:rFonts w:hint="eastAsia"/>
          <w:sz w:val="24"/>
          <w:szCs w:val="24"/>
          <w:lang w:val="en-GB"/>
        </w:rPr>
        <w:t>6</w:t>
      </w:r>
      <w:r>
        <w:rPr>
          <w:sz w:val="24"/>
          <w:szCs w:val="24"/>
          <w:lang w:val="en-GB"/>
        </w:rPr>
        <w:t>5分</w:t>
      </w:r>
    </w:p>
    <w:p>
      <w:pPr>
        <w:spacing w:line="460" w:lineRule="exact"/>
        <w:ind w:firstLine="480" w:firstLineChars="200"/>
        <w:rPr>
          <w:rFonts w:ascii="宋体" w:hAnsi="宋体" w:cs="宋体"/>
          <w:spacing w:val="-2"/>
          <w:sz w:val="24"/>
          <w:szCs w:val="24"/>
        </w:rPr>
      </w:pPr>
      <w:r>
        <w:rPr>
          <w:rFonts w:hint="eastAsia" w:ascii="宋体" w:hAnsi="宋体"/>
          <w:sz w:val="24"/>
          <w:szCs w:val="24"/>
        </w:rPr>
        <w:t>评委将按下列方法计算合格投标人的报价部分得分，</w:t>
      </w:r>
      <w:r>
        <w:rPr>
          <w:rFonts w:hint="eastAsia" w:ascii="宋体" w:hAnsi="宋体" w:cs="宋体"/>
          <w:sz w:val="24"/>
          <w:szCs w:val="24"/>
        </w:rPr>
        <w:t>计算分数时</w:t>
      </w:r>
      <w:r>
        <w:rPr>
          <w:rFonts w:hint="eastAsia" w:ascii="宋体" w:hAnsi="宋体" w:cs="宋体"/>
          <w:spacing w:val="-2"/>
          <w:sz w:val="24"/>
          <w:szCs w:val="24"/>
        </w:rPr>
        <w:t>四舍五入取小数点后2位数（</w:t>
      </w:r>
      <w:r>
        <w:rPr>
          <w:rFonts w:hint="eastAsia" w:ascii="宋体" w:hAnsi="宋体" w:cs="宋体"/>
          <w:b/>
          <w:bCs/>
          <w:spacing w:val="-2"/>
          <w:sz w:val="24"/>
          <w:szCs w:val="24"/>
        </w:rPr>
        <w:t>注：投标人填报下浮率应保留两位小数</w:t>
      </w:r>
      <w:r>
        <w:rPr>
          <w:rFonts w:hint="eastAsia" w:ascii="宋体" w:hAnsi="宋体" w:cs="宋体"/>
          <w:spacing w:val="-2"/>
          <w:sz w:val="24"/>
          <w:szCs w:val="24"/>
        </w:rPr>
        <w:t>）：</w:t>
      </w:r>
      <w:r>
        <w:rPr>
          <w:rFonts w:hint="eastAsia" w:ascii="宋体" w:hAnsi="宋体" w:cs="Arial"/>
          <w:color w:val="000000"/>
          <w:sz w:val="24"/>
        </w:rPr>
        <w:t>“各类设备专业检测费用” “手持对讲设备的维修费用” “应急服务费用”基准单价（含税，元）填报统一的下浮率L评分PF</w:t>
      </w:r>
      <w:r>
        <w:rPr>
          <w:rFonts w:ascii="宋体" w:hAnsi="宋体" w:cs="Arial"/>
          <w:color w:val="000000"/>
          <w:sz w:val="24"/>
        </w:rPr>
        <w:t xml:space="preserve"> </w:t>
      </w:r>
    </w:p>
    <w:p>
      <w:pPr>
        <w:pStyle w:val="10"/>
        <w:tabs>
          <w:tab w:val="center" w:pos="540"/>
          <w:tab w:val="center" w:pos="1080"/>
        </w:tabs>
        <w:snapToGrid w:val="0"/>
        <w:spacing w:line="460" w:lineRule="exact"/>
        <w:ind w:firstLine="2820" w:firstLineChars="1175"/>
        <w:rPr>
          <w:rFonts w:ascii="宋体" w:hAnsi="宋体" w:eastAsia="宋体" w:cs="Arial"/>
          <w:color w:val="000000"/>
          <w:sz w:val="24"/>
          <w:szCs w:val="20"/>
        </w:rPr>
      </w:pPr>
      <w:r>
        <w:rPr>
          <w:rFonts w:hint="eastAsia" w:ascii="宋体" w:hAnsi="宋体" w:eastAsia="宋体" w:cs="Arial"/>
          <w:color w:val="000000"/>
          <w:sz w:val="24"/>
          <w:szCs w:val="20"/>
        </w:rPr>
        <w:t>1-B基准</w:t>
      </w:r>
    </w:p>
    <w:p>
      <w:pPr>
        <w:pStyle w:val="10"/>
        <w:tabs>
          <w:tab w:val="center" w:pos="540"/>
          <w:tab w:val="center" w:pos="1080"/>
        </w:tabs>
        <w:snapToGrid w:val="0"/>
        <w:spacing w:line="460" w:lineRule="exact"/>
        <w:ind w:firstLine="480" w:firstLineChars="200"/>
        <w:rPr>
          <w:rFonts w:ascii="宋体" w:hAnsi="宋体" w:eastAsia="宋体" w:cs="Arial"/>
          <w:color w:val="000000"/>
          <w:sz w:val="24"/>
          <w:szCs w:val="20"/>
        </w:rPr>
      </w:pPr>
      <w:r>
        <w:rPr>
          <w:rFonts w:hint="eastAsia" w:ascii="宋体" w:hAnsi="宋体" w:eastAsia="宋体" w:cs="Arial"/>
          <w:color w:val="000000"/>
          <w:sz w:val="24"/>
          <w:szCs w:val="20"/>
        </w:rPr>
        <w:t xml:space="preserve">       PF＝ —————————×</w:t>
      </w:r>
      <w:r>
        <w:rPr>
          <w:rFonts w:ascii="宋体" w:hAnsi="宋体" w:eastAsia="宋体" w:cs="Arial"/>
          <w:color w:val="000000"/>
          <w:sz w:val="24"/>
          <w:szCs w:val="20"/>
        </w:rPr>
        <w:t>65</w:t>
      </w:r>
    </w:p>
    <w:p>
      <w:pPr>
        <w:pStyle w:val="10"/>
        <w:tabs>
          <w:tab w:val="center" w:pos="540"/>
          <w:tab w:val="center" w:pos="1080"/>
        </w:tabs>
        <w:snapToGrid w:val="0"/>
        <w:spacing w:line="460" w:lineRule="exact"/>
        <w:ind w:firstLine="2820" w:firstLineChars="1175"/>
        <w:rPr>
          <w:rFonts w:ascii="宋体" w:hAnsi="宋体" w:eastAsia="宋体" w:cs="Arial"/>
          <w:color w:val="000000"/>
          <w:sz w:val="24"/>
          <w:szCs w:val="20"/>
        </w:rPr>
      </w:pPr>
      <w:r>
        <w:rPr>
          <w:rFonts w:hint="eastAsia" w:ascii="宋体" w:hAnsi="宋体" w:eastAsia="宋体" w:cs="Arial"/>
          <w:color w:val="000000"/>
          <w:sz w:val="24"/>
          <w:szCs w:val="20"/>
        </w:rPr>
        <w:t>1-Bn</w:t>
      </w:r>
    </w:p>
    <w:p>
      <w:pPr>
        <w:tabs>
          <w:tab w:val="center" w:pos="540"/>
          <w:tab w:val="center" w:pos="1080"/>
        </w:tabs>
        <w:snapToGrid w:val="0"/>
        <w:spacing w:line="460" w:lineRule="exact"/>
        <w:ind w:firstLine="480" w:firstLineChars="200"/>
        <w:rPr>
          <w:rFonts w:ascii="宋体" w:hAnsi="宋体" w:cs="Arial"/>
          <w:color w:val="000000"/>
          <w:sz w:val="24"/>
        </w:rPr>
      </w:pPr>
      <w:r>
        <w:rPr>
          <w:rFonts w:hint="eastAsia" w:ascii="宋体" w:hAnsi="宋体" w:cs="Arial"/>
          <w:color w:val="000000"/>
          <w:sz w:val="24"/>
        </w:rPr>
        <w:t>式中：①Bn --- 进入报价部分评分的各合格投标人的L评标价；</w:t>
      </w:r>
    </w:p>
    <w:p>
      <w:pPr>
        <w:tabs>
          <w:tab w:val="center" w:pos="540"/>
          <w:tab w:val="center" w:pos="1080"/>
        </w:tabs>
        <w:snapToGrid w:val="0"/>
        <w:spacing w:line="460" w:lineRule="exact"/>
        <w:ind w:firstLine="1200" w:firstLineChars="500"/>
        <w:rPr>
          <w:rFonts w:ascii="宋体" w:hAnsi="宋体" w:cs="Arial"/>
          <w:color w:val="000000"/>
          <w:sz w:val="24"/>
        </w:rPr>
      </w:pPr>
      <w:r>
        <w:rPr>
          <w:rFonts w:hint="eastAsia" w:ascii="宋体" w:hAnsi="宋体" w:cs="Arial"/>
          <w:color w:val="000000"/>
          <w:sz w:val="24"/>
        </w:rPr>
        <w:t>②B基准---进入报价部分评分的各合格投标人的L评标价最高值。</w:t>
      </w:r>
      <w:r>
        <w:rPr>
          <w:rFonts w:ascii="宋体" w:hAnsi="宋体" w:cs="Arial"/>
          <w:color w:val="000000"/>
          <w:sz w:val="24"/>
        </w:rPr>
        <w:t xml:space="preserve">   </w:t>
      </w:r>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157" w:name="_Toc80716116"/>
      <w:r>
        <w:rPr>
          <w:rFonts w:hint="eastAsia" w:ascii="宋体" w:hAnsi="宋体" w:eastAsia="宋体" w:cs="Arial"/>
          <w:b/>
          <w:color w:val="000000"/>
          <w:kern w:val="0"/>
          <w:sz w:val="28"/>
          <w:szCs w:val="28"/>
        </w:rPr>
        <w:t>对讲机维修质保半年。</w:t>
      </w:r>
      <w:bookmarkEnd w:id="157"/>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r>
        <w:rPr>
          <w:rFonts w:ascii="宋体" w:hAnsi="宋体" w:eastAsia="宋体" w:cs="Arial"/>
          <w:b/>
          <w:color w:val="000000"/>
          <w:kern w:val="0"/>
          <w:sz w:val="28"/>
          <w:szCs w:val="28"/>
        </w:rPr>
        <w:t>合同履约保证金</w:t>
      </w:r>
    </w:p>
    <w:p>
      <w:pPr>
        <w:spacing w:line="460" w:lineRule="exact"/>
        <w:ind w:firstLine="480" w:firstLineChars="200"/>
        <w:rPr>
          <w:rFonts w:ascii="宋体" w:hAnsi="宋体" w:cs="Arial"/>
          <w:color w:val="000000"/>
          <w:sz w:val="24"/>
        </w:rPr>
      </w:pPr>
      <w:bookmarkStart w:id="158" w:name="_Toc80712018"/>
      <w:bookmarkStart w:id="159" w:name="_Toc80716118"/>
      <w:bookmarkStart w:id="160" w:name="_Toc80712135"/>
      <w:r>
        <w:rPr>
          <w:rFonts w:ascii="宋体" w:hAnsi="宋体" w:cs="Arial"/>
          <w:color w:val="000000"/>
          <w:sz w:val="24"/>
        </w:rPr>
        <w:t>承包人在与发包人签订合同的同时</w:t>
      </w:r>
      <w:r>
        <w:rPr>
          <w:rFonts w:hint="eastAsia" w:ascii="宋体" w:hAnsi="宋体" w:cs="Arial"/>
          <w:color w:val="000000"/>
          <w:sz w:val="24"/>
        </w:rPr>
        <w:t>，</w:t>
      </w:r>
      <w:r>
        <w:rPr>
          <w:rFonts w:ascii="宋体" w:hAnsi="宋体" w:cs="Arial"/>
          <w:color w:val="000000"/>
          <w:sz w:val="24"/>
        </w:rPr>
        <w:t>向发包人提交履约保证金</w:t>
      </w:r>
      <w:r>
        <w:rPr>
          <w:rFonts w:hint="eastAsia" w:ascii="宋体" w:hAnsi="宋体" w:cs="Arial"/>
          <w:color w:val="000000"/>
          <w:sz w:val="24"/>
        </w:rPr>
        <w:t>，履约保证金金额为合同价格的1</w:t>
      </w:r>
      <w:r>
        <w:rPr>
          <w:rFonts w:ascii="宋体" w:hAnsi="宋体" w:cs="Arial"/>
          <w:color w:val="000000"/>
          <w:sz w:val="24"/>
        </w:rPr>
        <w:t>0</w:t>
      </w:r>
      <w:r>
        <w:rPr>
          <w:rFonts w:hint="eastAsia" w:ascii="宋体" w:hAnsi="宋体" w:cs="Arial"/>
          <w:color w:val="000000"/>
          <w:sz w:val="24"/>
        </w:rPr>
        <w:t>%。履约保证金在合同期结束后，其余额退回给承包人，不计利息。</w:t>
      </w:r>
      <w:bookmarkEnd w:id="158"/>
      <w:bookmarkEnd w:id="159"/>
      <w:bookmarkEnd w:id="160"/>
    </w:p>
    <w:p>
      <w:pPr>
        <w:pStyle w:val="76"/>
        <w:numPr>
          <w:ilvl w:val="0"/>
          <w:numId w:val="12"/>
        </w:numPr>
        <w:adjustRightInd w:val="0"/>
        <w:snapToGrid w:val="0"/>
        <w:spacing w:line="276" w:lineRule="auto"/>
        <w:ind w:left="851" w:hanging="431" w:firstLineChars="0"/>
        <w:outlineLvl w:val="1"/>
        <w:rPr>
          <w:rFonts w:ascii="宋体" w:hAnsi="宋体" w:eastAsia="宋体" w:cs="Arial"/>
          <w:color w:val="000000"/>
          <w:sz w:val="24"/>
          <w:szCs w:val="20"/>
        </w:rPr>
      </w:pPr>
      <w:bookmarkStart w:id="161" w:name="_Toc80712019"/>
      <w:bookmarkStart w:id="162" w:name="_Toc80716119"/>
      <w:bookmarkStart w:id="163" w:name="_Toc80712136"/>
      <w:r>
        <w:rPr>
          <w:rFonts w:hint="eastAsia" w:ascii="宋体" w:hAnsi="宋体" w:eastAsia="宋体" w:cs="Arial"/>
          <w:color w:val="000000"/>
          <w:sz w:val="24"/>
          <w:szCs w:val="20"/>
        </w:rPr>
        <w:t>未经发包人同意，不得更换项目经理和技术工程师，假如更换未经批准，将从履约保证金中扣除</w:t>
      </w:r>
      <w:r>
        <w:rPr>
          <w:rFonts w:ascii="宋体" w:hAnsi="宋体" w:eastAsia="宋体" w:cs="Arial"/>
          <w:color w:val="000000"/>
          <w:sz w:val="24"/>
          <w:szCs w:val="20"/>
        </w:rPr>
        <w:t>3000元</w:t>
      </w:r>
      <w:r>
        <w:rPr>
          <w:rFonts w:hint="eastAsia" w:ascii="宋体" w:hAnsi="宋体" w:eastAsia="宋体" w:cs="Arial"/>
          <w:color w:val="000000"/>
          <w:sz w:val="24"/>
          <w:szCs w:val="20"/>
        </w:rPr>
        <w:t>违约金。</w:t>
      </w:r>
      <w:bookmarkEnd w:id="161"/>
      <w:bookmarkEnd w:id="162"/>
      <w:bookmarkEnd w:id="163"/>
    </w:p>
    <w:p>
      <w:pPr>
        <w:pStyle w:val="76"/>
        <w:numPr>
          <w:ilvl w:val="0"/>
          <w:numId w:val="12"/>
        </w:numPr>
        <w:adjustRightInd w:val="0"/>
        <w:snapToGrid w:val="0"/>
        <w:spacing w:line="276" w:lineRule="auto"/>
        <w:ind w:left="851" w:hanging="431" w:firstLineChars="0"/>
        <w:outlineLvl w:val="1"/>
        <w:rPr>
          <w:rFonts w:ascii="宋体" w:hAnsi="宋体" w:eastAsia="宋体" w:cs="Arial"/>
          <w:color w:val="000000"/>
          <w:sz w:val="24"/>
          <w:szCs w:val="20"/>
        </w:rPr>
      </w:pPr>
      <w:bookmarkStart w:id="164" w:name="_Toc80712137"/>
      <w:bookmarkStart w:id="165" w:name="_Toc80716120"/>
      <w:bookmarkStart w:id="166" w:name="_Toc80712020"/>
      <w:r>
        <w:rPr>
          <w:rFonts w:ascii="宋体" w:hAnsi="宋体" w:eastAsia="宋体" w:cs="Arial"/>
          <w:color w:val="000000"/>
          <w:sz w:val="24"/>
          <w:szCs w:val="20"/>
        </w:rPr>
        <w:t>发包人无线对讲系统故障</w:t>
      </w:r>
      <w:r>
        <w:rPr>
          <w:rFonts w:hint="eastAsia" w:ascii="宋体" w:hAnsi="宋体" w:eastAsia="宋体" w:cs="Arial"/>
          <w:color w:val="000000"/>
          <w:sz w:val="24"/>
          <w:szCs w:val="20"/>
        </w:rPr>
        <w:t>，承包人</w:t>
      </w:r>
      <w:r>
        <w:rPr>
          <w:rFonts w:ascii="宋体" w:hAnsi="宋体" w:eastAsia="宋体" w:cs="Arial"/>
          <w:color w:val="000000"/>
          <w:sz w:val="24"/>
          <w:szCs w:val="20"/>
        </w:rPr>
        <w:t>没有按要求响应应急服务的每次扣除保证金2000元违约金</w:t>
      </w:r>
      <w:r>
        <w:rPr>
          <w:rFonts w:hint="eastAsia" w:ascii="宋体" w:hAnsi="宋体" w:eastAsia="宋体" w:cs="Arial"/>
          <w:color w:val="000000"/>
          <w:sz w:val="24"/>
          <w:szCs w:val="20"/>
        </w:rPr>
        <w:t>。</w:t>
      </w:r>
      <w:bookmarkEnd w:id="164"/>
      <w:bookmarkEnd w:id="165"/>
      <w:bookmarkEnd w:id="166"/>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r>
        <w:rPr>
          <w:rFonts w:ascii="宋体" w:hAnsi="宋体" w:eastAsia="宋体" w:cs="Arial"/>
          <w:b/>
          <w:color w:val="000000"/>
          <w:kern w:val="0"/>
          <w:sz w:val="28"/>
          <w:szCs w:val="28"/>
        </w:rPr>
        <w:t>服务质量考评办法</w:t>
      </w:r>
    </w:p>
    <w:p>
      <w:pPr>
        <w:pStyle w:val="76"/>
        <w:numPr>
          <w:ilvl w:val="0"/>
          <w:numId w:val="13"/>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总则</w:t>
      </w:r>
    </w:p>
    <w:p>
      <w:pPr>
        <w:snapToGrid w:val="0"/>
        <w:spacing w:line="276" w:lineRule="auto"/>
        <w:ind w:firstLine="420"/>
        <w:rPr>
          <w:rFonts w:ascii="宋体" w:hAnsi="宋体" w:cs="Arial"/>
          <w:color w:val="000000"/>
          <w:sz w:val="24"/>
        </w:rPr>
      </w:pPr>
      <w:r>
        <w:rPr>
          <w:rFonts w:ascii="宋体" w:hAnsi="宋体" w:cs="Arial"/>
          <w:color w:val="000000"/>
          <w:sz w:val="24"/>
        </w:rPr>
        <w:t>乙方应严格遵照本合同中甲方所购买的服务级别为甲方提供服务，每次的主动或被动服务均由专业且经验丰富的工程师担当，确保甲方最终享受到优质、高效的服务品质。</w:t>
      </w:r>
    </w:p>
    <w:p>
      <w:pPr>
        <w:pStyle w:val="76"/>
        <w:numPr>
          <w:ilvl w:val="0"/>
          <w:numId w:val="13"/>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服务质量的考评办法</w:t>
      </w:r>
    </w:p>
    <w:p>
      <w:pPr>
        <w:snapToGrid w:val="0"/>
        <w:spacing w:line="276" w:lineRule="auto"/>
        <w:ind w:firstLine="420"/>
        <w:rPr>
          <w:rFonts w:ascii="宋体" w:hAnsi="宋体" w:cs="Arial"/>
          <w:color w:val="000000"/>
          <w:sz w:val="24"/>
        </w:rPr>
      </w:pPr>
      <w:r>
        <w:rPr>
          <w:rFonts w:ascii="宋体" w:hAnsi="宋体" w:cs="Arial"/>
          <w:color w:val="000000"/>
          <w:sz w:val="24"/>
        </w:rPr>
        <w:t>服务质量考评每半年进行一次，根据甲方对乙方的服务质量考核得分，支付相应费用。服务质量考评满分为100分，采用扣分制，具体考核方法和扣减办法如下：</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当乙方的服务质量考核得分高于或等于95分时，甲方按当期支付总额度的100%向乙方付费；</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当乙方的服务质量考核得分低于95分时，每低0.1分，甲方有权扣除当期支付总额度的0.1%比例的费用；</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当乙方的服务质量考核得分低于60分时，甲方有权终止合同。</w:t>
      </w:r>
    </w:p>
    <w:p>
      <w:pPr>
        <w:pStyle w:val="76"/>
        <w:numPr>
          <w:ilvl w:val="0"/>
          <w:numId w:val="13"/>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服务质量评估指标</w:t>
      </w:r>
    </w:p>
    <w:p>
      <w:pPr>
        <w:snapToGrid w:val="0"/>
        <w:spacing w:line="276" w:lineRule="auto"/>
        <w:ind w:firstLine="420"/>
        <w:rPr>
          <w:rFonts w:ascii="宋体" w:hAnsi="宋体" w:cs="Arial"/>
          <w:color w:val="000000"/>
          <w:sz w:val="24"/>
        </w:rPr>
      </w:pPr>
      <w:r>
        <w:rPr>
          <w:rFonts w:ascii="宋体" w:hAnsi="宋体" w:cs="Arial"/>
          <w:color w:val="000000"/>
          <w:sz w:val="24"/>
        </w:rPr>
        <w:t>服务质量评估指标共分为四大部分内容，这四大部分内容及在评估中所占分值如下所示，具体评估内容详见列表1。</w:t>
      </w:r>
    </w:p>
    <w:p>
      <w:pPr>
        <w:snapToGrid w:val="0"/>
        <w:spacing w:line="276" w:lineRule="auto"/>
        <w:ind w:firstLine="420"/>
        <w:rPr>
          <w:rFonts w:ascii="宋体" w:hAnsi="宋体" w:cs="Arial"/>
          <w:color w:val="000000"/>
          <w:sz w:val="24"/>
        </w:rPr>
      </w:pPr>
      <w:r>
        <w:rPr>
          <w:rFonts w:ascii="宋体" w:hAnsi="宋体" w:cs="Arial"/>
          <w:color w:val="000000"/>
          <w:sz w:val="24"/>
        </w:rPr>
        <w:t>第一部分：服务响应（30分）</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firstLine="420"/>
        <w:rPr>
          <w:rFonts w:ascii="宋体" w:hAnsi="宋体" w:cs="Arial"/>
          <w:color w:val="000000"/>
          <w:sz w:val="24"/>
        </w:rPr>
      </w:pPr>
      <w:r>
        <w:rPr>
          <w:rFonts w:ascii="宋体" w:hAnsi="宋体" w:cs="Arial"/>
          <w:color w:val="000000"/>
          <w:sz w:val="24"/>
        </w:rPr>
        <w:t>故障级别定义，如下所示：</w:t>
      </w:r>
    </w:p>
    <w:tbl>
      <w:tblPr>
        <w:tblStyle w:val="48"/>
        <w:tblW w:w="8417" w:type="dxa"/>
        <w:jc w:val="center"/>
        <w:tblLayout w:type="autofit"/>
        <w:tblCellMar>
          <w:top w:w="0" w:type="dxa"/>
          <w:left w:w="108" w:type="dxa"/>
          <w:bottom w:w="0" w:type="dxa"/>
          <w:right w:w="108" w:type="dxa"/>
        </w:tblCellMar>
      </w:tblPr>
      <w:tblGrid>
        <w:gridCol w:w="1398"/>
        <w:gridCol w:w="7019"/>
      </w:tblGrid>
      <w:tr>
        <w:tblPrEx>
          <w:tblCellMar>
            <w:top w:w="0" w:type="dxa"/>
            <w:left w:w="108" w:type="dxa"/>
            <w:bottom w:w="0" w:type="dxa"/>
            <w:right w:w="108" w:type="dxa"/>
          </w:tblCellMar>
        </w:tblPrEx>
        <w:trPr>
          <w:trHeight w:val="315" w:hRule="atLeast"/>
          <w:tblHeader/>
          <w:jc w:val="center"/>
        </w:trPr>
        <w:tc>
          <w:tcPr>
            <w:tcW w:w="1398" w:type="dxa"/>
            <w:tcBorders>
              <w:top w:val="single" w:color="auto" w:sz="12" w:space="0"/>
              <w:left w:val="single" w:color="auto" w:sz="12" w:space="0"/>
              <w:bottom w:val="single" w:color="auto" w:sz="4" w:space="0"/>
              <w:right w:val="single" w:color="auto" w:sz="4" w:space="0"/>
            </w:tcBorders>
            <w:shd w:val="clear" w:color="auto" w:fill="auto"/>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故障级别</w:t>
            </w:r>
          </w:p>
        </w:tc>
        <w:tc>
          <w:tcPr>
            <w:tcW w:w="7019" w:type="dxa"/>
            <w:tcBorders>
              <w:top w:val="single" w:color="auto" w:sz="12" w:space="0"/>
              <w:left w:val="nil"/>
              <w:bottom w:val="single" w:color="auto" w:sz="4" w:space="0"/>
              <w:right w:val="single" w:color="auto" w:sz="12" w:space="0"/>
            </w:tcBorders>
            <w:shd w:val="clear" w:color="auto" w:fill="auto"/>
            <w:noWrap/>
            <w:vAlign w:val="center"/>
          </w:tcPr>
          <w:p>
            <w:pPr>
              <w:snapToGrid w:val="0"/>
              <w:spacing w:line="276" w:lineRule="auto"/>
              <w:ind w:firstLine="480" w:firstLineChars="200"/>
              <w:jc w:val="center"/>
              <w:rPr>
                <w:rFonts w:ascii="宋体" w:hAnsi="宋体" w:cs="Arial"/>
                <w:color w:val="000000"/>
                <w:sz w:val="24"/>
              </w:rPr>
            </w:pPr>
            <w:r>
              <w:rPr>
                <w:rFonts w:ascii="宋体" w:hAnsi="宋体" w:cs="Arial"/>
                <w:color w:val="000000"/>
                <w:sz w:val="24"/>
              </w:rPr>
              <w:t>级别描述</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4"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1</w:t>
            </w:r>
          </w:p>
        </w:tc>
        <w:tc>
          <w:tcPr>
            <w:tcW w:w="7019" w:type="dxa"/>
            <w:tcBorders>
              <w:top w:val="single" w:color="auto" w:sz="4" w:space="0"/>
              <w:left w:val="nil"/>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超过半数信道机不工作、信道机软硬件故障；系统有工作，但天线、馈线、合、分路器、双工器故障，影响所有终端工作，影响甲方业务；</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4"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2</w:t>
            </w:r>
          </w:p>
        </w:tc>
        <w:tc>
          <w:tcPr>
            <w:tcW w:w="7019" w:type="dxa"/>
            <w:tcBorders>
              <w:top w:val="single" w:color="auto" w:sz="4" w:space="0"/>
              <w:left w:val="nil"/>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个别信道机故障、系统容量下降；直放站近、远端机或耦合器件发生个别故障，影响个别区域无线对讲通讯；</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4"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3</w:t>
            </w:r>
          </w:p>
        </w:tc>
        <w:tc>
          <w:tcPr>
            <w:tcW w:w="7019" w:type="dxa"/>
            <w:tcBorders>
              <w:top w:val="single" w:color="auto" w:sz="4" w:space="0"/>
              <w:left w:val="nil"/>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系统运行正常，仅出现系统警告性报错或发生个别区域不明原因信号干扰，导致信号有所减弱，但不影响甲方业务；</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12"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4</w:t>
            </w:r>
          </w:p>
        </w:tc>
        <w:tc>
          <w:tcPr>
            <w:tcW w:w="7019" w:type="dxa"/>
            <w:tcBorders>
              <w:top w:val="single" w:color="auto" w:sz="4" w:space="0"/>
              <w:left w:val="nil"/>
              <w:bottom w:val="single" w:color="auto" w:sz="12"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甲方对系统改进、软件更新或升级或产品使用方面的问题。</w:t>
            </w:r>
          </w:p>
        </w:tc>
      </w:tr>
    </w:tbl>
    <w:p>
      <w:pPr>
        <w:snapToGrid w:val="0"/>
        <w:spacing w:line="276" w:lineRule="auto"/>
        <w:ind w:firstLine="420"/>
        <w:rPr>
          <w:rFonts w:ascii="宋体" w:hAnsi="宋体" w:cs="Arial"/>
          <w:color w:val="000000"/>
          <w:sz w:val="24"/>
        </w:rPr>
      </w:pPr>
      <w:r>
        <w:rPr>
          <w:rFonts w:ascii="宋体" w:hAnsi="宋体" w:cs="Arial"/>
          <w:color w:val="000000"/>
          <w:sz w:val="24"/>
        </w:rPr>
        <w:t>根据故障影响范围和程度，对不同故障级别制定相应的响应处理及修复时间，如下表所列：</w:t>
      </w:r>
    </w:p>
    <w:tbl>
      <w:tblPr>
        <w:tblStyle w:val="48"/>
        <w:tblW w:w="84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832"/>
        <w:gridCol w:w="1844"/>
        <w:gridCol w:w="1277"/>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4" w:type="dxa"/>
            <w:tcBorders>
              <w:top w:val="single" w:color="auto" w:sz="12" w:space="0"/>
              <w:left w:val="single" w:color="auto" w:sz="12" w:space="0"/>
              <w:bottom w:val="single" w:color="auto" w:sz="4" w:space="0"/>
              <w:right w:val="single" w:color="auto" w:sz="4" w:space="0"/>
            </w:tcBorders>
            <w:shd w:val="clear" w:color="auto" w:fill="auto"/>
            <w:vAlign w:val="center"/>
          </w:tcPr>
          <w:p>
            <w:pPr>
              <w:snapToGrid w:val="0"/>
              <w:spacing w:line="276" w:lineRule="auto"/>
              <w:jc w:val="center"/>
              <w:rPr>
                <w:rFonts w:ascii="宋体" w:hAnsi="宋体" w:cs="Arial"/>
                <w:color w:val="000000"/>
                <w:sz w:val="24"/>
              </w:rPr>
            </w:pPr>
            <w:r>
              <w:rPr>
                <w:rFonts w:ascii="宋体" w:hAnsi="宋体" w:cs="Arial"/>
                <w:color w:val="000000"/>
                <w:sz w:val="24"/>
              </w:rPr>
              <w:t>故障级别</w:t>
            </w:r>
          </w:p>
        </w:tc>
        <w:tc>
          <w:tcPr>
            <w:tcW w:w="2830"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ascii="宋体" w:hAnsi="宋体" w:cs="Arial"/>
                <w:color w:val="000000"/>
                <w:sz w:val="24"/>
              </w:rPr>
            </w:pPr>
            <w:r>
              <w:rPr>
                <w:rFonts w:ascii="宋体" w:hAnsi="宋体" w:cs="Arial"/>
                <w:color w:val="000000"/>
                <w:sz w:val="24"/>
              </w:rPr>
              <w:t>技术人员响应时间</w:t>
            </w:r>
          </w:p>
        </w:tc>
        <w:tc>
          <w:tcPr>
            <w:tcW w:w="1843"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ascii="宋体" w:hAnsi="宋体" w:cs="Arial"/>
                <w:color w:val="000000"/>
                <w:sz w:val="24"/>
              </w:rPr>
            </w:pPr>
            <w:r>
              <w:rPr>
                <w:rFonts w:ascii="宋体" w:hAnsi="宋体" w:cs="Arial"/>
                <w:color w:val="000000"/>
                <w:sz w:val="24"/>
              </w:rPr>
              <w:t>到场处理时间</w:t>
            </w:r>
          </w:p>
        </w:tc>
        <w:tc>
          <w:tcPr>
            <w:tcW w:w="1276" w:type="dxa"/>
            <w:tcBorders>
              <w:top w:val="single" w:color="auto" w:sz="12" w:space="0"/>
              <w:left w:val="single" w:color="auto" w:sz="4" w:space="0"/>
              <w:bottom w:val="single" w:color="auto" w:sz="4" w:space="0"/>
              <w:right w:val="single" w:color="auto" w:sz="4" w:space="0"/>
            </w:tcBorders>
            <w:shd w:val="clear" w:color="auto" w:fill="auto"/>
          </w:tcPr>
          <w:p>
            <w:pPr>
              <w:snapToGrid w:val="0"/>
              <w:spacing w:line="276" w:lineRule="auto"/>
              <w:jc w:val="center"/>
              <w:rPr>
                <w:rFonts w:ascii="宋体" w:hAnsi="宋体" w:cs="Arial"/>
                <w:color w:val="000000"/>
                <w:sz w:val="24"/>
              </w:rPr>
            </w:pPr>
            <w:r>
              <w:rPr>
                <w:rFonts w:ascii="宋体" w:hAnsi="宋体" w:cs="Arial"/>
                <w:color w:val="000000"/>
                <w:sz w:val="24"/>
              </w:rPr>
              <w:t>备件到场时间</w:t>
            </w:r>
          </w:p>
        </w:tc>
        <w:tc>
          <w:tcPr>
            <w:tcW w:w="1267" w:type="dxa"/>
            <w:tcBorders>
              <w:top w:val="single" w:color="auto" w:sz="12" w:space="0"/>
              <w:left w:val="single" w:color="auto" w:sz="4" w:space="0"/>
              <w:bottom w:val="single" w:color="auto" w:sz="4" w:space="0"/>
              <w:right w:val="single" w:color="auto" w:sz="12" w:space="0"/>
            </w:tcBorders>
            <w:shd w:val="clear" w:color="auto" w:fill="auto"/>
          </w:tcPr>
          <w:p>
            <w:pPr>
              <w:snapToGrid w:val="0"/>
              <w:spacing w:line="276" w:lineRule="auto"/>
              <w:jc w:val="center"/>
              <w:rPr>
                <w:rFonts w:ascii="宋体" w:hAnsi="宋体" w:cs="Arial"/>
                <w:color w:val="000000"/>
                <w:sz w:val="24"/>
              </w:rPr>
            </w:pPr>
            <w:r>
              <w:rPr>
                <w:rFonts w:ascii="宋体" w:hAnsi="宋体" w:cs="Arial"/>
                <w:color w:val="000000"/>
                <w:sz w:val="24"/>
              </w:rPr>
              <w:t>故障恢复时间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1</w:t>
            </w:r>
          </w:p>
        </w:tc>
        <w:tc>
          <w:tcPr>
            <w:tcW w:w="2830" w:type="dxa"/>
            <w:tcBorders>
              <w:top w:val="single" w:color="auto" w:sz="4" w:space="0"/>
              <w:left w:val="single" w:color="auto" w:sz="4" w:space="0"/>
              <w:bottom w:val="single" w:color="auto" w:sz="4" w:space="0"/>
              <w:right w:val="single" w:color="auto" w:sz="4" w:space="0"/>
            </w:tcBorders>
            <w:vAlign w:val="center"/>
          </w:tcPr>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工作时间30分钟内</w:t>
            </w:r>
          </w:p>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非工作时间1小时内</w:t>
            </w:r>
          </w:p>
        </w:tc>
        <w:tc>
          <w:tcPr>
            <w:tcW w:w="1843" w:type="dxa"/>
            <w:vMerge w:val="restart"/>
            <w:tcBorders>
              <w:top w:val="single" w:color="auto" w:sz="4" w:space="0"/>
              <w:left w:val="single" w:color="auto" w:sz="4" w:space="0"/>
              <w:bottom w:val="single" w:color="auto" w:sz="12" w:space="0"/>
              <w:right w:val="single" w:color="auto" w:sz="4" w:space="0"/>
            </w:tcBorders>
            <w:vAlign w:val="center"/>
          </w:tcPr>
          <w:p>
            <w:pPr>
              <w:snapToGrid w:val="0"/>
              <w:spacing w:line="276" w:lineRule="auto"/>
              <w:jc w:val="left"/>
              <w:rPr>
                <w:rFonts w:ascii="宋体" w:hAnsi="宋体" w:cs="Arial"/>
                <w:color w:val="000000"/>
                <w:sz w:val="24"/>
              </w:rPr>
            </w:pPr>
            <w:r>
              <w:rPr>
                <w:rFonts w:ascii="宋体" w:hAnsi="宋体" w:cs="Arial"/>
                <w:color w:val="000000"/>
                <w:sz w:val="24"/>
              </w:rPr>
              <w:t>若无法通过远程解决故障，则：</w:t>
            </w:r>
          </w:p>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 4小时到现场处理。</w:t>
            </w:r>
          </w:p>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 8小时到现场处理。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4小时内提供备件</w:t>
            </w:r>
          </w:p>
        </w:tc>
        <w:tc>
          <w:tcPr>
            <w:tcW w:w="12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hint="eastAsia" w:ascii="宋体" w:hAnsi="宋体" w:cs="Arial"/>
                <w:color w:val="000000"/>
                <w:sz w:val="24"/>
              </w:rPr>
              <w:t>8</w:t>
            </w:r>
            <w:r>
              <w:rPr>
                <w:rFonts w:ascii="宋体" w:hAnsi="宋体" w:cs="Arial"/>
                <w:color w:val="000000"/>
                <w:sz w:val="24"/>
              </w:rPr>
              <w:t>小时内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2</w:t>
            </w:r>
          </w:p>
        </w:tc>
        <w:tc>
          <w:tcPr>
            <w:tcW w:w="2830" w:type="dxa"/>
            <w:tcBorders>
              <w:top w:val="single" w:color="auto" w:sz="4" w:space="0"/>
              <w:left w:val="single" w:color="auto" w:sz="4" w:space="0"/>
              <w:bottom w:val="single" w:color="auto" w:sz="4" w:space="0"/>
              <w:right w:val="single" w:color="auto" w:sz="4" w:space="0"/>
            </w:tcBorders>
            <w:vAlign w:val="center"/>
          </w:tcPr>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工作时间1小时内</w:t>
            </w:r>
          </w:p>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非工作时间2小时内</w:t>
            </w:r>
          </w:p>
        </w:tc>
        <w:tc>
          <w:tcPr>
            <w:tcW w:w="1843"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12小时内提供备件</w:t>
            </w:r>
          </w:p>
        </w:tc>
        <w:tc>
          <w:tcPr>
            <w:tcW w:w="12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24小时内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3</w:t>
            </w:r>
          </w:p>
        </w:tc>
        <w:tc>
          <w:tcPr>
            <w:tcW w:w="2830" w:type="dxa"/>
            <w:tcBorders>
              <w:top w:val="single" w:color="auto" w:sz="4" w:space="0"/>
              <w:left w:val="single" w:color="auto" w:sz="4" w:space="0"/>
              <w:bottom w:val="single" w:color="auto" w:sz="4" w:space="0"/>
              <w:right w:val="single" w:color="auto" w:sz="4" w:space="0"/>
            </w:tcBorders>
            <w:vAlign w:val="center"/>
          </w:tcPr>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工作时间2小时内</w:t>
            </w:r>
          </w:p>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非工作时间4小时内</w:t>
            </w:r>
          </w:p>
        </w:tc>
        <w:tc>
          <w:tcPr>
            <w:tcW w:w="1843"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76" w:type="dxa"/>
            <w:vMerge w:val="restart"/>
            <w:tcBorders>
              <w:top w:val="single" w:color="auto" w:sz="4" w:space="0"/>
              <w:left w:val="single" w:color="auto" w:sz="4" w:space="0"/>
              <w:bottom w:val="single" w:color="auto" w:sz="12" w:space="0"/>
              <w:right w:val="single" w:color="auto" w:sz="4" w:space="0"/>
            </w:tcBorders>
            <w:vAlign w:val="center"/>
          </w:tcPr>
          <w:p>
            <w:pPr>
              <w:snapToGrid w:val="0"/>
              <w:spacing w:line="276" w:lineRule="auto"/>
              <w:ind w:firstLine="480" w:firstLineChars="200"/>
              <w:rPr>
                <w:rFonts w:ascii="宋体" w:hAnsi="宋体" w:cs="Arial"/>
                <w:color w:val="000000"/>
                <w:sz w:val="24"/>
              </w:rPr>
            </w:pPr>
          </w:p>
        </w:tc>
        <w:tc>
          <w:tcPr>
            <w:tcW w:w="12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48小时内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12"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4</w:t>
            </w:r>
          </w:p>
        </w:tc>
        <w:tc>
          <w:tcPr>
            <w:tcW w:w="2830" w:type="dxa"/>
            <w:tcBorders>
              <w:top w:val="single" w:color="auto" w:sz="4" w:space="0"/>
              <w:left w:val="single" w:color="auto" w:sz="4" w:space="0"/>
              <w:bottom w:val="single" w:color="auto" w:sz="12" w:space="0"/>
              <w:right w:val="single" w:color="auto" w:sz="4" w:space="0"/>
            </w:tcBorders>
            <w:vAlign w:val="center"/>
          </w:tcPr>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工作时间4小时内</w:t>
            </w:r>
          </w:p>
          <w:p>
            <w:pPr>
              <w:numPr>
                <w:ilvl w:val="0"/>
                <w:numId w:val="15"/>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非工作时间8小时内</w:t>
            </w:r>
          </w:p>
        </w:tc>
        <w:tc>
          <w:tcPr>
            <w:tcW w:w="1843"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76"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67" w:type="dxa"/>
            <w:tcBorders>
              <w:top w:val="single" w:color="auto" w:sz="4" w:space="0"/>
              <w:left w:val="single" w:color="auto" w:sz="4" w:space="0"/>
              <w:bottom w:val="single" w:color="auto" w:sz="12"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96小时内</w:t>
            </w:r>
          </w:p>
        </w:tc>
      </w:tr>
    </w:tbl>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考核指标及方法：</w:t>
      </w:r>
    </w:p>
    <w:p>
      <w:pPr>
        <w:snapToGrid w:val="0"/>
        <w:spacing w:line="276" w:lineRule="auto"/>
        <w:ind w:firstLine="420"/>
        <w:rPr>
          <w:rFonts w:ascii="宋体" w:hAnsi="宋体" w:cs="Arial"/>
          <w:color w:val="000000"/>
          <w:sz w:val="24"/>
        </w:rPr>
      </w:pPr>
      <w:r>
        <w:rPr>
          <w:rFonts w:ascii="宋体" w:hAnsi="宋体" w:cs="Arial"/>
          <w:color w:val="000000"/>
          <w:sz w:val="24"/>
        </w:rPr>
        <w:t>1、按次考核，Level 1故障每次响应超时扣3分、现场处理超时扣2分，备件到场时间超时扣1分，故障恢复时间超时扣3分。视故障处理情况再加扣分值，直至扣完本项分值为止。Level 2～4故障每次响应超时扣3分、现场处理超时扣1分，备件到场时间超时扣0.5分，故障恢复时间超时扣2分。直至扣完本项分值为止。</w:t>
      </w:r>
    </w:p>
    <w:p>
      <w:pPr>
        <w:snapToGrid w:val="0"/>
        <w:spacing w:line="276" w:lineRule="auto"/>
        <w:ind w:firstLine="420"/>
        <w:rPr>
          <w:rFonts w:ascii="宋体" w:hAnsi="宋体" w:cs="Arial"/>
          <w:color w:val="000000"/>
          <w:sz w:val="24"/>
        </w:rPr>
      </w:pPr>
      <w:r>
        <w:rPr>
          <w:rFonts w:ascii="宋体" w:hAnsi="宋体" w:cs="Arial"/>
          <w:color w:val="000000"/>
          <w:sz w:val="24"/>
        </w:rPr>
        <w:t>2、对乙方责任引起的重大、紧急故障，按出现的故障次数进行扣分考核，每次有权扣1-10分。</w:t>
      </w:r>
    </w:p>
    <w:p>
      <w:pPr>
        <w:snapToGrid w:val="0"/>
        <w:spacing w:line="276" w:lineRule="auto"/>
        <w:ind w:firstLine="420"/>
        <w:rPr>
          <w:rFonts w:ascii="宋体" w:hAnsi="宋体" w:cs="Arial"/>
          <w:color w:val="000000"/>
          <w:sz w:val="24"/>
        </w:rPr>
      </w:pPr>
      <w:r>
        <w:rPr>
          <w:rFonts w:ascii="宋体" w:hAnsi="宋体" w:cs="Arial"/>
          <w:color w:val="000000"/>
          <w:sz w:val="24"/>
        </w:rPr>
        <w:t>3、对于紧急、重大故障，乙方有责任尽力协助甲方尽快恢复系统，非甲方原因导致系统恢复不及时，甲方每次有权扣1-10分。</w:t>
      </w:r>
    </w:p>
    <w:p>
      <w:pPr>
        <w:snapToGrid w:val="0"/>
        <w:spacing w:line="276" w:lineRule="auto"/>
        <w:ind w:firstLine="420"/>
        <w:rPr>
          <w:rFonts w:ascii="宋体" w:hAnsi="宋体" w:cs="Arial"/>
          <w:color w:val="000000"/>
          <w:sz w:val="24"/>
        </w:rPr>
      </w:pPr>
      <w:r>
        <w:rPr>
          <w:rFonts w:ascii="宋体" w:hAnsi="宋体" w:cs="Arial"/>
          <w:color w:val="000000"/>
          <w:sz w:val="24"/>
        </w:rPr>
        <w:t>第二部分：专业维修期间业务持续保障支持（30分）</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firstLine="420"/>
        <w:rPr>
          <w:rFonts w:ascii="宋体" w:hAnsi="宋体" w:cs="Arial"/>
          <w:color w:val="000000"/>
          <w:sz w:val="24"/>
        </w:rPr>
      </w:pPr>
      <w:r>
        <w:rPr>
          <w:rFonts w:ascii="宋体" w:hAnsi="宋体" w:cs="Arial"/>
          <w:color w:val="000000"/>
          <w:sz w:val="24"/>
        </w:rPr>
        <w:t>1、硬件系统专业维修期间保证系统业务持续，乙方可采用临时备件等方式保障，具体方式由乙方自行选择。</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指标和要求：</w:t>
      </w:r>
    </w:p>
    <w:p>
      <w:pPr>
        <w:snapToGrid w:val="0"/>
        <w:spacing w:line="276" w:lineRule="auto"/>
        <w:ind w:firstLine="420"/>
        <w:rPr>
          <w:rFonts w:ascii="宋体" w:hAnsi="宋体" w:cs="Arial"/>
          <w:color w:val="000000"/>
          <w:sz w:val="24"/>
        </w:rPr>
      </w:pPr>
      <w:r>
        <w:rPr>
          <w:rFonts w:ascii="宋体" w:hAnsi="宋体" w:cs="Arial"/>
          <w:color w:val="000000"/>
          <w:sz w:val="24"/>
        </w:rPr>
        <w:t>1、在确定甲方系统需要专业维修的情况下，乙方应提供专业方式保障甲方业务系统的持续运行。</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考核指标及方法：</w:t>
      </w:r>
    </w:p>
    <w:p>
      <w:pPr>
        <w:snapToGrid w:val="0"/>
        <w:spacing w:line="276" w:lineRule="auto"/>
        <w:ind w:firstLine="420"/>
        <w:rPr>
          <w:rFonts w:ascii="宋体" w:hAnsi="宋体" w:cs="Arial"/>
          <w:color w:val="000000"/>
          <w:sz w:val="24"/>
        </w:rPr>
      </w:pPr>
      <w:r>
        <w:rPr>
          <w:rFonts w:ascii="宋体" w:hAnsi="宋体" w:cs="Arial"/>
          <w:color w:val="000000"/>
          <w:sz w:val="24"/>
        </w:rPr>
        <w:t>1、对紧急、重大故障的处理需乙方硬件支持，而乙方未能按要求时限提供的，按次进行扣分考核，每出现一次有权扣2分。</w:t>
      </w:r>
    </w:p>
    <w:p>
      <w:pPr>
        <w:snapToGrid w:val="0"/>
        <w:spacing w:line="276" w:lineRule="auto"/>
        <w:ind w:firstLine="420"/>
        <w:rPr>
          <w:rFonts w:ascii="宋体" w:hAnsi="宋体" w:cs="Arial"/>
          <w:color w:val="000000"/>
          <w:sz w:val="24"/>
        </w:rPr>
      </w:pPr>
      <w:r>
        <w:rPr>
          <w:rFonts w:ascii="宋体" w:hAnsi="宋体" w:cs="Arial"/>
          <w:color w:val="000000"/>
          <w:sz w:val="24"/>
        </w:rPr>
        <w:t>第三部分：专业检查（30分）</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firstLine="420"/>
        <w:rPr>
          <w:rFonts w:ascii="宋体" w:hAnsi="宋体" w:cs="Arial"/>
          <w:color w:val="000000"/>
          <w:sz w:val="24"/>
        </w:rPr>
      </w:pPr>
      <w:r>
        <w:rPr>
          <w:rFonts w:ascii="宋体" w:hAnsi="宋体" w:cs="Arial"/>
          <w:color w:val="000000"/>
          <w:sz w:val="24"/>
        </w:rPr>
        <w:t>1、乙方按要求为甲方提供现场预防性专业检查服务，保障甲方无线通讯系统能够平稳运行。检查范围包括附件1中所有系统，根据检查结果按需进行专业维修工作，出具检查报告。</w:t>
      </w:r>
    </w:p>
    <w:p>
      <w:pPr>
        <w:snapToGrid w:val="0"/>
        <w:spacing w:line="276" w:lineRule="auto"/>
        <w:ind w:firstLine="420"/>
        <w:rPr>
          <w:rFonts w:ascii="宋体" w:hAnsi="宋体" w:cs="Arial"/>
          <w:color w:val="000000"/>
          <w:sz w:val="24"/>
        </w:rPr>
      </w:pPr>
      <w:r>
        <w:rPr>
          <w:rFonts w:ascii="宋体" w:hAnsi="宋体" w:cs="Arial"/>
          <w:color w:val="000000"/>
          <w:sz w:val="24"/>
        </w:rPr>
        <w:t>2、对无线通讯系统，按约定频度进行专业检查。</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要求：</w:t>
      </w:r>
    </w:p>
    <w:p>
      <w:pPr>
        <w:snapToGrid w:val="0"/>
        <w:spacing w:line="276" w:lineRule="auto"/>
        <w:ind w:firstLine="420"/>
        <w:rPr>
          <w:rFonts w:ascii="宋体" w:hAnsi="宋体" w:cs="Arial"/>
          <w:color w:val="000000"/>
          <w:sz w:val="24"/>
        </w:rPr>
      </w:pPr>
      <w:r>
        <w:rPr>
          <w:rFonts w:ascii="宋体" w:hAnsi="宋体" w:cs="Arial"/>
          <w:color w:val="000000"/>
          <w:sz w:val="24"/>
        </w:rPr>
        <w:t>1、乙方应在合同生效时提供相应的工作计划。</w:t>
      </w:r>
    </w:p>
    <w:p>
      <w:pPr>
        <w:snapToGrid w:val="0"/>
        <w:spacing w:line="276" w:lineRule="auto"/>
        <w:ind w:firstLine="420"/>
        <w:rPr>
          <w:rFonts w:ascii="宋体" w:hAnsi="宋体" w:cs="Arial"/>
          <w:color w:val="000000"/>
          <w:sz w:val="24"/>
        </w:rPr>
      </w:pPr>
      <w:r>
        <w:rPr>
          <w:rFonts w:ascii="宋体" w:hAnsi="宋体" w:cs="Arial"/>
          <w:color w:val="000000"/>
          <w:sz w:val="24"/>
        </w:rPr>
        <w:t>2、乙方按计划节点进行相应的检查工作，并提供检查报告，如需进行维修则进行维修工作。</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考核指标及方法：</w:t>
      </w:r>
    </w:p>
    <w:p>
      <w:pPr>
        <w:snapToGrid w:val="0"/>
        <w:spacing w:line="276" w:lineRule="auto"/>
        <w:ind w:firstLine="420"/>
        <w:rPr>
          <w:rFonts w:ascii="宋体" w:hAnsi="宋体" w:cs="Arial"/>
          <w:color w:val="000000"/>
          <w:sz w:val="24"/>
        </w:rPr>
      </w:pPr>
      <w:r>
        <w:rPr>
          <w:rFonts w:ascii="宋体" w:hAnsi="宋体" w:cs="Arial"/>
          <w:color w:val="000000"/>
          <w:sz w:val="24"/>
        </w:rPr>
        <w:t>1、未提供检查计划，有权扣1-10分；</w:t>
      </w:r>
    </w:p>
    <w:p>
      <w:pPr>
        <w:snapToGrid w:val="0"/>
        <w:spacing w:line="276" w:lineRule="auto"/>
        <w:ind w:firstLine="420"/>
        <w:rPr>
          <w:rFonts w:ascii="宋体" w:hAnsi="宋体" w:cs="Arial"/>
          <w:color w:val="000000"/>
          <w:sz w:val="24"/>
        </w:rPr>
      </w:pPr>
      <w:r>
        <w:rPr>
          <w:rFonts w:ascii="宋体" w:hAnsi="宋体" w:cs="Arial"/>
          <w:color w:val="000000"/>
          <w:sz w:val="24"/>
        </w:rPr>
        <w:t>2、未按计划进行检查的，根据计划内容的重要性，有权扣1-10分。</w:t>
      </w:r>
    </w:p>
    <w:p>
      <w:pPr>
        <w:snapToGrid w:val="0"/>
        <w:spacing w:line="276" w:lineRule="auto"/>
        <w:ind w:firstLine="420"/>
        <w:rPr>
          <w:rFonts w:ascii="宋体" w:hAnsi="宋体" w:cs="Arial"/>
          <w:color w:val="000000"/>
          <w:sz w:val="24"/>
        </w:rPr>
      </w:pPr>
      <w:r>
        <w:rPr>
          <w:rFonts w:ascii="宋体" w:hAnsi="宋体" w:cs="Arial"/>
          <w:color w:val="000000"/>
          <w:sz w:val="24"/>
        </w:rPr>
        <w:t>3、检查完毕未按要求提供巡检报告，根据检查内容的重要性，有权扣1-10分。</w:t>
      </w:r>
    </w:p>
    <w:p>
      <w:pPr>
        <w:snapToGrid w:val="0"/>
        <w:spacing w:line="276" w:lineRule="auto"/>
        <w:ind w:firstLine="420"/>
        <w:rPr>
          <w:rFonts w:ascii="Arial" w:hAnsi="Arial" w:cs="Arial" w:eastAsiaTheme="minorEastAsia"/>
          <w:b/>
          <w:sz w:val="24"/>
        </w:rPr>
      </w:pPr>
      <w:r>
        <w:rPr>
          <w:rFonts w:ascii="Arial" w:hAnsi="Arial" w:cs="Arial" w:eastAsiaTheme="minorEastAsia"/>
          <w:b/>
          <w:sz w:val="24"/>
        </w:rPr>
        <w:t>第四部分：满意度（10分）</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right="-207" w:rightChars="-94"/>
        <w:rPr>
          <w:rFonts w:ascii="宋体" w:hAnsi="宋体" w:cs="Arial"/>
          <w:color w:val="000000"/>
          <w:sz w:val="24"/>
        </w:rPr>
      </w:pPr>
      <w:r>
        <w:rPr>
          <w:rFonts w:ascii="宋体" w:hAnsi="宋体" w:cs="Arial"/>
          <w:color w:val="000000"/>
          <w:sz w:val="24"/>
        </w:rPr>
        <w:t>甲方根据考核期乙方的服务情况，给出当期的服务满意度（10分）</w:t>
      </w:r>
    </w:p>
    <w:p>
      <w:pPr>
        <w:snapToGrid w:val="0"/>
        <w:spacing w:line="276" w:lineRule="auto"/>
        <w:ind w:firstLine="420"/>
        <w:rPr>
          <w:rFonts w:ascii="宋体" w:hAnsi="宋体" w:cs="Arial"/>
          <w:color w:val="000000"/>
          <w:sz w:val="24"/>
        </w:rPr>
      </w:pPr>
      <w:r>
        <w:rPr>
          <w:rFonts w:ascii="宋体" w:hAnsi="宋体" w:cs="Arial"/>
          <w:color w:val="000000"/>
          <w:sz w:val="24"/>
        </w:rPr>
        <w:t>很满意，得9-10分；</w:t>
      </w:r>
    </w:p>
    <w:p>
      <w:pPr>
        <w:snapToGrid w:val="0"/>
        <w:spacing w:line="276" w:lineRule="auto"/>
        <w:ind w:firstLine="420"/>
        <w:rPr>
          <w:rFonts w:ascii="宋体" w:hAnsi="宋体" w:cs="Arial"/>
          <w:color w:val="000000"/>
          <w:sz w:val="24"/>
        </w:rPr>
      </w:pPr>
      <w:r>
        <w:rPr>
          <w:rFonts w:ascii="宋体" w:hAnsi="宋体" w:cs="Arial"/>
          <w:color w:val="000000"/>
          <w:sz w:val="24"/>
        </w:rPr>
        <w:t>满意，得6-9（不含9）分；</w:t>
      </w:r>
    </w:p>
    <w:p>
      <w:pPr>
        <w:snapToGrid w:val="0"/>
        <w:spacing w:line="276" w:lineRule="auto"/>
        <w:ind w:firstLine="420"/>
        <w:rPr>
          <w:rFonts w:ascii="宋体" w:hAnsi="宋体" w:cs="Arial"/>
          <w:color w:val="000000"/>
          <w:sz w:val="24"/>
        </w:rPr>
      </w:pPr>
      <w:r>
        <w:rPr>
          <w:rFonts w:ascii="宋体" w:hAnsi="宋体" w:cs="Arial"/>
          <w:color w:val="000000"/>
          <w:sz w:val="24"/>
        </w:rPr>
        <w:t>较满意，得5-6（不含6）分；</w:t>
      </w:r>
    </w:p>
    <w:p>
      <w:pPr>
        <w:snapToGrid w:val="0"/>
        <w:spacing w:line="276" w:lineRule="auto"/>
        <w:ind w:firstLine="420"/>
        <w:rPr>
          <w:rFonts w:ascii="宋体" w:hAnsi="宋体" w:cs="Arial"/>
          <w:color w:val="000000"/>
          <w:sz w:val="24"/>
        </w:rPr>
      </w:pPr>
      <w:r>
        <w:rPr>
          <w:rFonts w:ascii="宋体" w:hAnsi="宋体" w:cs="Arial"/>
          <w:color w:val="000000"/>
          <w:sz w:val="24"/>
        </w:rPr>
        <w:t>一般，得1-3（不含3）分；</w:t>
      </w:r>
    </w:p>
    <w:p>
      <w:pPr>
        <w:snapToGrid w:val="0"/>
        <w:spacing w:line="276" w:lineRule="auto"/>
        <w:ind w:firstLine="420"/>
        <w:rPr>
          <w:rFonts w:ascii="宋体" w:hAnsi="宋体" w:cs="Arial"/>
          <w:color w:val="000000"/>
          <w:sz w:val="24"/>
        </w:rPr>
      </w:pPr>
      <w:r>
        <w:rPr>
          <w:rFonts w:ascii="宋体" w:hAnsi="宋体" w:cs="Arial"/>
          <w:color w:val="000000"/>
          <w:sz w:val="24"/>
        </w:rPr>
        <w:t>不满意，得0-1（不含2）分；</w:t>
      </w:r>
    </w:p>
    <w:p>
      <w:pPr>
        <w:pStyle w:val="76"/>
        <w:numPr>
          <w:ilvl w:val="0"/>
          <w:numId w:val="14"/>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考核方法：</w:t>
      </w:r>
    </w:p>
    <w:p>
      <w:pPr>
        <w:snapToGrid w:val="0"/>
        <w:spacing w:line="276" w:lineRule="auto"/>
        <w:ind w:firstLine="420"/>
        <w:rPr>
          <w:rFonts w:ascii="宋体" w:hAnsi="宋体" w:cs="Arial"/>
          <w:color w:val="000000"/>
          <w:sz w:val="24"/>
        </w:rPr>
      </w:pPr>
      <w:r>
        <w:rPr>
          <w:rFonts w:ascii="宋体" w:hAnsi="宋体" w:cs="Arial"/>
          <w:color w:val="000000"/>
          <w:sz w:val="24"/>
        </w:rPr>
        <w:t>每</w:t>
      </w:r>
      <w:r>
        <w:rPr>
          <w:rFonts w:hint="eastAsia" w:ascii="宋体" w:hAnsi="宋体" w:cs="Arial"/>
          <w:color w:val="000000"/>
          <w:sz w:val="24"/>
        </w:rPr>
        <w:t>6个月</w:t>
      </w:r>
      <w:r>
        <w:rPr>
          <w:rFonts w:ascii="宋体" w:hAnsi="宋体" w:cs="Arial"/>
          <w:color w:val="000000"/>
          <w:sz w:val="24"/>
        </w:rPr>
        <w:t>由甲方给出乙方技术服务满意度得分。</w:t>
      </w:r>
    </w:p>
    <w:p>
      <w:pPr>
        <w:snapToGrid w:val="0"/>
        <w:spacing w:line="276" w:lineRule="auto"/>
        <w:ind w:firstLine="420"/>
        <w:rPr>
          <w:rFonts w:ascii="宋体" w:hAnsi="宋体" w:cs="Arial"/>
          <w:color w:val="000000"/>
          <w:sz w:val="24"/>
        </w:rPr>
      </w:pPr>
      <w:r>
        <w:rPr>
          <w:rFonts w:ascii="宋体" w:hAnsi="宋体" w:cs="Arial"/>
          <w:color w:val="000000"/>
          <w:sz w:val="24"/>
        </w:rPr>
        <w:t>依照公平、公正的原则，甲方的评价人员不得少于2人。</w:t>
      </w:r>
    </w:p>
    <w:tbl>
      <w:tblPr>
        <w:tblStyle w:val="48"/>
        <w:tblW w:w="5035"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022"/>
        <w:gridCol w:w="1380"/>
        <w:gridCol w:w="731"/>
        <w:gridCol w:w="3988"/>
        <w:gridCol w:w="54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0" w:type="pct"/>
            <w:gridSpan w:val="7"/>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列表1：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7"/>
            <w:vAlign w:val="center"/>
          </w:tcPr>
          <w:p>
            <w:pPr>
              <w:widowControl/>
              <w:tabs>
                <w:tab w:val="left" w:pos="13152"/>
              </w:tabs>
              <w:snapToGrid w:val="0"/>
              <w:spacing w:line="276" w:lineRule="auto"/>
              <w:ind w:firstLine="825" w:firstLineChars="344"/>
              <w:jc w:val="center"/>
              <w:rPr>
                <w:rFonts w:ascii="宋体" w:hAnsi="宋体" w:cs="Arial"/>
                <w:color w:val="000000"/>
                <w:sz w:val="24"/>
              </w:rPr>
            </w:pPr>
            <w:r>
              <w:rPr>
                <w:rFonts w:ascii="宋体" w:hAnsi="宋体" w:cs="Arial"/>
                <w:color w:val="000000"/>
                <w:sz w:val="24"/>
              </w:rPr>
              <w:t>对乙方系统服务质量考评表</w:t>
            </w:r>
          </w:p>
          <w:p>
            <w:pPr>
              <w:widowControl/>
              <w:tabs>
                <w:tab w:val="left" w:pos="13152"/>
              </w:tabs>
              <w:snapToGrid w:val="0"/>
              <w:spacing w:line="276" w:lineRule="auto"/>
              <w:jc w:val="left"/>
              <w:rPr>
                <w:rFonts w:ascii="宋体" w:hAnsi="宋体" w:cs="Arial"/>
                <w:color w:val="000000"/>
                <w:sz w:val="24"/>
              </w:rPr>
            </w:pPr>
            <w:r>
              <w:rPr>
                <w:rFonts w:ascii="宋体" w:hAnsi="宋体" w:cs="Arial"/>
                <w:color w:val="000000"/>
                <w:sz w:val="24"/>
              </w:rPr>
              <w:t>评价时间：                                    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76"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评价项目</w:t>
            </w:r>
          </w:p>
        </w:tc>
        <w:tc>
          <w:tcPr>
            <w:tcW w:w="1229" w:type="pct"/>
            <w:gridSpan w:val="2"/>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细则</w:t>
            </w:r>
          </w:p>
        </w:tc>
        <w:tc>
          <w:tcPr>
            <w:tcW w:w="374"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分值</w:t>
            </w:r>
          </w:p>
        </w:tc>
        <w:tc>
          <w:tcPr>
            <w:tcW w:w="2040"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评分方式</w:t>
            </w:r>
          </w:p>
        </w:tc>
        <w:tc>
          <w:tcPr>
            <w:tcW w:w="276"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评分</w:t>
            </w:r>
          </w:p>
        </w:tc>
        <w:tc>
          <w:tcPr>
            <w:tcW w:w="705"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0" w:type="auto"/>
            <w:gridSpan w:val="2"/>
            <w:vMerge w:val="continue"/>
            <w:vAlign w:val="center"/>
          </w:tcPr>
          <w:p>
            <w:pPr>
              <w:widowControl/>
              <w:snapToGrid w:val="0"/>
              <w:spacing w:line="276" w:lineRule="auto"/>
              <w:jc w:val="left"/>
              <w:rPr>
                <w:rFonts w:ascii="宋体" w:hAnsi="宋体" w:cs="Arial"/>
                <w:color w:val="000000"/>
                <w:sz w:val="24"/>
              </w:rPr>
            </w:pP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6"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专业保障</w:t>
            </w: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Level1</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超过半数信道机不工作、信道机软硬件故障；系统有工作，但天线、馈线、合、分路器、双工器故障，影响所有终端工作，影响甲方业务；</w:t>
            </w:r>
          </w:p>
        </w:tc>
        <w:tc>
          <w:tcPr>
            <w:tcW w:w="374" w:type="pct"/>
            <w:vMerge w:val="restart"/>
            <w:vAlign w:val="center"/>
          </w:tcPr>
          <w:p>
            <w:pPr>
              <w:snapToGrid w:val="0"/>
              <w:spacing w:line="276" w:lineRule="auto"/>
              <w:jc w:val="left"/>
              <w:rPr>
                <w:rFonts w:ascii="宋体" w:hAnsi="宋体" w:cs="Arial"/>
                <w:color w:val="000000"/>
                <w:sz w:val="24"/>
              </w:rPr>
            </w:pPr>
            <w:r>
              <w:rPr>
                <w:rFonts w:ascii="宋体" w:hAnsi="宋体" w:cs="Arial"/>
                <w:color w:val="000000"/>
                <w:sz w:val="24"/>
              </w:rPr>
              <w:t>30</w:t>
            </w:r>
          </w:p>
        </w:tc>
        <w:tc>
          <w:tcPr>
            <w:tcW w:w="2040" w:type="pct"/>
            <w:vMerge w:val="restart"/>
          </w:tcPr>
          <w:p>
            <w:pPr>
              <w:numPr>
                <w:ilvl w:val="0"/>
                <w:numId w:val="16"/>
              </w:numPr>
              <w:snapToGrid w:val="0"/>
              <w:spacing w:line="276" w:lineRule="auto"/>
              <w:jc w:val="left"/>
              <w:rPr>
                <w:rFonts w:ascii="宋体" w:hAnsi="宋体" w:cs="Arial"/>
                <w:color w:val="000000"/>
                <w:sz w:val="24"/>
              </w:rPr>
            </w:pPr>
            <w:r>
              <w:rPr>
                <w:rFonts w:ascii="宋体" w:hAnsi="宋体" w:cs="Arial"/>
                <w:color w:val="000000"/>
                <w:sz w:val="24"/>
              </w:rPr>
              <w:t>按次考核，Level  1故障每次响应超时扣3分、现场处理超时扣2分，备件到场时间超时扣1分，故障恢复时间超时扣3分。视故障处理情况再加扣分值，直至扣完本项分值为止。Level2～4故障每次响应超时扣3分、现场处理超时扣1分，备件到场时间超时扣0.5分，故障恢复时间超时扣2分。直至扣完本项分值为止。</w:t>
            </w:r>
          </w:p>
          <w:p>
            <w:pPr>
              <w:numPr>
                <w:ilvl w:val="0"/>
                <w:numId w:val="16"/>
              </w:numPr>
              <w:snapToGrid w:val="0"/>
              <w:spacing w:line="276" w:lineRule="auto"/>
              <w:jc w:val="left"/>
              <w:rPr>
                <w:rFonts w:ascii="宋体" w:hAnsi="宋体" w:cs="Arial"/>
                <w:color w:val="000000"/>
                <w:sz w:val="24"/>
              </w:rPr>
            </w:pPr>
            <w:r>
              <w:rPr>
                <w:rFonts w:ascii="宋体" w:hAnsi="宋体" w:cs="Arial"/>
                <w:color w:val="000000"/>
                <w:sz w:val="24"/>
              </w:rPr>
              <w:t>对乙方责任引起的重大、紧急故障，按出现的故障次数进行扣分考核，每次有权扣1-10分。</w:t>
            </w:r>
          </w:p>
          <w:p>
            <w:pPr>
              <w:numPr>
                <w:ilvl w:val="0"/>
                <w:numId w:val="16"/>
              </w:numPr>
              <w:snapToGrid w:val="0"/>
              <w:spacing w:line="276" w:lineRule="auto"/>
              <w:jc w:val="left"/>
              <w:rPr>
                <w:rFonts w:ascii="宋体" w:hAnsi="宋体" w:cs="Arial"/>
                <w:color w:val="000000"/>
                <w:sz w:val="24"/>
              </w:rPr>
            </w:pPr>
            <w:r>
              <w:rPr>
                <w:rFonts w:ascii="宋体" w:hAnsi="宋体" w:cs="Arial"/>
                <w:color w:val="000000"/>
                <w:sz w:val="24"/>
              </w:rPr>
              <w:t>对于紧急、重大故障，乙方有责任尽力协助甲方尽快恢复系统，如确有情况表明乙方支持不力的，每次有权扣1-10分。</w:t>
            </w:r>
          </w:p>
        </w:tc>
        <w:tc>
          <w:tcPr>
            <w:tcW w:w="276" w:type="pct"/>
            <w:vMerge w:val="restar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　</w:t>
            </w:r>
          </w:p>
        </w:tc>
        <w:tc>
          <w:tcPr>
            <w:tcW w:w="705" w:type="pct"/>
            <w:vMerge w:val="restart"/>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Level2</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个别信道机故障、系统容量下降；直放站近、远端机或耦合器件发生个别故障，影响个别区域无线对讲通讯；</w:t>
            </w: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Level3</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系统运行正常，仅出现系统警告性报错或发生个别区域不明原因信号干扰，导致信号有所减弱，但不影响甲方业务；</w:t>
            </w: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Level4</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甲方对系统改进、软件更新或升级或产品使用方面的问题。</w:t>
            </w: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1229" w:type="pct"/>
            <w:gridSpan w:val="2"/>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专业维修期间业务持续保障支持</w:t>
            </w:r>
          </w:p>
        </w:tc>
        <w:tc>
          <w:tcPr>
            <w:tcW w:w="374"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30</w:t>
            </w:r>
          </w:p>
        </w:tc>
        <w:tc>
          <w:tcPr>
            <w:tcW w:w="2040"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对紧急、重大故障的处理需乙方硬件支持，而乙方未能按要求时限提供的，按次进行扣分考核，每出现一次有权扣2分，所扣分值在紧急、重大故障处理中体现。</w:t>
            </w:r>
          </w:p>
        </w:tc>
        <w:tc>
          <w:tcPr>
            <w:tcW w:w="27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　</w:t>
            </w:r>
          </w:p>
        </w:tc>
        <w:tc>
          <w:tcPr>
            <w:tcW w:w="705" w:type="pct"/>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1229" w:type="pct"/>
            <w:gridSpan w:val="2"/>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专业检查</w:t>
            </w:r>
          </w:p>
        </w:tc>
        <w:tc>
          <w:tcPr>
            <w:tcW w:w="374" w:type="pct"/>
            <w:vAlign w:val="center"/>
          </w:tcPr>
          <w:p>
            <w:pPr>
              <w:widowControl/>
              <w:snapToGrid w:val="0"/>
              <w:spacing w:line="276" w:lineRule="auto"/>
              <w:jc w:val="left"/>
              <w:rPr>
                <w:rFonts w:ascii="Arial" w:hAnsi="Arial" w:cs="Arial" w:eastAsiaTheme="minorEastAsia"/>
                <w:bCs/>
                <w:kern w:val="0"/>
                <w:sz w:val="24"/>
              </w:rPr>
            </w:pPr>
            <w:r>
              <w:rPr>
                <w:rFonts w:ascii="Arial" w:hAnsi="Arial" w:cs="Arial" w:eastAsiaTheme="minorEastAsia"/>
                <w:bCs/>
                <w:kern w:val="0"/>
                <w:sz w:val="24"/>
              </w:rPr>
              <w:t>30</w:t>
            </w:r>
          </w:p>
        </w:tc>
        <w:tc>
          <w:tcPr>
            <w:tcW w:w="2040" w:type="pct"/>
            <w:vAlign w:val="center"/>
          </w:tcPr>
          <w:p>
            <w:pPr>
              <w:widowControl/>
              <w:numPr>
                <w:ilvl w:val="0"/>
                <w:numId w:val="17"/>
              </w:numPr>
              <w:snapToGrid w:val="0"/>
              <w:spacing w:line="276" w:lineRule="auto"/>
              <w:jc w:val="left"/>
              <w:rPr>
                <w:rFonts w:ascii="宋体" w:hAnsi="宋体" w:cs="Arial"/>
                <w:color w:val="000000"/>
                <w:sz w:val="24"/>
              </w:rPr>
            </w:pPr>
            <w:r>
              <w:rPr>
                <w:rFonts w:ascii="宋体" w:hAnsi="宋体" w:cs="Arial"/>
                <w:color w:val="000000"/>
                <w:sz w:val="24"/>
              </w:rPr>
              <w:t>未提供检查计划，有权扣1-10分；</w:t>
            </w:r>
          </w:p>
          <w:p>
            <w:pPr>
              <w:widowControl/>
              <w:numPr>
                <w:ilvl w:val="0"/>
                <w:numId w:val="17"/>
              </w:numPr>
              <w:snapToGrid w:val="0"/>
              <w:spacing w:line="276" w:lineRule="auto"/>
              <w:jc w:val="left"/>
              <w:rPr>
                <w:rFonts w:ascii="宋体" w:hAnsi="宋体" w:cs="Arial"/>
                <w:color w:val="000000"/>
                <w:sz w:val="24"/>
              </w:rPr>
            </w:pPr>
            <w:r>
              <w:rPr>
                <w:rFonts w:ascii="宋体" w:hAnsi="宋体" w:cs="Arial"/>
                <w:color w:val="000000"/>
                <w:sz w:val="24"/>
              </w:rPr>
              <w:t>未按计划进行检查的，根据计划内容的重要性，有权扣1-10分。</w:t>
            </w:r>
          </w:p>
          <w:p>
            <w:pPr>
              <w:pStyle w:val="76"/>
              <w:widowControl/>
              <w:numPr>
                <w:ilvl w:val="0"/>
                <w:numId w:val="17"/>
              </w:numPr>
              <w:snapToGrid w:val="0"/>
              <w:spacing w:line="276" w:lineRule="auto"/>
              <w:ind w:firstLineChars="0"/>
              <w:jc w:val="left"/>
              <w:rPr>
                <w:rFonts w:ascii="宋体" w:hAnsi="宋体" w:eastAsia="宋体" w:cs="Arial"/>
                <w:color w:val="000000"/>
                <w:sz w:val="24"/>
                <w:szCs w:val="20"/>
              </w:rPr>
            </w:pPr>
            <w:r>
              <w:rPr>
                <w:rFonts w:ascii="宋体" w:hAnsi="宋体" w:eastAsia="宋体" w:cs="Arial"/>
                <w:color w:val="000000"/>
                <w:sz w:val="24"/>
                <w:szCs w:val="20"/>
              </w:rPr>
              <w:t>检查完毕未按要求提供巡检报告，根据检查内容的重要性，有权扣1-10分。</w:t>
            </w:r>
          </w:p>
        </w:tc>
        <w:tc>
          <w:tcPr>
            <w:tcW w:w="276" w:type="pct"/>
            <w:vAlign w:val="center"/>
          </w:tcPr>
          <w:p>
            <w:pPr>
              <w:widowControl/>
              <w:snapToGrid w:val="0"/>
              <w:spacing w:line="276" w:lineRule="auto"/>
              <w:jc w:val="left"/>
              <w:rPr>
                <w:rFonts w:ascii="Arial" w:hAnsi="Arial" w:cs="Arial" w:eastAsiaTheme="minorEastAsia"/>
                <w:bCs/>
                <w:kern w:val="0"/>
                <w:sz w:val="24"/>
              </w:rPr>
            </w:pPr>
          </w:p>
        </w:tc>
        <w:tc>
          <w:tcPr>
            <w:tcW w:w="705" w:type="pct"/>
            <w:vAlign w:val="center"/>
          </w:tcPr>
          <w:p>
            <w:pPr>
              <w:widowControl/>
              <w:snapToGrid w:val="0"/>
              <w:spacing w:line="276" w:lineRule="auto"/>
              <w:jc w:val="left"/>
              <w:rPr>
                <w:rFonts w:ascii="Arial" w:hAnsi="Arial" w:cs="Arial" w:eastAsia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376" w:type="pc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满意度</w:t>
            </w:r>
          </w:p>
        </w:tc>
        <w:tc>
          <w:tcPr>
            <w:tcW w:w="1229" w:type="pct"/>
            <w:gridSpan w:val="2"/>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甲方满意度</w:t>
            </w:r>
          </w:p>
        </w:tc>
        <w:tc>
          <w:tcPr>
            <w:tcW w:w="374" w:type="pct"/>
            <w:vAlign w:val="center"/>
          </w:tcPr>
          <w:p>
            <w:pPr>
              <w:widowControl/>
              <w:snapToGrid w:val="0"/>
              <w:spacing w:line="276" w:lineRule="auto"/>
              <w:jc w:val="left"/>
              <w:rPr>
                <w:rFonts w:ascii="Arial" w:hAnsi="Arial" w:cs="Arial" w:eastAsiaTheme="minorEastAsia"/>
                <w:bCs/>
                <w:kern w:val="0"/>
                <w:sz w:val="24"/>
              </w:rPr>
            </w:pPr>
            <w:r>
              <w:rPr>
                <w:rFonts w:ascii="Arial" w:hAnsi="Arial" w:cs="Arial" w:eastAsiaTheme="minorEastAsia"/>
                <w:bCs/>
                <w:kern w:val="0"/>
                <w:sz w:val="24"/>
              </w:rPr>
              <w:t>10</w:t>
            </w:r>
          </w:p>
        </w:tc>
        <w:tc>
          <w:tcPr>
            <w:tcW w:w="2040" w:type="pct"/>
            <w:vAlign w:val="bottom"/>
          </w:tcPr>
          <w:p>
            <w:pPr>
              <w:widowControl/>
              <w:snapToGrid w:val="0"/>
              <w:spacing w:line="276" w:lineRule="auto"/>
              <w:jc w:val="left"/>
              <w:rPr>
                <w:rFonts w:ascii="宋体" w:hAnsi="宋体" w:cs="Arial"/>
                <w:color w:val="000000"/>
                <w:sz w:val="24"/>
              </w:rPr>
            </w:pPr>
            <w:r>
              <w:rPr>
                <w:rFonts w:ascii="宋体" w:hAnsi="宋体" w:cs="Arial"/>
                <w:color w:val="000000"/>
                <w:sz w:val="24"/>
              </w:rPr>
              <w:t>很满意，得9-10分；满意，得6-9（不含9）分；较满意，得5-6（不含6）分；一般，得1-3（不含3）分；不满意，得0-1（不含1）分。</w:t>
            </w:r>
          </w:p>
        </w:tc>
        <w:tc>
          <w:tcPr>
            <w:tcW w:w="276" w:type="pct"/>
            <w:vAlign w:val="center"/>
          </w:tcPr>
          <w:p>
            <w:pPr>
              <w:widowControl/>
              <w:snapToGrid w:val="0"/>
              <w:spacing w:line="276" w:lineRule="auto"/>
              <w:jc w:val="left"/>
              <w:rPr>
                <w:rFonts w:ascii="Arial" w:hAnsi="Arial" w:cs="Arial" w:eastAsiaTheme="minorEastAsia"/>
                <w:bCs/>
                <w:kern w:val="0"/>
                <w:sz w:val="24"/>
              </w:rPr>
            </w:pPr>
          </w:p>
        </w:tc>
        <w:tc>
          <w:tcPr>
            <w:tcW w:w="705" w:type="pct"/>
            <w:vAlign w:val="center"/>
          </w:tcPr>
          <w:p>
            <w:pPr>
              <w:widowControl/>
              <w:snapToGrid w:val="0"/>
              <w:spacing w:line="276" w:lineRule="auto"/>
              <w:jc w:val="left"/>
              <w:rPr>
                <w:rFonts w:ascii="Arial" w:hAnsi="Arial" w:cs="Arial" w:eastAsia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7"/>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备注：每</w:t>
            </w:r>
            <w:r>
              <w:rPr>
                <w:rFonts w:hint="eastAsia" w:ascii="宋体" w:hAnsi="宋体" w:cs="Arial"/>
                <w:color w:val="000000"/>
                <w:sz w:val="24"/>
              </w:rPr>
              <w:t>6个月</w:t>
            </w:r>
            <w:r>
              <w:rPr>
                <w:rFonts w:ascii="宋体" w:hAnsi="宋体" w:cs="Arial"/>
                <w:color w:val="000000"/>
                <w:sz w:val="24"/>
              </w:rPr>
              <w:t>由甲方给出乙方技术服务满意度得分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95" w:type="pct"/>
            <w:gridSpan w:val="6"/>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总得分</w:t>
            </w:r>
          </w:p>
        </w:tc>
        <w:tc>
          <w:tcPr>
            <w:tcW w:w="705" w:type="pct"/>
            <w:vAlign w:val="center"/>
          </w:tcPr>
          <w:p>
            <w:pPr>
              <w:widowControl/>
              <w:snapToGrid w:val="0"/>
              <w:spacing w:line="276" w:lineRule="auto"/>
              <w:rPr>
                <w:rFonts w:ascii="Arial" w:hAnsi="Arial" w:cs="Arial"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000" w:type="pct"/>
            <w:gridSpan w:val="7"/>
            <w:vAlign w:val="center"/>
          </w:tcPr>
          <w:p>
            <w:pPr>
              <w:widowControl/>
              <w:snapToGrid w:val="0"/>
              <w:spacing w:line="276" w:lineRule="auto"/>
              <w:rPr>
                <w:rFonts w:ascii="宋体" w:hAnsi="宋体" w:cs="Arial"/>
                <w:color w:val="000000"/>
                <w:sz w:val="24"/>
              </w:rPr>
            </w:pPr>
            <w:r>
              <w:rPr>
                <w:rFonts w:hint="eastAsia" w:ascii="宋体" w:hAnsi="宋体" w:cs="Arial"/>
                <w:color w:val="000000"/>
                <w:sz w:val="24"/>
              </w:rPr>
              <w:t xml:space="preserve">维保单位： </w:t>
            </w:r>
            <w:r>
              <w:rPr>
                <w:rFonts w:ascii="宋体" w:hAnsi="宋体" w:cs="Arial"/>
                <w:color w:val="000000"/>
                <w:sz w:val="24"/>
              </w:rPr>
              <w:t xml:space="preserve">                                 考核确认</w:t>
            </w:r>
            <w:r>
              <w:rPr>
                <w:rFonts w:hint="eastAsia" w:ascii="宋体" w:hAnsi="宋体" w:cs="Arial"/>
                <w:color w:val="000000"/>
                <w:sz w:val="24"/>
              </w:rPr>
              <w:t>：</w:t>
            </w:r>
          </w:p>
        </w:tc>
      </w:tr>
    </w:tbl>
    <w:p>
      <w:pPr>
        <w:adjustRightInd w:val="0"/>
        <w:snapToGrid w:val="0"/>
        <w:spacing w:line="360" w:lineRule="auto"/>
        <w:outlineLvl w:val="1"/>
        <w:rPr>
          <w:rFonts w:ascii="Arial" w:hAnsi="Arial" w:cs="Arial"/>
          <w:b/>
          <w:sz w:val="28"/>
          <w:szCs w:val="28"/>
        </w:rPr>
      </w:pPr>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167" w:name="_Toc80716122"/>
      <w:r>
        <w:rPr>
          <w:rFonts w:hint="eastAsia" w:ascii="宋体" w:hAnsi="宋体" w:eastAsia="宋体" w:cs="Arial"/>
          <w:b/>
          <w:color w:val="000000"/>
          <w:kern w:val="0"/>
          <w:sz w:val="28"/>
          <w:szCs w:val="28"/>
        </w:rPr>
        <w:t>服务时间：签订合同之日起</w:t>
      </w:r>
      <w:r>
        <w:rPr>
          <w:rFonts w:ascii="宋体" w:hAnsi="宋体" w:eastAsia="宋体" w:cs="Arial"/>
          <w:b/>
          <w:color w:val="000000"/>
          <w:kern w:val="0"/>
          <w:sz w:val="28"/>
          <w:szCs w:val="28"/>
        </w:rPr>
        <w:t>2</w:t>
      </w:r>
      <w:r>
        <w:rPr>
          <w:rFonts w:hint="eastAsia" w:ascii="宋体" w:hAnsi="宋体" w:eastAsia="宋体" w:cs="Arial"/>
          <w:b/>
          <w:color w:val="000000"/>
          <w:kern w:val="0"/>
          <w:sz w:val="28"/>
          <w:szCs w:val="28"/>
        </w:rPr>
        <w:t>年。</w:t>
      </w:r>
      <w:bookmarkEnd w:id="167"/>
    </w:p>
    <w:p>
      <w:pPr>
        <w:pStyle w:val="76"/>
        <w:numPr>
          <w:ilvl w:val="0"/>
          <w:numId w:val="8"/>
        </w:numPr>
        <w:adjustRightInd w:val="0"/>
        <w:snapToGrid w:val="0"/>
        <w:spacing w:line="360" w:lineRule="auto"/>
        <w:ind w:left="-13" w:leftChars="-135" w:hanging="284" w:hangingChars="101"/>
        <w:outlineLvl w:val="1"/>
        <w:rPr>
          <w:rFonts w:ascii="宋体" w:hAnsi="宋体" w:eastAsia="宋体" w:cs="Arial"/>
          <w:b/>
          <w:color w:val="000000"/>
          <w:kern w:val="0"/>
          <w:sz w:val="28"/>
          <w:szCs w:val="28"/>
        </w:rPr>
      </w:pPr>
      <w:bookmarkStart w:id="168" w:name="_Toc80716123"/>
      <w:r>
        <w:rPr>
          <w:rFonts w:ascii="宋体" w:hAnsi="宋体" w:eastAsia="宋体" w:cs="Arial"/>
          <w:b/>
          <w:color w:val="000000"/>
          <w:kern w:val="0"/>
          <w:sz w:val="28"/>
          <w:szCs w:val="28"/>
        </w:rPr>
        <w:t>风险承担</w:t>
      </w:r>
      <w:bookmarkEnd w:id="168"/>
    </w:p>
    <w:p>
      <w:pPr>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投标人在签订</w:t>
      </w:r>
      <w:r>
        <w:rPr>
          <w:rFonts w:hint="eastAsia" w:ascii="宋体" w:hAnsi="宋体" w:cs="Arial"/>
          <w:color w:val="000000"/>
          <w:sz w:val="24"/>
        </w:rPr>
        <w:t>合同</w:t>
      </w:r>
      <w:r>
        <w:rPr>
          <w:rFonts w:ascii="宋体" w:hAnsi="宋体" w:cs="Arial"/>
          <w:color w:val="000000"/>
          <w:sz w:val="24"/>
        </w:rPr>
        <w:t>前，认真详细了解用户需求，一旦签定合同后，因对用户需求了解不准而产生的额外费用及问题由投标人承担。</w:t>
      </w:r>
    </w:p>
    <w:p>
      <w:pPr>
        <w:pStyle w:val="47"/>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spacing w:line="520" w:lineRule="exact"/>
        <w:rPr>
          <w:b/>
          <w:sz w:val="28"/>
          <w:szCs w:val="28"/>
          <w:lang w:eastAsia="zh-CN"/>
        </w:rPr>
      </w:pPr>
      <w:r>
        <w:rPr>
          <w:rFonts w:hint="eastAsia"/>
          <w:b/>
          <w:sz w:val="28"/>
          <w:szCs w:val="28"/>
          <w:lang w:eastAsia="zh-CN"/>
        </w:rPr>
        <w:t>附件</w:t>
      </w:r>
      <w:r>
        <w:rPr>
          <w:rFonts w:hint="eastAsia"/>
          <w:b/>
          <w:sz w:val="28"/>
          <w:szCs w:val="28"/>
          <w:lang w:val="en-US" w:eastAsia="zh-CN"/>
        </w:rPr>
        <w:t>3</w:t>
      </w:r>
      <w:r>
        <w:rPr>
          <w:rFonts w:hint="eastAsia"/>
          <w:b/>
          <w:sz w:val="28"/>
          <w:szCs w:val="28"/>
          <w:lang w:eastAsia="zh-CN"/>
        </w:rPr>
        <w:t>：</w:t>
      </w:r>
    </w:p>
    <w:p>
      <w:pPr>
        <w:pStyle w:val="2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u w:val="single"/>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双方就福海创对讲机维修及系统服务项目签订了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76"/>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76"/>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76"/>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76"/>
        <w:numPr>
          <w:ilvl w:val="0"/>
          <w:numId w:val="18"/>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pStyle w:val="21"/>
        <w:spacing w:line="360" w:lineRule="auto"/>
        <w:ind w:right="121"/>
        <w:jc w:val="both"/>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6" w:type="default"/>
          <w:pgSz w:w="11910" w:h="16840"/>
          <w:pgMar w:top="1480" w:right="1120" w:bottom="740" w:left="1300" w:header="0" w:footer="487" w:gutter="0"/>
          <w:cols w:space="720" w:num="1"/>
        </w:sectPr>
      </w:pPr>
    </w:p>
    <w:p>
      <w:pPr>
        <w:pStyle w:val="2"/>
        <w:rPr>
          <w:b/>
          <w:bCs/>
          <w:sz w:val="24"/>
          <w:szCs w:val="24"/>
        </w:rPr>
      </w:pPr>
    </w:p>
    <w:p>
      <w:pPr>
        <w:pStyle w:val="2"/>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2"/>
        <w:rPr>
          <w:b/>
          <w:bCs/>
          <w:sz w:val="24"/>
          <w:szCs w:val="24"/>
        </w:rPr>
      </w:pPr>
      <w:r>
        <w:rPr>
          <w:rFonts w:hint="eastAsia"/>
          <w:b/>
          <w:bCs/>
          <w:sz w:val="24"/>
          <w:szCs w:val="24"/>
        </w:rPr>
        <w:t>附件二、参选文件范本</w:t>
      </w:r>
    </w:p>
    <w:p>
      <w:pPr>
        <w:pStyle w:val="26"/>
        <w:jc w:val="center"/>
        <w:rPr>
          <w:rFonts w:ascii="Times New Roman" w:hAnsi="Times New Roman"/>
          <w:b/>
          <w:sz w:val="52"/>
          <w:szCs w:val="52"/>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福海创对讲机维修及系统服务</w:t>
      </w:r>
      <w:r>
        <w:rPr>
          <w:rFonts w:hint="eastAsia" w:ascii="方正小标宋简体" w:hAnsi="方正小标宋简体" w:eastAsia="方正小标宋简体" w:cs="方正小标宋简体"/>
          <w:b/>
          <w:color w:val="000000" w:themeColor="text1"/>
          <w:sz w:val="44"/>
          <w:szCs w:val="44"/>
          <w:lang w:val="en-US" w:eastAsia="zh-CN"/>
        </w:rPr>
        <w:t>年约</w:t>
      </w:r>
      <w:r>
        <w:rPr>
          <w:rFonts w:hint="eastAsia"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rPr>
          <w:rFonts w:hint="default"/>
          <w:b/>
          <w:sz w:val="36"/>
          <w:szCs w:val="36"/>
          <w:lang w:val="en-US" w:eastAsia="zh-CN"/>
        </w:rPr>
      </w:pPr>
      <w:r>
        <w:rPr>
          <w:rFonts w:hint="eastAsia" w:ascii="Times New Roman" w:hAnsi="Times New Roman" w:cs="Times New Roman"/>
          <w:b/>
          <w:sz w:val="36"/>
          <w:szCs w:val="36"/>
          <w:lang w:eastAsia="zh-CN"/>
        </w:rPr>
        <w:t>参选报价单</w:t>
      </w:r>
      <w:r>
        <w:rPr>
          <w:rFonts w:hint="eastAsia" w:ascii="Times New Roman" w:hAnsi="Times New Roman" w:cs="Times New Roman"/>
          <w:b/>
          <w:sz w:val="36"/>
          <w:szCs w:val="36"/>
          <w:lang w:val="en-US" w:eastAsia="zh-CN"/>
        </w:rPr>
        <w:t>(单独密封封装）</w:t>
      </w:r>
    </w:p>
    <w:p>
      <w:pPr>
        <w:jc w:val="center"/>
        <w:rPr>
          <w:b/>
          <w:sz w:val="36"/>
          <w:szCs w:val="36"/>
          <w:lang w:eastAsia="zh-CN"/>
        </w:rPr>
      </w:pPr>
      <w:r>
        <w:rPr>
          <w:rFonts w:hint="eastAsia"/>
          <w:b/>
          <w:sz w:val="36"/>
          <w:szCs w:val="36"/>
          <w:lang w:eastAsia="zh-CN"/>
        </w:rPr>
        <w:t>报 价 单</w:t>
      </w:r>
    </w:p>
    <w:p>
      <w:pPr>
        <w:pStyle w:val="78"/>
        <w:spacing w:beforeLines="0" w:afterLines="0" w:line="240" w:lineRule="auto"/>
        <w:ind w:firstLineChars="0"/>
        <w:rPr>
          <w:rFonts w:ascii="Times New Roman" w:hAnsi="Times New Roman" w:cs="Times New Roman"/>
          <w:b/>
          <w:color w:val="FF0000"/>
          <w:sz w:val="24"/>
          <w:szCs w:val="24"/>
          <w:lang w:eastAsia="zh-CN"/>
        </w:rPr>
      </w:pPr>
    </w:p>
    <w:p>
      <w:pPr>
        <w:pStyle w:val="78"/>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eastAsia="zh-CN"/>
        </w:rPr>
        <w:t xml:space="preserve">                                   </w:t>
      </w:r>
    </w:p>
    <w:p>
      <w:pPr>
        <w:pStyle w:val="21"/>
        <w:spacing w:line="360" w:lineRule="auto"/>
        <w:ind w:right="121"/>
        <w:jc w:val="both"/>
        <w:rPr>
          <w:lang w:eastAsia="zh-CN"/>
        </w:rPr>
      </w:pPr>
    </w:p>
    <w:p>
      <w:pPr>
        <w:pStyle w:val="21"/>
        <w:ind w:right="121"/>
        <w:jc w:val="both"/>
        <w:rPr>
          <w:sz w:val="24"/>
          <w:szCs w:val="24"/>
          <w:lang w:eastAsia="zh-CN"/>
        </w:rPr>
      </w:pPr>
      <w:r>
        <w:rPr>
          <w:rFonts w:hint="eastAsia"/>
          <w:lang w:eastAsia="zh-CN"/>
        </w:rPr>
        <w:t>项目名称：</w:t>
      </w:r>
      <w:r>
        <w:rPr>
          <w:rFonts w:hint="eastAsia"/>
          <w:color w:val="000000" w:themeColor="text1"/>
          <w:u w:val="single"/>
          <w:lang w:eastAsia="zh-CN"/>
        </w:rPr>
        <w:t>福建福海创石油化工有限公司福海创对讲机维修及系统服务</w:t>
      </w:r>
      <w:r>
        <w:rPr>
          <w:rFonts w:hint="eastAsia"/>
          <w:color w:val="000000" w:themeColor="text1"/>
          <w:u w:val="single"/>
          <w:lang w:val="en-US" w:eastAsia="zh-CN"/>
        </w:rPr>
        <w:t>年约</w:t>
      </w:r>
      <w:r>
        <w:rPr>
          <w:rFonts w:hint="eastAsia"/>
          <w:color w:val="000000" w:themeColor="text1"/>
          <w:u w:val="single"/>
          <w:lang w:eastAsia="zh-CN"/>
        </w:rPr>
        <w:t>项目</w:t>
      </w:r>
    </w:p>
    <w:p>
      <w:pPr>
        <w:spacing w:line="360" w:lineRule="auto"/>
        <w:ind w:firstLine="480" w:firstLineChars="200"/>
        <w:rPr>
          <w:sz w:val="24"/>
          <w:szCs w:val="24"/>
          <w:lang w:eastAsia="zh-CN"/>
        </w:rPr>
      </w:pPr>
    </w:p>
    <w:p>
      <w:pPr>
        <w:pStyle w:val="76"/>
        <w:adjustRightInd w:val="0"/>
        <w:snapToGrid w:val="0"/>
        <w:spacing w:line="360" w:lineRule="auto"/>
        <w:ind w:left="0" w:firstLine="0"/>
        <w:outlineLvl w:val="1"/>
        <w:rPr>
          <w:rFonts w:ascii="宋体" w:hAnsi="宋体" w:eastAsia="宋体" w:cs="Arial"/>
          <w:color w:val="000000"/>
          <w:sz w:val="24"/>
          <w:szCs w:val="20"/>
        </w:rPr>
      </w:pPr>
      <w:r>
        <w:rPr>
          <w:rFonts w:hint="eastAsia" w:ascii="宋体" w:hAnsi="宋体" w:eastAsia="宋体" w:cs="Arial"/>
          <w:color w:val="000000"/>
          <w:sz w:val="24"/>
          <w:szCs w:val="20"/>
        </w:rPr>
        <w:t>分项报价表下浮率（表</w:t>
      </w:r>
      <w:r>
        <w:rPr>
          <w:rFonts w:ascii="宋体" w:hAnsi="宋体" w:eastAsia="宋体" w:cs="Arial"/>
          <w:color w:val="000000"/>
          <w:sz w:val="24"/>
          <w:szCs w:val="20"/>
        </w:rPr>
        <w:t>5</w:t>
      </w:r>
      <w:r>
        <w:rPr>
          <w:rFonts w:hint="eastAsia" w:ascii="宋体" w:hAnsi="宋体" w:eastAsia="宋体" w:cs="Arial"/>
          <w:color w:val="000000"/>
          <w:sz w:val="24"/>
          <w:szCs w:val="20"/>
        </w:rPr>
        <w:t>）</w:t>
      </w:r>
      <w:r>
        <w:rPr>
          <w:rFonts w:ascii="宋体" w:hAnsi="宋体" w:eastAsia="宋体" w:cs="Arial"/>
          <w:color w:val="000000"/>
          <w:sz w:val="24"/>
          <w:szCs w:val="20"/>
        </w:rPr>
        <w:t xml:space="preserve"> </w:t>
      </w:r>
    </w:p>
    <w:tbl>
      <w:tblPr>
        <w:tblStyle w:val="48"/>
        <w:tblW w:w="8738" w:type="dxa"/>
        <w:tblInd w:w="63" w:type="dxa"/>
        <w:tblLayout w:type="fixed"/>
        <w:tblCellMar>
          <w:top w:w="0" w:type="dxa"/>
          <w:left w:w="108" w:type="dxa"/>
          <w:bottom w:w="0" w:type="dxa"/>
          <w:right w:w="108" w:type="dxa"/>
        </w:tblCellMar>
      </w:tblPr>
      <w:tblGrid>
        <w:gridCol w:w="575"/>
        <w:gridCol w:w="2658"/>
        <w:gridCol w:w="1200"/>
        <w:gridCol w:w="2194"/>
        <w:gridCol w:w="2111"/>
      </w:tblGrid>
      <w:tr>
        <w:tblPrEx>
          <w:tblCellMar>
            <w:top w:w="0" w:type="dxa"/>
            <w:left w:w="108" w:type="dxa"/>
            <w:bottom w:w="0" w:type="dxa"/>
            <w:right w:w="108" w:type="dxa"/>
          </w:tblCellMar>
        </w:tblPrEx>
        <w:trPr>
          <w:trHeight w:val="789" w:hRule="atLeast"/>
        </w:trPr>
        <w:tc>
          <w:tcPr>
            <w:tcW w:w="575" w:type="dxa"/>
            <w:tcBorders>
              <w:top w:val="single" w:color="auto" w:sz="8" w:space="0"/>
              <w:left w:val="single" w:color="auto" w:sz="8" w:space="0"/>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2658" w:type="dxa"/>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分项名称</w:t>
            </w:r>
          </w:p>
        </w:tc>
        <w:tc>
          <w:tcPr>
            <w:tcW w:w="3394" w:type="dxa"/>
            <w:gridSpan w:val="2"/>
            <w:tcBorders>
              <w:top w:val="single" w:color="auto" w:sz="8" w:space="0"/>
              <w:left w:val="nil"/>
              <w:bottom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下浮率报价</w:t>
            </w:r>
          </w:p>
        </w:tc>
        <w:tc>
          <w:tcPr>
            <w:tcW w:w="211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资格</w:t>
            </w:r>
            <w:r>
              <w:rPr>
                <w:rFonts w:ascii="宋体" w:hAnsi="宋体" w:cs="宋体"/>
                <w:bCs/>
                <w:color w:val="000000"/>
                <w:kern w:val="0"/>
                <w:szCs w:val="21"/>
              </w:rPr>
              <w:t>审查</w:t>
            </w:r>
            <w:r>
              <w:rPr>
                <w:rFonts w:hint="eastAsia" w:ascii="宋体" w:hAnsi="宋体" w:cs="宋体"/>
                <w:bCs/>
                <w:color w:val="000000"/>
                <w:kern w:val="0"/>
                <w:szCs w:val="21"/>
              </w:rPr>
              <w:t>（资质）</w:t>
            </w:r>
          </w:p>
        </w:tc>
      </w:tr>
      <w:tr>
        <w:tblPrEx>
          <w:tblCellMar>
            <w:top w:w="0" w:type="dxa"/>
            <w:left w:w="108" w:type="dxa"/>
            <w:bottom w:w="0" w:type="dxa"/>
            <w:right w:w="108" w:type="dxa"/>
          </w:tblCellMar>
        </w:tblPrEx>
        <w:trPr>
          <w:trHeight w:val="479" w:hRule="atLeast"/>
        </w:trPr>
        <w:tc>
          <w:tcPr>
            <w:tcW w:w="57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2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各类设备专业检测费用</w:t>
            </w:r>
            <w:r>
              <w:rPr>
                <w:rFonts w:hint="eastAsia" w:ascii="宋体" w:hAnsi="宋体" w:cs="Arial"/>
                <w:color w:val="000000"/>
                <w:sz w:val="24"/>
              </w:rPr>
              <w:t>（表</w:t>
            </w:r>
            <w:r>
              <w:rPr>
                <w:rFonts w:ascii="宋体" w:hAnsi="宋体" w:cs="Arial"/>
                <w:color w:val="000000"/>
                <w:sz w:val="24"/>
              </w:rPr>
              <w:t>5-</w:t>
            </w:r>
            <w:r>
              <w:rPr>
                <w:rFonts w:hint="eastAsia" w:ascii="宋体" w:hAnsi="宋体" w:cs="Arial"/>
                <w:color w:val="000000"/>
                <w:sz w:val="24"/>
              </w:rPr>
              <w:t>1）</w:t>
            </w:r>
          </w:p>
        </w:tc>
        <w:tc>
          <w:tcPr>
            <w:tcW w:w="120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Arial"/>
                <w:color w:val="000000"/>
                <w:sz w:val="24"/>
              </w:rPr>
            </w:pPr>
            <w:r>
              <w:rPr>
                <w:rFonts w:hint="eastAsia" w:ascii="宋体" w:hAnsi="宋体" w:cs="Arial"/>
                <w:color w:val="000000"/>
                <w:kern w:val="0"/>
                <w:szCs w:val="21"/>
              </w:rPr>
              <w:t>L</w:t>
            </w:r>
          </w:p>
          <w:p>
            <w:pPr>
              <w:widowControl/>
              <w:rPr>
                <w:rFonts w:ascii="宋体" w:hAnsi="宋体" w:cs="Arial"/>
                <w:color w:val="000000"/>
                <w:kern w:val="0"/>
                <w:szCs w:val="21"/>
              </w:rPr>
            </w:pPr>
          </w:p>
        </w:tc>
        <w:tc>
          <w:tcPr>
            <w:tcW w:w="2194" w:type="dxa"/>
            <w:vMerge w:val="restart"/>
            <w:tcBorders>
              <w:top w:val="single" w:color="auto" w:sz="4" w:space="0"/>
              <w:left w:val="nil"/>
              <w:right w:val="single" w:color="auto" w:sz="4" w:space="0"/>
            </w:tcBorders>
            <w:shd w:val="clear" w:color="auto" w:fill="auto"/>
            <w:vAlign w:val="center"/>
          </w:tcPr>
          <w:p>
            <w:pPr>
              <w:widowControl/>
              <w:jc w:val="right"/>
              <w:rPr>
                <w:rFonts w:ascii="宋体" w:hAnsi="宋体" w:cs="Arial"/>
                <w:bCs/>
                <w:color w:val="000000"/>
                <w:kern w:val="0"/>
                <w:szCs w:val="21"/>
              </w:rPr>
            </w:pPr>
            <w:r>
              <w:rPr>
                <w:rFonts w:ascii="宋体" w:hAnsi="宋体" w:cs="Arial"/>
                <w:bCs/>
                <w:color w:val="000000"/>
                <w:kern w:val="0"/>
                <w:szCs w:val="21"/>
              </w:rPr>
              <w:t>　</w:t>
            </w:r>
            <w:r>
              <w:rPr>
                <w:rFonts w:hint="eastAsia" w:ascii="宋体" w:hAnsi="宋体" w:cs="Arial"/>
                <w:bCs/>
                <w:color w:val="000000"/>
                <w:kern w:val="0"/>
                <w:szCs w:val="21"/>
              </w:rPr>
              <w:t>%</w:t>
            </w:r>
          </w:p>
          <w:p>
            <w:pPr>
              <w:jc w:val="right"/>
              <w:rPr>
                <w:rFonts w:ascii="宋体" w:hAnsi="宋体" w:cs="Arial"/>
                <w:bCs/>
                <w:color w:val="000000"/>
                <w:kern w:val="0"/>
                <w:szCs w:val="21"/>
              </w:rPr>
            </w:pPr>
            <w:r>
              <w:rPr>
                <w:rFonts w:ascii="宋体" w:hAnsi="宋体" w:cs="Arial"/>
                <w:bCs/>
                <w:color w:val="000000"/>
                <w:kern w:val="0"/>
                <w:szCs w:val="21"/>
              </w:rPr>
              <w:t>　</w:t>
            </w:r>
          </w:p>
        </w:tc>
        <w:tc>
          <w:tcPr>
            <w:tcW w:w="2111" w:type="dxa"/>
            <w:vMerge w:val="restart"/>
            <w:tcBorders>
              <w:top w:val="single" w:color="auto" w:sz="4" w:space="0"/>
              <w:left w:val="nil"/>
              <w:right w:val="single" w:color="auto" w:sz="8" w:space="0"/>
            </w:tcBorders>
            <w:shd w:val="clear" w:color="auto" w:fill="auto"/>
            <w:vAlign w:val="center"/>
          </w:tcPr>
          <w:p>
            <w:pPr>
              <w:widowControl/>
              <w:jc w:val="center"/>
              <w:rPr>
                <w:rFonts w:ascii="宋体" w:hAnsi="宋体"/>
                <w:sz w:val="24"/>
                <w:szCs w:val="24"/>
              </w:rPr>
            </w:pPr>
            <w:r>
              <w:rPr>
                <w:rFonts w:hint="eastAsia" w:ascii="宋体" w:hAnsi="宋体"/>
                <w:sz w:val="24"/>
                <w:szCs w:val="24"/>
              </w:rPr>
              <w:t>满足招标文件</w:t>
            </w:r>
          </w:p>
          <w:p>
            <w:pPr>
              <w:widowControl/>
              <w:jc w:val="center"/>
              <w:rPr>
                <w:rFonts w:ascii="宋体" w:hAnsi="宋体" w:cs="宋体"/>
                <w:color w:val="000000"/>
                <w:kern w:val="0"/>
                <w:szCs w:val="21"/>
              </w:rPr>
            </w:pPr>
            <w:r>
              <w:rPr>
                <w:rFonts w:hint="eastAsia" w:ascii="宋体" w:hAnsi="宋体"/>
                <w:sz w:val="24"/>
                <w:szCs w:val="24"/>
              </w:rPr>
              <w:t>要求</w:t>
            </w:r>
          </w:p>
        </w:tc>
      </w:tr>
      <w:tr>
        <w:tblPrEx>
          <w:tblCellMar>
            <w:top w:w="0" w:type="dxa"/>
            <w:left w:w="108" w:type="dxa"/>
            <w:bottom w:w="0" w:type="dxa"/>
            <w:right w:w="108" w:type="dxa"/>
          </w:tblCellMar>
        </w:tblPrEx>
        <w:trPr>
          <w:trHeight w:val="485" w:hRule="atLeast"/>
        </w:trPr>
        <w:tc>
          <w:tcPr>
            <w:tcW w:w="575" w:type="dxa"/>
            <w:tcBorders>
              <w:top w:val="nil"/>
              <w:left w:val="single" w:color="auto" w:sz="8"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2658" w:type="dxa"/>
            <w:tcBorders>
              <w:top w:val="nil"/>
              <w:left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手持对讲机维修费用</w:t>
            </w:r>
            <w:r>
              <w:rPr>
                <w:rFonts w:hint="eastAsia" w:ascii="宋体" w:hAnsi="宋体" w:cs="Arial"/>
                <w:color w:val="000000"/>
                <w:sz w:val="24"/>
              </w:rPr>
              <w:t>（表</w:t>
            </w:r>
            <w:r>
              <w:rPr>
                <w:rFonts w:ascii="宋体" w:hAnsi="宋体" w:cs="Arial"/>
                <w:color w:val="000000"/>
                <w:sz w:val="24"/>
              </w:rPr>
              <w:t>5-2</w:t>
            </w:r>
            <w:r>
              <w:rPr>
                <w:rFonts w:hint="eastAsia" w:ascii="宋体" w:hAnsi="宋体" w:cs="Arial"/>
                <w:color w:val="000000"/>
                <w:sz w:val="24"/>
              </w:rPr>
              <w:t>）</w:t>
            </w:r>
          </w:p>
        </w:tc>
        <w:tc>
          <w:tcPr>
            <w:tcW w:w="1200" w:type="dxa"/>
            <w:vMerge w:val="continue"/>
            <w:tcBorders>
              <w:left w:val="nil"/>
              <w:right w:val="single" w:color="auto" w:sz="4" w:space="0"/>
            </w:tcBorders>
            <w:shd w:val="clear" w:color="auto" w:fill="auto"/>
            <w:vAlign w:val="center"/>
          </w:tcPr>
          <w:p>
            <w:pPr>
              <w:widowControl/>
              <w:rPr>
                <w:rFonts w:ascii="宋体" w:hAnsi="宋体" w:cs="Arial"/>
                <w:color w:val="000000"/>
                <w:kern w:val="0"/>
                <w:szCs w:val="21"/>
              </w:rPr>
            </w:pPr>
          </w:p>
        </w:tc>
        <w:tc>
          <w:tcPr>
            <w:tcW w:w="2194" w:type="dxa"/>
            <w:vMerge w:val="continue"/>
            <w:tcBorders>
              <w:left w:val="nil"/>
              <w:right w:val="single" w:color="auto" w:sz="4" w:space="0"/>
            </w:tcBorders>
            <w:shd w:val="clear" w:color="auto" w:fill="auto"/>
            <w:vAlign w:val="center"/>
          </w:tcPr>
          <w:p>
            <w:pPr>
              <w:jc w:val="right"/>
              <w:rPr>
                <w:rFonts w:ascii="宋体" w:hAnsi="宋体" w:cs="Arial"/>
                <w:bCs/>
                <w:color w:val="000000"/>
                <w:kern w:val="0"/>
                <w:szCs w:val="21"/>
              </w:rPr>
            </w:pPr>
          </w:p>
        </w:tc>
        <w:tc>
          <w:tcPr>
            <w:tcW w:w="2111"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2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应急服务费用</w:t>
            </w:r>
          </w:p>
          <w:p>
            <w:pPr>
              <w:widowControl/>
              <w:jc w:val="center"/>
              <w:rPr>
                <w:rFonts w:ascii="宋体" w:hAnsi="宋体" w:cs="宋体"/>
                <w:bCs/>
                <w:color w:val="000000"/>
                <w:kern w:val="0"/>
                <w:szCs w:val="21"/>
              </w:rPr>
            </w:pPr>
            <w:r>
              <w:rPr>
                <w:rFonts w:hint="eastAsia" w:ascii="宋体" w:hAnsi="宋体" w:cs="Arial"/>
                <w:color w:val="000000"/>
                <w:sz w:val="24"/>
              </w:rPr>
              <w:t>（表</w:t>
            </w:r>
            <w:r>
              <w:rPr>
                <w:rFonts w:ascii="宋体" w:hAnsi="宋体" w:cs="Arial"/>
                <w:color w:val="000000"/>
                <w:sz w:val="24"/>
              </w:rPr>
              <w:t>5-3</w:t>
            </w:r>
            <w:r>
              <w:rPr>
                <w:rFonts w:hint="eastAsia" w:ascii="宋体" w:hAnsi="宋体" w:cs="Arial"/>
                <w:color w:val="000000"/>
                <w:sz w:val="24"/>
              </w:rPr>
              <w:t>）</w:t>
            </w:r>
          </w:p>
        </w:tc>
        <w:tc>
          <w:tcPr>
            <w:tcW w:w="1200" w:type="dxa"/>
            <w:vMerge w:val="continue"/>
            <w:tcBorders>
              <w:left w:val="nil"/>
              <w:bottom w:val="single" w:color="auto" w:sz="4" w:space="0"/>
              <w:right w:val="single" w:color="auto" w:sz="4" w:space="0"/>
            </w:tcBorders>
            <w:shd w:val="clear" w:color="auto" w:fill="auto"/>
            <w:vAlign w:val="center"/>
          </w:tcPr>
          <w:p>
            <w:pPr>
              <w:widowControl/>
              <w:rPr>
                <w:rFonts w:ascii="宋体" w:hAnsi="宋体" w:cs="Arial"/>
                <w:color w:val="000000"/>
                <w:kern w:val="0"/>
                <w:szCs w:val="21"/>
              </w:rPr>
            </w:pPr>
          </w:p>
        </w:tc>
        <w:tc>
          <w:tcPr>
            <w:tcW w:w="2194" w:type="dxa"/>
            <w:vMerge w:val="continue"/>
            <w:tcBorders>
              <w:left w:val="nil"/>
              <w:bottom w:val="single" w:color="auto" w:sz="4" w:space="0"/>
              <w:right w:val="single" w:color="auto" w:sz="4" w:space="0"/>
            </w:tcBorders>
            <w:shd w:val="clear" w:color="auto" w:fill="auto"/>
            <w:vAlign w:val="center"/>
          </w:tcPr>
          <w:p>
            <w:pPr>
              <w:widowControl/>
              <w:jc w:val="right"/>
              <w:rPr>
                <w:rFonts w:ascii="宋体" w:hAnsi="宋体" w:cs="Arial"/>
                <w:bCs/>
                <w:color w:val="000000"/>
                <w:kern w:val="0"/>
                <w:szCs w:val="21"/>
              </w:rPr>
            </w:pPr>
          </w:p>
        </w:tc>
        <w:tc>
          <w:tcPr>
            <w:tcW w:w="2111" w:type="dxa"/>
            <w:vMerge w:val="continue"/>
            <w:tcBorders>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rPr>
            </w:pPr>
          </w:p>
        </w:tc>
      </w:tr>
    </w:tbl>
    <w:p>
      <w:pPr>
        <w:spacing w:line="460" w:lineRule="exact"/>
        <w:ind w:left="985" w:leftChars="-100" w:hanging="1205" w:hangingChars="500"/>
        <w:rPr>
          <w:rFonts w:ascii="宋体" w:hAnsi="宋体" w:cs="Arial"/>
          <w:color w:val="000000"/>
          <w:sz w:val="24"/>
        </w:rPr>
      </w:pPr>
      <w:r>
        <w:rPr>
          <w:rFonts w:hint="eastAsia" w:ascii="宋体" w:hAnsi="宋体"/>
          <w:b/>
          <w:sz w:val="24"/>
        </w:rPr>
        <w:t>说明：</w:t>
      </w:r>
      <w:r>
        <w:rPr>
          <w:rFonts w:hint="eastAsia" w:ascii="宋体" w:hAnsi="宋体" w:cs="Arial"/>
          <w:color w:val="000000"/>
          <w:sz w:val="24"/>
        </w:rPr>
        <w:t>1、L指“各类设备专业检测费用” “手持对讲机维修费用” “应急服务费用”基准单价（含税，元）填报统一的下浮率；</w:t>
      </w:r>
    </w:p>
    <w:p>
      <w:pPr>
        <w:spacing w:line="460" w:lineRule="exact"/>
        <w:ind w:firstLine="480" w:firstLineChars="200"/>
        <w:rPr>
          <w:rFonts w:ascii="宋体" w:hAnsi="宋体" w:cs="Arial"/>
          <w:color w:val="000000"/>
          <w:sz w:val="24"/>
        </w:rPr>
      </w:pPr>
      <w:r>
        <w:rPr>
          <w:rFonts w:hint="eastAsia" w:ascii="宋体" w:hAnsi="宋体" w:cs="Arial"/>
          <w:color w:val="000000"/>
          <w:sz w:val="24"/>
        </w:rPr>
        <w:t>2、下浮率保留两位小数点，如8.31%。</w:t>
      </w:r>
    </w:p>
    <w:p>
      <w:pPr>
        <w:spacing w:line="360" w:lineRule="auto"/>
        <w:rPr>
          <w:rFonts w:ascii="宋体" w:hAnsi="宋体" w:cs="Arial"/>
          <w:b/>
          <w:color w:val="000000"/>
          <w:sz w:val="24"/>
        </w:rPr>
      </w:pPr>
      <w:r>
        <w:rPr>
          <w:rFonts w:ascii="宋体" w:hAnsi="宋体" w:cs="Arial"/>
          <w:b/>
          <w:color w:val="000000"/>
          <w:sz w:val="24"/>
        </w:rPr>
        <w:t>5</w:t>
      </w:r>
      <w:r>
        <w:rPr>
          <w:rFonts w:hint="eastAsia" w:ascii="宋体" w:hAnsi="宋体" w:cs="Arial"/>
          <w:b/>
          <w:color w:val="000000"/>
          <w:sz w:val="24"/>
        </w:rPr>
        <w:t>.1各类设备专业检测内容和报价（表</w:t>
      </w:r>
      <w:r>
        <w:rPr>
          <w:rFonts w:ascii="宋体" w:hAnsi="宋体" w:cs="Arial"/>
          <w:b/>
          <w:color w:val="000000"/>
          <w:sz w:val="24"/>
        </w:rPr>
        <w:t>5-</w:t>
      </w:r>
      <w:r>
        <w:rPr>
          <w:rFonts w:hint="eastAsia" w:ascii="宋体" w:hAnsi="宋体" w:cs="Arial"/>
          <w:b/>
          <w:color w:val="000000"/>
          <w:sz w:val="24"/>
        </w:rPr>
        <w:t>1）</w:t>
      </w:r>
    </w:p>
    <w:p>
      <w:pPr>
        <w:spacing w:line="360" w:lineRule="auto"/>
        <w:ind w:firstLine="480" w:firstLineChars="200"/>
        <w:rPr>
          <w:rFonts w:ascii="宋体" w:hAnsi="宋体" w:cs="Arial"/>
          <w:color w:val="000000"/>
          <w:sz w:val="24"/>
        </w:rPr>
      </w:pPr>
      <w:r>
        <w:rPr>
          <w:rFonts w:hint="eastAsia" w:ascii="宋体" w:hAnsi="宋体" w:cs="Arial"/>
          <w:color w:val="000000"/>
          <w:sz w:val="24"/>
        </w:rPr>
        <w:t>专业检测：当甲方需要对无线对讲系统检测时，投标方根据以下检测内容对系统进行检测，并提交检测报告。</w:t>
      </w:r>
    </w:p>
    <w:tbl>
      <w:tblPr>
        <w:tblStyle w:val="48"/>
        <w:tblW w:w="8959" w:type="dxa"/>
        <w:tblInd w:w="113" w:type="dxa"/>
        <w:tblLayout w:type="autofit"/>
        <w:tblCellMar>
          <w:top w:w="0" w:type="dxa"/>
          <w:left w:w="108" w:type="dxa"/>
          <w:bottom w:w="0" w:type="dxa"/>
          <w:right w:w="108" w:type="dxa"/>
        </w:tblCellMar>
      </w:tblPr>
      <w:tblGrid>
        <w:gridCol w:w="847"/>
        <w:gridCol w:w="1319"/>
        <w:gridCol w:w="3983"/>
        <w:gridCol w:w="825"/>
        <w:gridCol w:w="1985"/>
      </w:tblGrid>
      <w:tr>
        <w:tblPrEx>
          <w:tblCellMar>
            <w:top w:w="0" w:type="dxa"/>
            <w:left w:w="108" w:type="dxa"/>
            <w:bottom w:w="0" w:type="dxa"/>
            <w:right w:w="108" w:type="dxa"/>
          </w:tblCellMar>
        </w:tblPrEx>
        <w:trPr>
          <w:trHeight w:val="940"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序号</w:t>
            </w:r>
          </w:p>
        </w:tc>
        <w:tc>
          <w:tcPr>
            <w:tcW w:w="131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名称</w:t>
            </w:r>
          </w:p>
        </w:tc>
        <w:tc>
          <w:tcPr>
            <w:tcW w:w="398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专业检测内容</w:t>
            </w:r>
          </w:p>
        </w:tc>
        <w:tc>
          <w:tcPr>
            <w:tcW w:w="8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次</w:t>
            </w:r>
            <w:r>
              <w:rPr>
                <w:rFonts w:hint="eastAsia" w:ascii="宋体" w:hAnsi="宋体" w:cs="Arial"/>
                <w:color w:val="000000"/>
                <w:kern w:val="0"/>
                <w:szCs w:val="21"/>
              </w:rPr>
              <w:t>/元</w:t>
            </w:r>
          </w:p>
        </w:tc>
      </w:tr>
      <w:tr>
        <w:trPr>
          <w:trHeight w:val="70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系统常规检测</w:t>
            </w:r>
          </w:p>
        </w:tc>
        <w:tc>
          <w:tcPr>
            <w:tcW w:w="39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设备常规检测：检测系统主设备和基站，以及主系统与天馈、传输，电源等其它相应配套设施的链路，确保设备都完好、工作正常。</w:t>
            </w:r>
          </w:p>
        </w:tc>
        <w:tc>
          <w:tcPr>
            <w:tcW w:w="825" w:type="dxa"/>
            <w:vMerge w:val="restart"/>
            <w:tcBorders>
              <w:top w:val="nil"/>
              <w:left w:val="nil"/>
              <w:right w:val="single" w:color="auto" w:sz="4" w:space="0"/>
            </w:tcBorders>
            <w:shd w:val="clear" w:color="000000" w:fill="FFFFFF"/>
            <w:noWrap/>
            <w:vAlign w:val="center"/>
          </w:tcPr>
          <w:p>
            <w:pPr>
              <w:widowControl/>
              <w:ind w:firstLine="220" w:firstLineChars="100"/>
              <w:rPr>
                <w:rFonts w:ascii="宋体" w:hAnsi="宋体" w:cs="Arial"/>
                <w:color w:val="000000"/>
                <w:kern w:val="0"/>
                <w:szCs w:val="21"/>
              </w:rPr>
            </w:pPr>
            <w:r>
              <w:rPr>
                <w:rFonts w:hint="eastAsia" w:ascii="宋体" w:hAnsi="宋体" w:cs="Arial"/>
                <w:color w:val="000000"/>
                <w:kern w:val="0"/>
                <w:szCs w:val="21"/>
              </w:rPr>
              <w:t>次</w:t>
            </w:r>
          </w:p>
        </w:tc>
        <w:tc>
          <w:tcPr>
            <w:tcW w:w="1985" w:type="dxa"/>
            <w:vMerge w:val="restart"/>
            <w:tcBorders>
              <w:top w:val="nil"/>
              <w:left w:val="nil"/>
              <w:right w:val="single" w:color="auto" w:sz="4" w:space="0"/>
            </w:tcBorders>
            <w:shd w:val="clear" w:color="auto" w:fill="auto"/>
            <w:noWrap/>
            <w:vAlign w:val="center"/>
          </w:tcPr>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10000</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jc w:val="left"/>
              <w:rPr>
                <w:rFonts w:ascii="宋体" w:hAnsi="宋体" w:cs="Arial"/>
                <w:color w:val="000000"/>
                <w:kern w:val="0"/>
                <w:szCs w:val="21"/>
              </w:rPr>
            </w:pPr>
            <w:r>
              <w:rPr>
                <w:rFonts w:ascii="宋体" w:hAnsi="宋体" w:cs="Arial"/>
                <w:color w:val="000000"/>
                <w:kern w:val="0"/>
                <w:szCs w:val="21"/>
              </w:rPr>
              <w:t>　</w:t>
            </w:r>
          </w:p>
        </w:tc>
      </w:tr>
      <w:tr>
        <w:tblPrEx>
          <w:tblCellMar>
            <w:top w:w="0" w:type="dxa"/>
            <w:left w:w="108" w:type="dxa"/>
            <w:bottom w:w="0" w:type="dxa"/>
            <w:right w:w="108" w:type="dxa"/>
          </w:tblCellMar>
        </w:tblPrEx>
        <w:trPr>
          <w:trHeight w:val="102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专业检测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完整、详细地对基站主设备运行、载波的发射功率和频率偏移度进行测试；进行天线驻波比测试；对系统功能、信号输出检测，发现问题或故障及时处理和上报，排除系统隐患。</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407"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设备除尘</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对基站、收发信机、中继台、直放站等设备灰尘清理，对系统中放大器、功分器、天线等前端设备灰尘清理</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rPr>
          <w:trHeight w:val="73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4</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关键配件检测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对系统中耦合器、功分器、放大器、开关整流器、避雷器进行输出功率测试，保证老化的元件及时更换。</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5</w:t>
            </w:r>
          </w:p>
        </w:tc>
        <w:tc>
          <w:tcPr>
            <w:tcW w:w="13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无线环境检测、无线信号覆盖测试</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无线环境检测：检测基站信号是否受到干扰；</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6</w:t>
            </w: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Cs w:val="21"/>
              </w:rPr>
            </w:pP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无线信号覆盖测试：按照要求用测试软件和专用对讲机现场测量覆盖区通话情况，并记录测试文件，存档待查</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18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7</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终端检测（对讲机）</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检测内容：检测对讲机外观是否破损、开裂，显示是否正常、键盘功能完整，天线是否完好，电池使用时间。通过仪器检测接收灵敏度、发射功率、频偏、调制度等基本技术指标。对存在故障隐患的终端提出送修。</w:t>
            </w:r>
          </w:p>
        </w:tc>
        <w:tc>
          <w:tcPr>
            <w:tcW w:w="825" w:type="dxa"/>
            <w:vMerge w:val="continue"/>
            <w:tcBorders>
              <w:left w:val="nil"/>
              <w:bottom w:val="single" w:color="auto" w:sz="4" w:space="0"/>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p>
        </w:tc>
      </w:tr>
    </w:tbl>
    <w:p>
      <w:pPr>
        <w:spacing w:line="360" w:lineRule="auto"/>
        <w:rPr>
          <w:rFonts w:ascii="宋体" w:hAnsi="宋体" w:cs="Arial"/>
          <w:color w:val="000000"/>
          <w:sz w:val="24"/>
        </w:rPr>
      </w:pPr>
    </w:p>
    <w:p>
      <w:pPr>
        <w:spacing w:line="360" w:lineRule="auto"/>
        <w:rPr>
          <w:rFonts w:ascii="宋体" w:hAnsi="宋体" w:cs="Arial"/>
          <w:color w:val="000000"/>
          <w:sz w:val="24"/>
        </w:rPr>
      </w:pPr>
      <w:r>
        <w:rPr>
          <w:rFonts w:ascii="宋体" w:hAnsi="宋体" w:cs="Arial"/>
          <w:color w:val="000000"/>
          <w:sz w:val="24"/>
        </w:rPr>
        <w:t>5</w:t>
      </w:r>
      <w:r>
        <w:rPr>
          <w:rFonts w:hint="eastAsia" w:ascii="宋体" w:hAnsi="宋体" w:cs="Arial"/>
          <w:color w:val="000000"/>
          <w:sz w:val="24"/>
        </w:rPr>
        <w:t>.2手持对讲设备的维修费用（表</w:t>
      </w:r>
      <w:r>
        <w:rPr>
          <w:rFonts w:ascii="宋体" w:hAnsi="宋体" w:cs="Arial"/>
          <w:color w:val="000000"/>
          <w:sz w:val="24"/>
        </w:rPr>
        <w:t>5-2</w:t>
      </w:r>
      <w:r>
        <w:rPr>
          <w:rFonts w:hint="eastAsia" w:ascii="宋体" w:hAnsi="宋体" w:cs="Arial"/>
          <w:color w:val="000000"/>
          <w:sz w:val="24"/>
        </w:rPr>
        <w:t>）</w:t>
      </w:r>
    </w:p>
    <w:p>
      <w:pPr>
        <w:pStyle w:val="76"/>
        <w:numPr>
          <w:ilvl w:val="0"/>
          <w:numId w:val="10"/>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 xml:space="preserve">摩托罗拉GP338D </w:t>
      </w:r>
      <w:r>
        <w:rPr>
          <w:rFonts w:ascii="宋体" w:hAnsi="宋体" w:eastAsia="宋体" w:cs="Arial"/>
          <w:color w:val="000000"/>
          <w:sz w:val="24"/>
          <w:szCs w:val="20"/>
        </w:rPr>
        <w:t>/</w:t>
      </w:r>
      <w:r>
        <w:rPr>
          <w:rFonts w:hint="eastAsia" w:ascii="宋体" w:hAnsi="宋体" w:eastAsia="宋体" w:cs="Arial"/>
          <w:color w:val="000000"/>
          <w:sz w:val="24"/>
          <w:szCs w:val="20"/>
        </w:rPr>
        <w:t>GP338D</w:t>
      </w:r>
      <w:r>
        <w:rPr>
          <w:rFonts w:ascii="宋体" w:hAnsi="宋体" w:eastAsia="宋体" w:cs="Arial"/>
          <w:color w:val="000000"/>
          <w:sz w:val="24"/>
          <w:szCs w:val="20"/>
        </w:rPr>
        <w:t>+</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-1）</w:t>
      </w:r>
    </w:p>
    <w:tbl>
      <w:tblPr>
        <w:tblStyle w:val="4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4044"/>
        <w:gridCol w:w="202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4044"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故障处理方式</w:t>
            </w:r>
          </w:p>
        </w:tc>
        <w:tc>
          <w:tcPr>
            <w:tcW w:w="2021" w:type="dxa"/>
            <w:shd w:val="clear" w:color="auto" w:fill="auto"/>
            <w:vAlign w:val="center"/>
          </w:tcPr>
          <w:p>
            <w:pPr>
              <w:widowControl/>
              <w:jc w:val="center"/>
              <w:rPr>
                <w:rFonts w:ascii="宋体" w:hAnsi="宋体" w:cs="宋体"/>
                <w:bCs/>
                <w:color w:val="000000"/>
                <w:kern w:val="0"/>
                <w:szCs w:val="21"/>
              </w:rPr>
            </w:pPr>
            <w:r>
              <w:rPr>
                <w:rFonts w:ascii="宋体" w:hAnsi="宋体" w:cs="宋体"/>
                <w:bCs/>
                <w:color w:val="000000"/>
                <w:kern w:val="0"/>
                <w:szCs w:val="21"/>
              </w:rPr>
              <w:t>品牌</w:t>
            </w:r>
          </w:p>
        </w:tc>
        <w:tc>
          <w:tcPr>
            <w:tcW w:w="1770" w:type="dxa"/>
          </w:tcPr>
          <w:p>
            <w:pPr>
              <w:widowControl/>
              <w:jc w:val="center"/>
              <w:rPr>
                <w:rFonts w:ascii="宋体" w:hAnsi="宋体" w:cs="宋体"/>
                <w:bCs/>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台</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维修主板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1755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更换前壳</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更换后铝壳</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更换选件板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785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更换旋钮帽</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软件修复</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p>
        </w:tc>
      </w:tr>
    </w:tbl>
    <w:p>
      <w:pPr>
        <w:pStyle w:val="76"/>
        <w:spacing w:line="360" w:lineRule="auto"/>
        <w:ind w:left="720" w:firstLine="0" w:firstLineChars="0"/>
        <w:rPr>
          <w:rFonts w:ascii="宋体" w:hAnsi="宋体" w:eastAsia="宋体" w:cs="Arial"/>
          <w:color w:val="000000"/>
          <w:sz w:val="24"/>
          <w:szCs w:val="20"/>
        </w:rPr>
      </w:pPr>
    </w:p>
    <w:p>
      <w:pPr>
        <w:pStyle w:val="76"/>
        <w:numPr>
          <w:ilvl w:val="0"/>
          <w:numId w:val="10"/>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x对讲机维修清单（I</w:t>
      </w:r>
      <w:r>
        <w:rPr>
          <w:rFonts w:ascii="宋体" w:hAnsi="宋体" w:eastAsia="宋体" w:cs="Arial"/>
          <w:color w:val="000000"/>
          <w:sz w:val="24"/>
          <w:szCs w:val="20"/>
        </w:rPr>
        <w:t>IC</w:t>
      </w:r>
      <w:r>
        <w:rPr>
          <w:rFonts w:hint="eastAsia" w:ascii="宋体" w:hAnsi="宋体" w:eastAsia="宋体" w:cs="Arial"/>
          <w:color w:val="000000"/>
          <w:sz w:val="24"/>
          <w:szCs w:val="20"/>
        </w:rPr>
        <w:t>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2</w:t>
      </w:r>
      <w:r>
        <w:rPr>
          <w:rFonts w:hint="eastAsia" w:ascii="宋体" w:hAnsi="宋体" w:eastAsia="宋体" w:cs="Arial"/>
          <w:color w:val="000000"/>
          <w:sz w:val="24"/>
          <w:szCs w:val="20"/>
        </w:rPr>
        <w:t>）</w:t>
      </w:r>
    </w:p>
    <w:tbl>
      <w:tblPr>
        <w:tblStyle w:val="48"/>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4037"/>
        <w:gridCol w:w="191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4037"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1916"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1756"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037" w:type="dxa"/>
            <w:shd w:val="clear" w:color="auto" w:fill="auto"/>
            <w:vAlign w:val="center"/>
          </w:tcPr>
          <w:p>
            <w:pPr>
              <w:widowControl/>
              <w:jc w:val="center"/>
              <w:rPr>
                <w:rFonts w:ascii="宋体" w:hAnsi="宋体" w:cs="宋体"/>
                <w:color w:val="000000"/>
                <w:kern w:val="0"/>
                <w:szCs w:val="21"/>
                <w:highlight w:val="yellow"/>
              </w:rPr>
            </w:pPr>
            <w:r>
              <w:rPr>
                <w:rFonts w:ascii="宋体" w:hAnsi="宋体" w:cs="宋体"/>
                <w:color w:val="000000"/>
                <w:kern w:val="0"/>
                <w:szCs w:val="21"/>
              </w:rPr>
              <w:t>更换主板</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更换前壳</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更换旋钮帽</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软件修复</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180</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4037"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r>
              <w:rPr>
                <w:rFonts w:hint="eastAsia" w:ascii="宋体" w:hAnsi="宋体" w:cs="宋体"/>
                <w:color w:val="000000"/>
                <w:kern w:val="0"/>
                <w:szCs w:val="21"/>
              </w:rPr>
              <w:t>　</w:t>
            </w:r>
          </w:p>
        </w:tc>
      </w:tr>
    </w:tbl>
    <w:p>
      <w:pPr>
        <w:spacing w:line="360" w:lineRule="auto"/>
        <w:rPr>
          <w:b/>
          <w:sz w:val="24"/>
          <w:szCs w:val="24"/>
          <w:lang w:val="en-GB"/>
        </w:rPr>
      </w:pPr>
    </w:p>
    <w:p>
      <w:pPr>
        <w:spacing w:line="360" w:lineRule="auto"/>
        <w:rPr>
          <w:b/>
          <w:sz w:val="24"/>
          <w:szCs w:val="24"/>
          <w:lang w:val="en-GB"/>
        </w:rPr>
      </w:pPr>
      <w:r>
        <w:rPr>
          <w:b/>
          <w:sz w:val="24"/>
          <w:szCs w:val="24"/>
          <w:lang w:val="en-GB"/>
        </w:rPr>
        <w:t>5.3</w:t>
      </w:r>
      <w:r>
        <w:rPr>
          <w:rFonts w:hint="eastAsia"/>
          <w:b/>
          <w:sz w:val="24"/>
          <w:szCs w:val="24"/>
          <w:lang w:val="en-GB"/>
        </w:rPr>
        <w:t>应急服务内容及报价.（表5-</w:t>
      </w:r>
      <w:r>
        <w:rPr>
          <w:b/>
          <w:sz w:val="24"/>
          <w:szCs w:val="24"/>
          <w:lang w:val="en-GB"/>
        </w:rPr>
        <w:t>3</w:t>
      </w:r>
      <w:r>
        <w:rPr>
          <w:rFonts w:hint="eastAsia"/>
          <w:b/>
          <w:sz w:val="24"/>
          <w:szCs w:val="24"/>
          <w:lang w:val="en-GB"/>
        </w:rPr>
        <w:t>）</w:t>
      </w:r>
    </w:p>
    <w:tbl>
      <w:tblPr>
        <w:tblStyle w:val="49"/>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83"/>
        <w:gridCol w:w="4264"/>
        <w:gridCol w:w="8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16"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宋体"/>
                <w:b/>
                <w:bCs/>
                <w:color w:val="000000"/>
                <w:kern w:val="0"/>
                <w:sz w:val="21"/>
                <w:szCs w:val="21"/>
              </w:rPr>
              <w:t>序号</w:t>
            </w:r>
          </w:p>
        </w:tc>
        <w:tc>
          <w:tcPr>
            <w:tcW w:w="1183"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名称</w:t>
            </w:r>
          </w:p>
        </w:tc>
        <w:tc>
          <w:tcPr>
            <w:tcW w:w="4264"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专业检测内容</w:t>
            </w:r>
          </w:p>
        </w:tc>
        <w:tc>
          <w:tcPr>
            <w:tcW w:w="850"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单位</w:t>
            </w:r>
          </w:p>
        </w:tc>
        <w:tc>
          <w:tcPr>
            <w:tcW w:w="1448"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0"/>
                <w:szCs w:val="21"/>
              </w:rPr>
              <w:t>基准价.</w:t>
            </w:r>
            <w:r>
              <w:rPr>
                <w:rFonts w:ascii="宋体" w:hAnsi="宋体" w:cs="Arial"/>
                <w:color w:val="000000"/>
                <w:kern w:val="0"/>
                <w:sz w:val="20"/>
                <w:szCs w:val="21"/>
              </w:rPr>
              <w:t>次</w:t>
            </w:r>
            <w:r>
              <w:rPr>
                <w:rFonts w:hint="eastAsia" w:ascii="宋体" w:hAnsi="宋体" w:cs="Arial"/>
                <w:color w:val="000000"/>
                <w:kern w:val="0"/>
                <w:sz w:val="2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216" w:type="dxa"/>
            <w:vAlign w:val="center"/>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1"/>
                <w:szCs w:val="21"/>
              </w:rPr>
              <w:t>1</w:t>
            </w:r>
          </w:p>
        </w:tc>
        <w:tc>
          <w:tcPr>
            <w:tcW w:w="1183" w:type="dxa"/>
            <w:vAlign w:val="center"/>
          </w:tcPr>
          <w:p>
            <w:pPr>
              <w:adjustRightInd w:val="0"/>
              <w:snapToGrid w:val="0"/>
              <w:spacing w:line="360" w:lineRule="auto"/>
              <w:outlineLvl w:val="1"/>
              <w:rPr>
                <w:rFonts w:ascii="Arial" w:hAnsi="Arial" w:cs="Arial"/>
                <w:b/>
                <w:kern w:val="0"/>
                <w:sz w:val="21"/>
                <w:szCs w:val="21"/>
              </w:rPr>
            </w:pPr>
            <w:r>
              <w:rPr>
                <w:rFonts w:hint="eastAsia" w:ascii="宋体" w:hAnsi="宋体" w:cs="Arial"/>
                <w:color w:val="000000"/>
                <w:kern w:val="0"/>
                <w:sz w:val="21"/>
                <w:szCs w:val="21"/>
              </w:rPr>
              <w:t>紧急现场服务</w:t>
            </w:r>
          </w:p>
        </w:tc>
        <w:tc>
          <w:tcPr>
            <w:tcW w:w="4264" w:type="dxa"/>
            <w:vAlign w:val="center"/>
          </w:tcPr>
          <w:p>
            <w:pPr>
              <w:adjustRightInd w:val="0"/>
              <w:snapToGrid w:val="0"/>
              <w:spacing w:line="360" w:lineRule="auto"/>
              <w:outlineLvl w:val="1"/>
              <w:rPr>
                <w:rFonts w:ascii="Arial" w:hAnsi="Arial" w:cs="Arial"/>
                <w:b/>
                <w:kern w:val="0"/>
                <w:sz w:val="21"/>
                <w:szCs w:val="21"/>
              </w:rPr>
            </w:pPr>
            <w:r>
              <w:rPr>
                <w:rFonts w:hint="eastAsia" w:ascii="宋体" w:hAnsi="宋体" w:cs="Arial"/>
                <w:color w:val="000000"/>
                <w:kern w:val="0"/>
                <w:sz w:val="21"/>
                <w:szCs w:val="21"/>
              </w:rPr>
              <w:t>基站遇到重大问题，电话支持无法解决时，用户启动厂家现场服务后，原厂工程师动身并尽量在最短的时间内到达现场。工程师在现场研究问题，直至找到问题的解决方案并完成系统故障修复，在现场服务完成后提供此次服务的完整故障抢修过程和处理记录，紧急服务的本地现场服务有效时间为全年</w:t>
            </w:r>
            <w:r>
              <w:rPr>
                <w:rFonts w:ascii="宋体" w:hAnsi="宋体" w:cs="Arial"/>
                <w:color w:val="000000"/>
                <w:kern w:val="0"/>
                <w:sz w:val="21"/>
                <w:szCs w:val="21"/>
              </w:rPr>
              <w:t>7*24</w:t>
            </w:r>
            <w:r>
              <w:rPr>
                <w:rFonts w:hint="eastAsia" w:ascii="宋体" w:hAnsi="宋体" w:cs="Arial"/>
                <w:color w:val="000000"/>
                <w:kern w:val="0"/>
                <w:sz w:val="21"/>
                <w:szCs w:val="21"/>
              </w:rPr>
              <w:t>小时</w:t>
            </w:r>
          </w:p>
        </w:tc>
        <w:tc>
          <w:tcPr>
            <w:tcW w:w="850" w:type="dxa"/>
            <w:vMerge w:val="restart"/>
            <w:vAlign w:val="center"/>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1"/>
                <w:szCs w:val="21"/>
              </w:rPr>
              <w:t>次</w:t>
            </w:r>
          </w:p>
        </w:tc>
        <w:tc>
          <w:tcPr>
            <w:tcW w:w="1448" w:type="dxa"/>
            <w:vMerge w:val="restart"/>
            <w:vAlign w:val="center"/>
          </w:tcPr>
          <w:p>
            <w:pPr>
              <w:adjustRightInd w:val="0"/>
              <w:snapToGrid w:val="0"/>
              <w:spacing w:line="360" w:lineRule="auto"/>
              <w:outlineLvl w:val="1"/>
              <w:rPr>
                <w:rFonts w:ascii="Arial" w:hAnsi="Arial" w:cs="Arial"/>
                <w:b/>
                <w:kern w:val="0"/>
                <w:sz w:val="21"/>
                <w:szCs w:val="21"/>
              </w:rPr>
            </w:pPr>
            <w:r>
              <w:rPr>
                <w:rFonts w:ascii="宋体" w:hAnsi="宋体" w:cs="Arial"/>
                <w:color w:val="000000"/>
                <w:kern w:val="0"/>
                <w:sz w:val="21"/>
                <w:szCs w:val="21"/>
              </w:rPr>
              <w:t>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16" w:type="dxa"/>
            <w:vAlign w:val="center"/>
          </w:tcPr>
          <w:p>
            <w:pPr>
              <w:adjustRightInd w:val="0"/>
              <w:snapToGrid w:val="0"/>
              <w:spacing w:line="360" w:lineRule="auto"/>
              <w:jc w:val="center"/>
              <w:outlineLvl w:val="1"/>
              <w:rPr>
                <w:rFonts w:ascii="宋体" w:hAnsi="宋体" w:cs="Arial"/>
                <w:color w:val="000000"/>
                <w:kern w:val="0"/>
                <w:sz w:val="21"/>
                <w:szCs w:val="21"/>
              </w:rPr>
            </w:pPr>
            <w:r>
              <w:rPr>
                <w:rFonts w:hint="eastAsia" w:ascii="宋体" w:hAnsi="宋体" w:cs="Arial"/>
                <w:kern w:val="0"/>
                <w:sz w:val="21"/>
                <w:szCs w:val="21"/>
              </w:rPr>
              <w:t>2</w:t>
            </w:r>
          </w:p>
        </w:tc>
        <w:tc>
          <w:tcPr>
            <w:tcW w:w="1183" w:type="dxa"/>
            <w:vAlign w:val="center"/>
          </w:tcPr>
          <w:p>
            <w:pPr>
              <w:adjustRightInd w:val="0"/>
              <w:snapToGrid w:val="0"/>
              <w:spacing w:line="360" w:lineRule="auto"/>
              <w:outlineLvl w:val="1"/>
              <w:rPr>
                <w:rFonts w:ascii="宋体" w:hAnsi="宋体" w:cs="Arial"/>
                <w:color w:val="000000"/>
                <w:kern w:val="0"/>
                <w:sz w:val="21"/>
                <w:szCs w:val="21"/>
              </w:rPr>
            </w:pPr>
            <w:r>
              <w:rPr>
                <w:rFonts w:ascii="宋体" w:hAnsi="宋体" w:cs="Arial"/>
                <w:color w:val="000000"/>
                <w:kern w:val="0"/>
                <w:sz w:val="21"/>
                <w:szCs w:val="21"/>
              </w:rPr>
              <w:t>应急</w:t>
            </w:r>
            <w:r>
              <w:rPr>
                <w:rFonts w:hint="eastAsia" w:ascii="宋体" w:hAnsi="宋体" w:cs="Arial"/>
                <w:color w:val="000000"/>
                <w:kern w:val="0"/>
                <w:sz w:val="21"/>
                <w:szCs w:val="21"/>
              </w:rPr>
              <w:t>服务</w:t>
            </w:r>
          </w:p>
        </w:tc>
        <w:tc>
          <w:tcPr>
            <w:tcW w:w="4264" w:type="dxa"/>
            <w:vAlign w:val="center"/>
          </w:tcPr>
          <w:p>
            <w:pPr>
              <w:adjustRightInd w:val="0"/>
              <w:snapToGrid w:val="0"/>
              <w:spacing w:line="360" w:lineRule="auto"/>
              <w:outlineLvl w:val="1"/>
              <w:rPr>
                <w:rFonts w:ascii="宋体" w:hAnsi="宋体" w:cs="Arial"/>
                <w:color w:val="000000"/>
                <w:kern w:val="0"/>
                <w:sz w:val="21"/>
                <w:szCs w:val="21"/>
              </w:rPr>
            </w:pPr>
            <w:r>
              <w:rPr>
                <w:rFonts w:ascii="宋体" w:hAnsi="宋体" w:cs="Arial"/>
                <w:color w:val="000000"/>
                <w:kern w:val="0"/>
                <w:sz w:val="21"/>
                <w:szCs w:val="21"/>
              </w:rPr>
              <w:t>厂方如遇极端天气或其它紧急事件需应急加强通信保障，提前介入检查各通信基站运行情况及配合用户制定应急预案，派员及携带预案中可能使用的相关设备及器材参与24小时值班，直至事件结束。</w:t>
            </w:r>
          </w:p>
        </w:tc>
        <w:tc>
          <w:tcPr>
            <w:tcW w:w="850" w:type="dxa"/>
            <w:vMerge w:val="continue"/>
            <w:vAlign w:val="center"/>
          </w:tcPr>
          <w:p>
            <w:pPr>
              <w:adjustRightInd w:val="0"/>
              <w:snapToGrid w:val="0"/>
              <w:spacing w:line="360" w:lineRule="auto"/>
              <w:outlineLvl w:val="1"/>
              <w:rPr>
                <w:rFonts w:ascii="宋体" w:hAnsi="宋体" w:cs="Arial"/>
                <w:color w:val="000000"/>
                <w:kern w:val="0"/>
                <w:sz w:val="21"/>
                <w:szCs w:val="21"/>
              </w:rPr>
            </w:pPr>
          </w:p>
        </w:tc>
        <w:tc>
          <w:tcPr>
            <w:tcW w:w="1448" w:type="dxa"/>
            <w:vMerge w:val="continue"/>
            <w:vAlign w:val="center"/>
          </w:tcPr>
          <w:p>
            <w:pPr>
              <w:adjustRightInd w:val="0"/>
              <w:snapToGrid w:val="0"/>
              <w:spacing w:line="360" w:lineRule="auto"/>
              <w:outlineLvl w:val="1"/>
              <w:rPr>
                <w:rFonts w:ascii="宋体" w:hAnsi="宋体" w:cs="Arial"/>
                <w:color w:val="000000"/>
                <w:kern w:val="0"/>
                <w:sz w:val="21"/>
                <w:szCs w:val="21"/>
              </w:rPr>
            </w:pPr>
          </w:p>
        </w:tc>
      </w:tr>
    </w:tbl>
    <w:p>
      <w:pPr>
        <w:pStyle w:val="2"/>
        <w:numPr>
          <w:ilvl w:val="255"/>
          <w:numId w:val="0"/>
        </w:numPr>
      </w:pP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tabs>
          <w:tab w:val="left" w:pos="709"/>
        </w:tabs>
        <w:spacing w:line="600" w:lineRule="exact"/>
        <w:ind w:firstLine="480" w:firstLineChars="200"/>
        <w:rPr>
          <w:sz w:val="24"/>
          <w:szCs w:val="24"/>
        </w:rPr>
      </w:pPr>
      <w:r>
        <w:rPr>
          <w:rFonts w:hint="eastAsia"/>
          <w:sz w:val="24"/>
          <w:szCs w:val="24"/>
        </w:rPr>
        <w:t xml:space="preserve">     2、付款方式：</w:t>
      </w:r>
      <w:r>
        <w:rPr>
          <w:rFonts w:hint="eastAsia" w:ascii="宋体" w:hAnsi="宋体" w:eastAsia="宋体" w:cs="宋体"/>
          <w:sz w:val="24"/>
          <w:szCs w:val="24"/>
          <w:lang w:eastAsia="zh-CN"/>
        </w:rPr>
        <w:t>全部货款以现汇支付，</w:t>
      </w:r>
      <w:r>
        <w:rPr>
          <w:rFonts w:hint="eastAsia" w:ascii="宋体" w:hAnsi="宋体" w:eastAsia="宋体" w:cs="宋体"/>
          <w:sz w:val="24"/>
          <w:szCs w:val="24"/>
          <w:lang w:val="en-US" w:eastAsia="zh-CN"/>
        </w:rPr>
        <w:t>按实际维修量进行结算，当批次验收合格后支付100%货款，如出现维修质量等问题将从验收款或合同</w:t>
      </w:r>
      <w:r>
        <w:rPr>
          <w:rFonts w:hint="eastAsia" w:ascii="宋体" w:hAnsi="宋体" w:eastAsia="宋体" w:cs="宋体"/>
          <w:b w:val="0"/>
          <w:kern w:val="0"/>
          <w:sz w:val="24"/>
          <w:szCs w:val="24"/>
          <w:lang w:eastAsia="zh-CN"/>
        </w:rPr>
        <w:t>履约保证金</w:t>
      </w:r>
      <w:r>
        <w:rPr>
          <w:rFonts w:hint="eastAsia" w:ascii="宋体" w:hAnsi="宋体" w:eastAsia="宋体" w:cs="宋体"/>
          <w:b w:val="0"/>
          <w:kern w:val="0"/>
          <w:sz w:val="24"/>
          <w:szCs w:val="24"/>
          <w:lang w:val="en-US" w:eastAsia="zh-CN"/>
        </w:rPr>
        <w:t>中扣除</w:t>
      </w:r>
      <w:r>
        <w:rPr>
          <w:rFonts w:hint="eastAsia" w:ascii="宋体" w:hAnsi="宋体" w:eastAsia="宋体" w:cs="宋体"/>
          <w:sz w:val="24"/>
          <w:szCs w:val="24"/>
          <w:lang w:eastAsia="zh-CN"/>
        </w:rPr>
        <w:t>。</w:t>
      </w:r>
    </w:p>
    <w:p>
      <w:pPr>
        <w:pStyle w:val="2"/>
        <w:spacing w:line="360" w:lineRule="auto"/>
        <w:rPr>
          <w:sz w:val="24"/>
          <w:szCs w:val="24"/>
          <w:u w:val="single"/>
        </w:rPr>
      </w:pPr>
      <w:r>
        <w:rPr>
          <w:rFonts w:hint="eastAsia"/>
          <w:sz w:val="24"/>
          <w:szCs w:val="24"/>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sz w:val="28"/>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1"/>
    </w:p>
    <w:sectPr>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1"/>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1"/>
      <w:spacing w:line="14" w:lineRule="auto"/>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1"/>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4B1207A"/>
    <w:multiLevelType w:val="multilevel"/>
    <w:tmpl w:val="04B1207A"/>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5360A59"/>
    <w:multiLevelType w:val="multilevel"/>
    <w:tmpl w:val="05360A59"/>
    <w:lvl w:ilvl="0" w:tentative="0">
      <w:start w:val="1"/>
      <w:numFmt w:val="chineseCountingThousand"/>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5">
    <w:nsid w:val="1908054B"/>
    <w:multiLevelType w:val="multilevel"/>
    <w:tmpl w:val="190805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3DE25077"/>
    <w:multiLevelType w:val="multilevel"/>
    <w:tmpl w:val="3DE250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E774E2"/>
    <w:multiLevelType w:val="multilevel"/>
    <w:tmpl w:val="45E774E2"/>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1">
    <w:nsid w:val="4DA21413"/>
    <w:multiLevelType w:val="multilevel"/>
    <w:tmpl w:val="4DA21413"/>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0B2A8B"/>
    <w:multiLevelType w:val="multilevel"/>
    <w:tmpl w:val="4F0B2A8B"/>
    <w:lvl w:ilvl="0" w:tentative="0">
      <w:start w:val="1"/>
      <w:numFmt w:val="decimal"/>
      <w:lvlText w:val="%1."/>
      <w:lvlJc w:val="left"/>
      <w:pPr>
        <w:ind w:left="420" w:hanging="420"/>
      </w:pPr>
      <w:rPr>
        <w:rFonts w:hint="eastAsia" w:ascii="宋体" w:hAnsi="宋体" w:eastAsia="宋体"/>
        <w:b w:val="0"/>
        <w:caps w:val="0"/>
        <w:smallCaps w:val="0"/>
        <w:color w:val="000000" w:themeColor="text1"/>
        <w:spacing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86F4FD"/>
    <w:multiLevelType w:val="singleLevel"/>
    <w:tmpl w:val="4F86F4FD"/>
    <w:lvl w:ilvl="0" w:tentative="0">
      <w:start w:val="13"/>
      <w:numFmt w:val="chineseCounting"/>
      <w:suff w:val="nothing"/>
      <w:lvlText w:val="%1、"/>
      <w:lvlJc w:val="left"/>
      <w:rPr>
        <w:rFonts w:hint="eastAsia"/>
        <w:b/>
        <w:bCs/>
      </w:rPr>
    </w:lvl>
  </w:abstractNum>
  <w:abstractNum w:abstractNumId="1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5">
    <w:nsid w:val="67A33770"/>
    <w:multiLevelType w:val="multilevel"/>
    <w:tmpl w:val="67A3377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AE5E81"/>
    <w:multiLevelType w:val="multilevel"/>
    <w:tmpl w:val="6AAE5E8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4"/>
  </w:num>
  <w:num w:numId="2">
    <w:abstractNumId w:val="1"/>
  </w:num>
  <w:num w:numId="3">
    <w:abstractNumId w:val="6"/>
  </w:num>
  <w:num w:numId="4">
    <w:abstractNumId w:val="7"/>
  </w:num>
  <w:num w:numId="5">
    <w:abstractNumId w:val="8"/>
  </w:num>
  <w:num w:numId="6">
    <w:abstractNumId w:val="17"/>
  </w:num>
  <w:num w:numId="7">
    <w:abstractNumId w:val="13"/>
  </w:num>
  <w:num w:numId="8">
    <w:abstractNumId w:val="16"/>
  </w:num>
  <w:num w:numId="9">
    <w:abstractNumId w:val="15"/>
  </w:num>
  <w:num w:numId="10">
    <w:abstractNumId w:val="11"/>
  </w:num>
  <w:num w:numId="11">
    <w:abstractNumId w:val="12"/>
  </w:num>
  <w:num w:numId="12">
    <w:abstractNumId w:val="2"/>
  </w:num>
  <w:num w:numId="13">
    <w:abstractNumId w:val="3"/>
  </w:num>
  <w:num w:numId="14">
    <w:abstractNumId w:val="10"/>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1F47"/>
    <w:rsid w:val="00242301"/>
    <w:rsid w:val="002427A9"/>
    <w:rsid w:val="002431E7"/>
    <w:rsid w:val="002451B2"/>
    <w:rsid w:val="0024625A"/>
    <w:rsid w:val="002551DF"/>
    <w:rsid w:val="0025699E"/>
    <w:rsid w:val="002578E6"/>
    <w:rsid w:val="00263085"/>
    <w:rsid w:val="002648A2"/>
    <w:rsid w:val="002660DA"/>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B1706"/>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10FE"/>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C7C7C"/>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A892BC4"/>
    <w:rsid w:val="0B296DE2"/>
    <w:rsid w:val="0B3D504B"/>
    <w:rsid w:val="0B721453"/>
    <w:rsid w:val="0D0126E0"/>
    <w:rsid w:val="0DA35449"/>
    <w:rsid w:val="0EFD592E"/>
    <w:rsid w:val="0FB5725B"/>
    <w:rsid w:val="0FB7670E"/>
    <w:rsid w:val="10294AA3"/>
    <w:rsid w:val="10E40CA0"/>
    <w:rsid w:val="12584C20"/>
    <w:rsid w:val="12B51BDE"/>
    <w:rsid w:val="136130D9"/>
    <w:rsid w:val="13805E8A"/>
    <w:rsid w:val="14762538"/>
    <w:rsid w:val="15800409"/>
    <w:rsid w:val="15AD01BA"/>
    <w:rsid w:val="16AE1C29"/>
    <w:rsid w:val="16B72867"/>
    <w:rsid w:val="171E7DD2"/>
    <w:rsid w:val="173600E6"/>
    <w:rsid w:val="176A78D9"/>
    <w:rsid w:val="18DD4F7E"/>
    <w:rsid w:val="19544509"/>
    <w:rsid w:val="195B58A2"/>
    <w:rsid w:val="1989465C"/>
    <w:rsid w:val="1A2360C8"/>
    <w:rsid w:val="1B6947A7"/>
    <w:rsid w:val="1C482B79"/>
    <w:rsid w:val="1CC40373"/>
    <w:rsid w:val="1D0E17D1"/>
    <w:rsid w:val="1D91737C"/>
    <w:rsid w:val="1E085A14"/>
    <w:rsid w:val="1E657D90"/>
    <w:rsid w:val="1ED93E25"/>
    <w:rsid w:val="1FF43DDB"/>
    <w:rsid w:val="20625E24"/>
    <w:rsid w:val="21933AA2"/>
    <w:rsid w:val="22B76993"/>
    <w:rsid w:val="22E07B9F"/>
    <w:rsid w:val="231F5346"/>
    <w:rsid w:val="2333574E"/>
    <w:rsid w:val="24D60F58"/>
    <w:rsid w:val="25BF356F"/>
    <w:rsid w:val="25DB0C2D"/>
    <w:rsid w:val="267F6210"/>
    <w:rsid w:val="269469E7"/>
    <w:rsid w:val="26EF5299"/>
    <w:rsid w:val="27981585"/>
    <w:rsid w:val="27E149AB"/>
    <w:rsid w:val="27EE0826"/>
    <w:rsid w:val="280F47C0"/>
    <w:rsid w:val="28640461"/>
    <w:rsid w:val="2998140D"/>
    <w:rsid w:val="29FC3B14"/>
    <w:rsid w:val="2A056A4F"/>
    <w:rsid w:val="2B11792E"/>
    <w:rsid w:val="2E666BF4"/>
    <w:rsid w:val="2F724BD0"/>
    <w:rsid w:val="2FC5779A"/>
    <w:rsid w:val="31AF3FB9"/>
    <w:rsid w:val="31C54755"/>
    <w:rsid w:val="31D23053"/>
    <w:rsid w:val="3216608C"/>
    <w:rsid w:val="328F13DA"/>
    <w:rsid w:val="34CE14C6"/>
    <w:rsid w:val="34D84CEC"/>
    <w:rsid w:val="35CF1523"/>
    <w:rsid w:val="35DC515B"/>
    <w:rsid w:val="36BA68B0"/>
    <w:rsid w:val="377B245D"/>
    <w:rsid w:val="37AF5AB7"/>
    <w:rsid w:val="39E568DF"/>
    <w:rsid w:val="3A387F18"/>
    <w:rsid w:val="3B1C3371"/>
    <w:rsid w:val="3CAE3A33"/>
    <w:rsid w:val="3CC23198"/>
    <w:rsid w:val="3CE30676"/>
    <w:rsid w:val="3DDF4815"/>
    <w:rsid w:val="3FE669E5"/>
    <w:rsid w:val="41EB5470"/>
    <w:rsid w:val="449B3628"/>
    <w:rsid w:val="44B33DBE"/>
    <w:rsid w:val="44B70186"/>
    <w:rsid w:val="459C39D0"/>
    <w:rsid w:val="462A54F2"/>
    <w:rsid w:val="486C4718"/>
    <w:rsid w:val="4A286FFC"/>
    <w:rsid w:val="4A6A5207"/>
    <w:rsid w:val="4B3B68BB"/>
    <w:rsid w:val="4B410375"/>
    <w:rsid w:val="4B876203"/>
    <w:rsid w:val="50F63E28"/>
    <w:rsid w:val="5221007F"/>
    <w:rsid w:val="52926B5A"/>
    <w:rsid w:val="52B7258B"/>
    <w:rsid w:val="52F74B88"/>
    <w:rsid w:val="542A5B09"/>
    <w:rsid w:val="545C5E51"/>
    <w:rsid w:val="5486175B"/>
    <w:rsid w:val="56A70955"/>
    <w:rsid w:val="57667D24"/>
    <w:rsid w:val="57714AA1"/>
    <w:rsid w:val="57C67347"/>
    <w:rsid w:val="57CE5BC3"/>
    <w:rsid w:val="5998493F"/>
    <w:rsid w:val="59B9557B"/>
    <w:rsid w:val="59C5385A"/>
    <w:rsid w:val="5A2D3E44"/>
    <w:rsid w:val="5A3260D4"/>
    <w:rsid w:val="5AD75FB8"/>
    <w:rsid w:val="5AE1516A"/>
    <w:rsid w:val="5B3226FA"/>
    <w:rsid w:val="5B6A3A79"/>
    <w:rsid w:val="5C1A5F7B"/>
    <w:rsid w:val="5D3750C3"/>
    <w:rsid w:val="5D7A3273"/>
    <w:rsid w:val="5E2B4120"/>
    <w:rsid w:val="60143739"/>
    <w:rsid w:val="601675AC"/>
    <w:rsid w:val="60342B61"/>
    <w:rsid w:val="628D3982"/>
    <w:rsid w:val="62E96122"/>
    <w:rsid w:val="645771F8"/>
    <w:rsid w:val="65D57404"/>
    <w:rsid w:val="665E3499"/>
    <w:rsid w:val="66CC0AF0"/>
    <w:rsid w:val="67CE38BB"/>
    <w:rsid w:val="68246BFD"/>
    <w:rsid w:val="693C3D94"/>
    <w:rsid w:val="69962A8F"/>
    <w:rsid w:val="6A3E5143"/>
    <w:rsid w:val="6A54112D"/>
    <w:rsid w:val="6A701C86"/>
    <w:rsid w:val="6A9109B8"/>
    <w:rsid w:val="6AA035AE"/>
    <w:rsid w:val="6BCB034D"/>
    <w:rsid w:val="6C0E1756"/>
    <w:rsid w:val="6C2B2406"/>
    <w:rsid w:val="6C4E6286"/>
    <w:rsid w:val="6D1B5A5A"/>
    <w:rsid w:val="6E0F2E14"/>
    <w:rsid w:val="6E2651CA"/>
    <w:rsid w:val="6E71313D"/>
    <w:rsid w:val="6EAB091C"/>
    <w:rsid w:val="6F1E141D"/>
    <w:rsid w:val="6F5354F8"/>
    <w:rsid w:val="71D648EC"/>
    <w:rsid w:val="727810B8"/>
    <w:rsid w:val="7293546A"/>
    <w:rsid w:val="72E05B2C"/>
    <w:rsid w:val="72EF5B99"/>
    <w:rsid w:val="740A2BDE"/>
    <w:rsid w:val="751839E0"/>
    <w:rsid w:val="756178E9"/>
    <w:rsid w:val="75A1093B"/>
    <w:rsid w:val="75BE7C69"/>
    <w:rsid w:val="76274F93"/>
    <w:rsid w:val="79670CA0"/>
    <w:rsid w:val="79EB3F2F"/>
    <w:rsid w:val="79FD3C4B"/>
    <w:rsid w:val="7A1D7427"/>
    <w:rsid w:val="7B11789E"/>
    <w:rsid w:val="7C842024"/>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next w:val="1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1"/>
    <w:qFormat/>
    <w:uiPriority w:val="1"/>
    <w:rPr>
      <w:sz w:val="24"/>
      <w:szCs w:val="24"/>
    </w:rPr>
  </w:style>
  <w:style w:type="paragraph" w:styleId="22">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72"/>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3"/>
    <w:qFormat/>
    <w:uiPriority w:val="99"/>
    <w:pPr>
      <w:tabs>
        <w:tab w:val="center" w:pos="4153"/>
        <w:tab w:val="right" w:pos="8306"/>
      </w:tabs>
      <w:snapToGrid w:val="0"/>
    </w:pPr>
    <w:rPr>
      <w:sz w:val="18"/>
      <w:szCs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4"/>
    <w:qFormat/>
    <w:uiPriority w:val="0"/>
    <w:pPr>
      <w:widowControl/>
    </w:pPr>
    <w:rPr>
      <w:b/>
      <w:bCs/>
      <w:sz w:val="24"/>
      <w:szCs w:val="24"/>
    </w:rPr>
  </w:style>
  <w:style w:type="paragraph" w:styleId="46">
    <w:name w:val="Body Text First Indent"/>
    <w:basedOn w:val="21"/>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2"/>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2490F8"/>
      <w:u w:val="none"/>
    </w:rPr>
  </w:style>
  <w:style w:type="character" w:styleId="54">
    <w:name w:val="Emphasis"/>
    <w:basedOn w:val="50"/>
    <w:qFormat/>
    <w:uiPriority w:val="0"/>
  </w:style>
  <w:style w:type="character" w:styleId="55">
    <w:name w:val="HTML Definition"/>
    <w:basedOn w:val="50"/>
    <w:semiHidden/>
    <w:unhideWhenUsed/>
    <w:qFormat/>
    <w:uiPriority w:val="0"/>
  </w:style>
  <w:style w:type="character" w:styleId="56">
    <w:name w:val="HTML Variable"/>
    <w:basedOn w:val="50"/>
    <w:semiHidden/>
    <w:unhideWhenUsed/>
    <w:qFormat/>
    <w:uiPriority w:val="0"/>
  </w:style>
  <w:style w:type="character" w:styleId="57">
    <w:name w:val="Hyperlink"/>
    <w:basedOn w:val="50"/>
    <w:qFormat/>
    <w:uiPriority w:val="0"/>
    <w:rPr>
      <w:color w:val="0000FF" w:themeColor="hyperlink"/>
      <w:u w:val="single"/>
    </w:rPr>
  </w:style>
  <w:style w:type="character" w:styleId="58">
    <w:name w:val="HTML Code"/>
    <w:basedOn w:val="50"/>
    <w:semiHidden/>
    <w:unhideWhenUsed/>
    <w:qFormat/>
    <w:uiPriority w:val="0"/>
    <w:rPr>
      <w:rFonts w:ascii="Courier New" w:hAnsi="Courier New"/>
      <w:sz w:val="20"/>
    </w:rPr>
  </w:style>
  <w:style w:type="character" w:styleId="59">
    <w:name w:val="annotation reference"/>
    <w:basedOn w:val="50"/>
    <w:qFormat/>
    <w:uiPriority w:val="0"/>
    <w:rPr>
      <w:sz w:val="21"/>
      <w:szCs w:val="21"/>
    </w:rPr>
  </w:style>
  <w:style w:type="character" w:styleId="60">
    <w:name w:val="HTML Cite"/>
    <w:basedOn w:val="50"/>
    <w:semiHidden/>
    <w:unhideWhenUsed/>
    <w:qFormat/>
    <w:uiPriority w:val="0"/>
  </w:style>
  <w:style w:type="character" w:customStyle="1" w:styleId="61">
    <w:name w:val="标题 1 Char"/>
    <w:basedOn w:val="50"/>
    <w:link w:val="3"/>
    <w:qFormat/>
    <w:uiPriority w:val="0"/>
    <w:rPr>
      <w:rFonts w:ascii="宋体" w:hAnsi="宋体" w:cs="宋体"/>
      <w:b/>
      <w:bCs/>
      <w:sz w:val="28"/>
      <w:szCs w:val="28"/>
      <w:lang w:eastAsia="en-US"/>
    </w:rPr>
  </w:style>
  <w:style w:type="character" w:customStyle="1" w:styleId="62">
    <w:name w:val="标题 2 Char"/>
    <w:basedOn w:val="50"/>
    <w:link w:val="4"/>
    <w:qFormat/>
    <w:uiPriority w:val="0"/>
    <w:rPr>
      <w:rFonts w:ascii="宋体" w:hAnsi="宋体" w:cs="宋体"/>
      <w:b/>
      <w:bCs/>
      <w:sz w:val="24"/>
      <w:szCs w:val="24"/>
      <w:lang w:eastAsia="en-US"/>
    </w:rPr>
  </w:style>
  <w:style w:type="character" w:customStyle="1" w:styleId="63">
    <w:name w:val="标题 3 Char"/>
    <w:basedOn w:val="50"/>
    <w:link w:val="5"/>
    <w:qFormat/>
    <w:uiPriority w:val="0"/>
    <w:rPr>
      <w:b/>
      <w:bCs/>
      <w:kern w:val="2"/>
      <w:sz w:val="32"/>
      <w:szCs w:val="32"/>
    </w:rPr>
  </w:style>
  <w:style w:type="character" w:customStyle="1" w:styleId="64">
    <w:name w:val="标题 4 Char"/>
    <w:basedOn w:val="50"/>
    <w:link w:val="6"/>
    <w:qFormat/>
    <w:uiPriority w:val="0"/>
    <w:rPr>
      <w:b/>
      <w:kern w:val="2"/>
      <w:sz w:val="24"/>
      <w:szCs w:val="24"/>
    </w:rPr>
  </w:style>
  <w:style w:type="character" w:customStyle="1" w:styleId="65">
    <w:name w:val="标题 5 Char"/>
    <w:basedOn w:val="50"/>
    <w:link w:val="7"/>
    <w:qFormat/>
    <w:uiPriority w:val="0"/>
    <w:rPr>
      <w:b/>
      <w:bCs/>
      <w:kern w:val="2"/>
      <w:sz w:val="28"/>
      <w:szCs w:val="28"/>
    </w:rPr>
  </w:style>
  <w:style w:type="character" w:customStyle="1" w:styleId="66">
    <w:name w:val="标题 6 Char"/>
    <w:basedOn w:val="50"/>
    <w:link w:val="8"/>
    <w:qFormat/>
    <w:uiPriority w:val="0"/>
    <w:rPr>
      <w:b/>
      <w:sz w:val="24"/>
    </w:rPr>
  </w:style>
  <w:style w:type="character" w:customStyle="1" w:styleId="67">
    <w:name w:val="正文缩进 Char"/>
    <w:basedOn w:val="50"/>
    <w:link w:val="10"/>
    <w:qFormat/>
    <w:uiPriority w:val="0"/>
    <w:rPr>
      <w:sz w:val="24"/>
    </w:rPr>
  </w:style>
  <w:style w:type="character" w:customStyle="1" w:styleId="68">
    <w:name w:val="标题 7 Char"/>
    <w:basedOn w:val="50"/>
    <w:link w:val="9"/>
    <w:qFormat/>
    <w:uiPriority w:val="0"/>
    <w:rPr>
      <w:b/>
      <w:kern w:val="2"/>
      <w:sz w:val="24"/>
    </w:rPr>
  </w:style>
  <w:style w:type="character" w:customStyle="1" w:styleId="69">
    <w:name w:val="标题 8 Char"/>
    <w:basedOn w:val="50"/>
    <w:link w:val="12"/>
    <w:qFormat/>
    <w:uiPriority w:val="0"/>
    <w:rPr>
      <w:rFonts w:ascii="Arial" w:hAnsi="Arial" w:eastAsia="黑体"/>
      <w:kern w:val="2"/>
      <w:sz w:val="24"/>
    </w:rPr>
  </w:style>
  <w:style w:type="character" w:customStyle="1" w:styleId="70">
    <w:name w:val="标题 9 Char"/>
    <w:basedOn w:val="50"/>
    <w:link w:val="13"/>
    <w:qFormat/>
    <w:uiPriority w:val="0"/>
    <w:rPr>
      <w:rFonts w:ascii="Arial" w:hAnsi="Arial" w:eastAsia="黑体"/>
      <w:kern w:val="2"/>
      <w:sz w:val="21"/>
    </w:rPr>
  </w:style>
  <w:style w:type="character" w:customStyle="1" w:styleId="71">
    <w:name w:val="正文文本 Char1"/>
    <w:basedOn w:val="50"/>
    <w:link w:val="21"/>
    <w:qFormat/>
    <w:uiPriority w:val="1"/>
    <w:rPr>
      <w:rFonts w:ascii="宋体" w:hAnsi="宋体" w:cs="宋体"/>
      <w:sz w:val="24"/>
      <w:szCs w:val="24"/>
      <w:lang w:eastAsia="en-US"/>
    </w:rPr>
  </w:style>
  <w:style w:type="character" w:customStyle="1" w:styleId="72">
    <w:name w:val="纯文本 Char"/>
    <w:basedOn w:val="50"/>
    <w:link w:val="26"/>
    <w:qFormat/>
    <w:uiPriority w:val="0"/>
    <w:rPr>
      <w:rFonts w:ascii="宋体" w:hAnsi="Courier New" w:cs="Courier New"/>
      <w:sz w:val="22"/>
      <w:szCs w:val="21"/>
      <w:lang w:eastAsia="en-US"/>
    </w:rPr>
  </w:style>
  <w:style w:type="character" w:customStyle="1" w:styleId="73">
    <w:name w:val="页脚 Char"/>
    <w:basedOn w:val="50"/>
    <w:link w:val="31"/>
    <w:qFormat/>
    <w:uiPriority w:val="99"/>
    <w:rPr>
      <w:rFonts w:ascii="宋体" w:hAnsi="宋体" w:cs="宋体"/>
      <w:sz w:val="18"/>
      <w:szCs w:val="18"/>
      <w:lang w:eastAsia="en-US"/>
    </w:rPr>
  </w:style>
  <w:style w:type="character" w:customStyle="1" w:styleId="74">
    <w:name w:val="页眉 Char"/>
    <w:basedOn w:val="50"/>
    <w:link w:val="11"/>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0"/>
    <w:link w:val="20"/>
    <w:qFormat/>
    <w:uiPriority w:val="0"/>
    <w:rPr>
      <w:b/>
      <w:kern w:val="2"/>
      <w:sz w:val="21"/>
    </w:rPr>
  </w:style>
  <w:style w:type="character" w:customStyle="1" w:styleId="82">
    <w:name w:val="普通(网站) Char"/>
    <w:basedOn w:val="50"/>
    <w:link w:val="42"/>
    <w:qFormat/>
    <w:locked/>
    <w:uiPriority w:val="0"/>
    <w:rPr>
      <w:rFonts w:ascii="宋体" w:hAnsi="宋体" w:cs="宋体"/>
      <w:sz w:val="24"/>
      <w:szCs w:val="24"/>
    </w:rPr>
  </w:style>
  <w:style w:type="character" w:customStyle="1" w:styleId="83">
    <w:name w:val="xdrichtextbox2"/>
    <w:basedOn w:val="50"/>
    <w:qFormat/>
    <w:uiPriority w:val="0"/>
    <w:rPr>
      <w:color w:val="0000FF"/>
      <w:sz w:val="18"/>
      <w:szCs w:val="18"/>
      <w:u w:val="none"/>
      <w:bdr w:val="single" w:color="DCDCDC" w:sz="8" w:space="0"/>
      <w:shd w:val="clear" w:color="auto" w:fill="FFFFFF"/>
    </w:rPr>
  </w:style>
  <w:style w:type="character" w:customStyle="1" w:styleId="84">
    <w:name w:val="apple-converted-space"/>
    <w:basedOn w:val="50"/>
    <w:qFormat/>
    <w:uiPriority w:val="0"/>
  </w:style>
  <w:style w:type="character" w:customStyle="1" w:styleId="85">
    <w:name w:val="无间隔 Char"/>
    <w:basedOn w:val="50"/>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0"/>
    <w:link w:val="18"/>
    <w:qFormat/>
    <w:uiPriority w:val="0"/>
    <w:rPr>
      <w:kern w:val="2"/>
      <w:sz w:val="21"/>
    </w:rPr>
  </w:style>
  <w:style w:type="character" w:customStyle="1" w:styleId="88">
    <w:name w:val="批注框文本 Char"/>
    <w:basedOn w:val="50"/>
    <w:link w:val="30"/>
    <w:qFormat/>
    <w:uiPriority w:val="0"/>
    <w:rPr>
      <w:kern w:val="2"/>
      <w:sz w:val="18"/>
      <w:szCs w:val="18"/>
    </w:rPr>
  </w:style>
  <w:style w:type="character" w:customStyle="1" w:styleId="89">
    <w:name w:val="正文文本缩进 3 Char"/>
    <w:basedOn w:val="50"/>
    <w:link w:val="36"/>
    <w:qFormat/>
    <w:uiPriority w:val="0"/>
    <w:rPr>
      <w:kern w:val="2"/>
      <w:sz w:val="28"/>
    </w:rPr>
  </w:style>
  <w:style w:type="character" w:customStyle="1" w:styleId="90">
    <w:name w:val="正文文本缩进 2 Char"/>
    <w:basedOn w:val="50"/>
    <w:link w:val="29"/>
    <w:qFormat/>
    <w:uiPriority w:val="0"/>
    <w:rPr>
      <w:rFonts w:ascii="宋体" w:hAnsi="宋体"/>
      <w:iCs/>
      <w:kern w:val="2"/>
      <w:sz w:val="24"/>
      <w:szCs w:val="24"/>
    </w:rPr>
  </w:style>
  <w:style w:type="character" w:customStyle="1" w:styleId="91">
    <w:name w:val="正文文本 Char"/>
    <w:basedOn w:val="50"/>
    <w:qFormat/>
    <w:uiPriority w:val="0"/>
    <w:rPr>
      <w:rFonts w:eastAsia="宋体"/>
      <w:sz w:val="24"/>
      <w:szCs w:val="24"/>
      <w:lang w:val="en-US" w:eastAsia="zh-CN" w:bidi="ar-SA"/>
    </w:rPr>
  </w:style>
  <w:style w:type="character" w:customStyle="1" w:styleId="92">
    <w:name w:val="en1"/>
    <w:basedOn w:val="50"/>
    <w:qFormat/>
    <w:uiPriority w:val="0"/>
    <w:rPr>
      <w:b/>
      <w:bCs/>
      <w:color w:val="154C7F"/>
      <w:sz w:val="24"/>
      <w:szCs w:val="24"/>
    </w:rPr>
  </w:style>
  <w:style w:type="character" w:customStyle="1" w:styleId="93">
    <w:name w:val="font01"/>
    <w:basedOn w:val="50"/>
    <w:qFormat/>
    <w:uiPriority w:val="0"/>
    <w:rPr>
      <w:rFonts w:hint="eastAsia" w:ascii="宋体" w:hAnsi="宋体" w:eastAsia="宋体" w:cs="宋体"/>
      <w:color w:val="000000"/>
      <w:sz w:val="20"/>
      <w:szCs w:val="20"/>
      <w:u w:val="none"/>
    </w:rPr>
  </w:style>
  <w:style w:type="character" w:customStyle="1" w:styleId="94">
    <w:name w:val="标题 Char"/>
    <w:basedOn w:val="50"/>
    <w:link w:val="44"/>
    <w:qFormat/>
    <w:uiPriority w:val="0"/>
    <w:rPr>
      <w:rFonts w:ascii="Arial" w:hAnsi="Arial" w:cs="Arial"/>
      <w:b/>
      <w:bCs/>
      <w:sz w:val="44"/>
      <w:szCs w:val="32"/>
    </w:rPr>
  </w:style>
  <w:style w:type="character" w:customStyle="1" w:styleId="95">
    <w:name w:val="正文文本缩进 Char"/>
    <w:basedOn w:val="50"/>
    <w:link w:val="22"/>
    <w:qFormat/>
    <w:uiPriority w:val="0"/>
    <w:rPr>
      <w:i/>
      <w:iCs/>
      <w:kern w:val="2"/>
      <w:sz w:val="21"/>
    </w:rPr>
  </w:style>
  <w:style w:type="character" w:customStyle="1" w:styleId="96">
    <w:name w:val="正文文本 3 Char"/>
    <w:basedOn w:val="50"/>
    <w:link w:val="19"/>
    <w:qFormat/>
    <w:uiPriority w:val="0"/>
    <w:rPr>
      <w:color w:val="0000FF"/>
      <w:kern w:val="2"/>
      <w:sz w:val="24"/>
      <w:szCs w:val="24"/>
    </w:rPr>
  </w:style>
  <w:style w:type="character" w:customStyle="1" w:styleId="97">
    <w:name w:val="font11"/>
    <w:basedOn w:val="50"/>
    <w:qFormat/>
    <w:uiPriority w:val="0"/>
    <w:rPr>
      <w:rFonts w:hint="default" w:ascii="Times New Roman" w:hAnsi="Times New Roman" w:cs="Times New Roman"/>
      <w:color w:val="000000"/>
      <w:sz w:val="20"/>
      <w:szCs w:val="20"/>
      <w:u w:val="none"/>
    </w:rPr>
  </w:style>
  <w:style w:type="character" w:customStyle="1" w:styleId="98">
    <w:name w:val="glossaryitem"/>
    <w:basedOn w:val="50"/>
    <w:qFormat/>
    <w:uiPriority w:val="0"/>
    <w:rPr>
      <w:u w:val="none"/>
    </w:rPr>
  </w:style>
  <w:style w:type="character" w:customStyle="1" w:styleId="99">
    <w:name w:val="HTML 预设格式 Char"/>
    <w:basedOn w:val="50"/>
    <w:link w:val="41"/>
    <w:qFormat/>
    <w:uiPriority w:val="0"/>
    <w:rPr>
      <w:rFonts w:ascii="Arial Unicode MS" w:hAnsi="Arial Unicode MS" w:eastAsia="Courier New" w:cs="Courier New"/>
    </w:rPr>
  </w:style>
  <w:style w:type="character" w:customStyle="1" w:styleId="100">
    <w:name w:val="文档结构图 Char"/>
    <w:basedOn w:val="50"/>
    <w:link w:val="17"/>
    <w:qFormat/>
    <w:uiPriority w:val="0"/>
    <w:rPr>
      <w:rFonts w:ascii="宋体"/>
      <w:sz w:val="28"/>
      <w:shd w:val="clear" w:color="auto" w:fill="000080"/>
    </w:rPr>
  </w:style>
  <w:style w:type="character" w:customStyle="1" w:styleId="101">
    <w:name w:val="日期 Char"/>
    <w:basedOn w:val="50"/>
    <w:link w:val="28"/>
    <w:qFormat/>
    <w:uiPriority w:val="0"/>
    <w:rPr>
      <w:kern w:val="2"/>
      <w:sz w:val="21"/>
      <w:szCs w:val="24"/>
    </w:rPr>
  </w:style>
  <w:style w:type="character" w:customStyle="1" w:styleId="102">
    <w:name w:val="正文文本 2 Char"/>
    <w:basedOn w:val="50"/>
    <w:link w:val="39"/>
    <w:qFormat/>
    <w:uiPriority w:val="0"/>
    <w:rPr>
      <w:kern w:val="2"/>
      <w:sz w:val="21"/>
      <w:szCs w:val="24"/>
    </w:rPr>
  </w:style>
  <w:style w:type="character" w:customStyle="1" w:styleId="103">
    <w:name w:val="正文首行缩进 Char"/>
    <w:basedOn w:val="91"/>
    <w:link w:val="46"/>
    <w:qFormat/>
    <w:uiPriority w:val="0"/>
    <w:rPr>
      <w:rFonts w:eastAsia="宋体"/>
      <w:sz w:val="21"/>
      <w:szCs w:val="21"/>
      <w:lang w:val="en-US" w:eastAsia="zh-CN" w:bidi="ar-SA"/>
    </w:rPr>
  </w:style>
  <w:style w:type="character" w:customStyle="1" w:styleId="104">
    <w:name w:val="批注主题 Char"/>
    <w:basedOn w:val="87"/>
    <w:link w:val="45"/>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0"/>
    <w:link w:val="40"/>
    <w:qFormat/>
    <w:uiPriority w:val="0"/>
    <w:rPr>
      <w:rFonts w:ascii="Arial" w:hAnsi="Arial" w:cs="Arial"/>
      <w:kern w:val="2"/>
      <w:sz w:val="24"/>
      <w:szCs w:val="24"/>
      <w:shd w:val="pct20" w:color="auto" w:fill="auto"/>
    </w:rPr>
  </w:style>
  <w:style w:type="character" w:customStyle="1" w:styleId="109">
    <w:name w:val="正文文本 3 Char1"/>
    <w:basedOn w:val="50"/>
    <w:qFormat/>
    <w:uiPriority w:val="0"/>
    <w:rPr>
      <w:rFonts w:ascii="宋体" w:hAnsi="宋体" w:cs="宋体"/>
      <w:sz w:val="16"/>
      <w:szCs w:val="16"/>
      <w:lang w:eastAsia="en-US"/>
    </w:rPr>
  </w:style>
  <w:style w:type="paragraph" w:customStyle="1" w:styleId="110">
    <w:name w:val="封面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0"/>
    <w:qFormat/>
    <w:uiPriority w:val="0"/>
    <w:rPr>
      <w:rFonts w:ascii="宋体" w:hAnsi="宋体" w:cs="宋体"/>
      <w:sz w:val="22"/>
      <w:szCs w:val="22"/>
      <w:lang w:eastAsia="en-US"/>
    </w:rPr>
  </w:style>
  <w:style w:type="character" w:customStyle="1" w:styleId="113">
    <w:name w:val="批注文字 Char1"/>
    <w:basedOn w:val="50"/>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0"/>
    <w:qFormat/>
    <w:uiPriority w:val="0"/>
    <w:rPr>
      <w:rFonts w:ascii="宋体" w:hAnsi="宋体" w:cs="宋体"/>
      <w:sz w:val="18"/>
      <w:szCs w:val="18"/>
      <w:lang w:eastAsia="en-US"/>
    </w:rPr>
  </w:style>
  <w:style w:type="character" w:customStyle="1" w:styleId="118">
    <w:name w:val="日期 Char1"/>
    <w:basedOn w:val="50"/>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0"/>
    <w:qFormat/>
    <w:uiPriority w:val="0"/>
    <w:rPr>
      <w:rFonts w:ascii="Courier New" w:hAnsi="Courier New" w:cs="Courier New"/>
      <w:lang w:eastAsia="en-US"/>
    </w:rPr>
  </w:style>
  <w:style w:type="character" w:customStyle="1" w:styleId="123">
    <w:name w:val="正文文本缩进 Char1"/>
    <w:basedOn w:val="50"/>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0"/>
    <w:qFormat/>
    <w:uiPriority w:val="0"/>
    <w:rPr>
      <w:rFonts w:ascii="宋体" w:hAnsi="宋体" w:cs="宋体"/>
      <w:sz w:val="22"/>
      <w:szCs w:val="22"/>
      <w:lang w:eastAsia="en-US"/>
    </w:rPr>
  </w:style>
  <w:style w:type="character" w:customStyle="1" w:styleId="131">
    <w:name w:val="标题 Char1"/>
    <w:basedOn w:val="50"/>
    <w:qFormat/>
    <w:uiPriority w:val="0"/>
    <w:rPr>
      <w:rFonts w:asciiTheme="majorHAnsi" w:hAnsiTheme="majorHAnsi" w:cstheme="majorBidi"/>
      <w:b/>
      <w:bCs/>
      <w:sz w:val="32"/>
      <w:szCs w:val="32"/>
      <w:lang w:eastAsia="en-US"/>
    </w:rPr>
  </w:style>
  <w:style w:type="character" w:customStyle="1" w:styleId="132">
    <w:name w:val="正文文本缩进 3 Char1"/>
    <w:basedOn w:val="50"/>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0"/>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1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0"/>
    <w:qFormat/>
    <w:uiPriority w:val="0"/>
  </w:style>
  <w:style w:type="character" w:customStyle="1" w:styleId="209">
    <w:name w:val="xdrichtextbox3"/>
    <w:basedOn w:val="50"/>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4"/>
    <w:qFormat/>
    <w:uiPriority w:val="0"/>
    <w:rPr>
      <w:rFonts w:ascii="Cambria" w:hAnsi="Cambria"/>
      <w:b/>
      <w:bCs/>
      <w:kern w:val="28"/>
      <w:sz w:val="24"/>
      <w:szCs w:val="32"/>
    </w:rPr>
  </w:style>
  <w:style w:type="character" w:customStyle="1" w:styleId="213">
    <w:name w:val="副标题 Char1"/>
    <w:basedOn w:val="50"/>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character" w:customStyle="1" w:styleId="220">
    <w:name w:val="first-child"/>
    <w:basedOn w:val="50"/>
    <w:qFormat/>
    <w:uiPriority w:val="0"/>
  </w:style>
  <w:style w:type="character" w:customStyle="1" w:styleId="221">
    <w:name w:val="xdrichtextbox"/>
    <w:basedOn w:val="50"/>
    <w:qFormat/>
    <w:uiPriority w:val="0"/>
    <w:rPr>
      <w:color w:val="auto"/>
      <w:u w:val="none"/>
      <w:bdr w:val="single" w:color="DCDCDC" w:sz="8" w:space="0"/>
      <w:shd w:val="clear" w:color="auto" w:fill="auto"/>
    </w:rPr>
  </w:style>
  <w:style w:type="character" w:customStyle="1" w:styleId="222">
    <w:name w:val="ico1653"/>
    <w:basedOn w:val="50"/>
    <w:uiPriority w:val="0"/>
  </w:style>
  <w:style w:type="character" w:customStyle="1" w:styleId="223">
    <w:name w:val="cdropleft"/>
    <w:basedOn w:val="50"/>
    <w:uiPriority w:val="0"/>
  </w:style>
  <w:style w:type="character" w:customStyle="1" w:styleId="224">
    <w:name w:val="hover41"/>
    <w:basedOn w:val="50"/>
    <w:uiPriority w:val="0"/>
    <w:rPr>
      <w:color w:val="FFFFFF"/>
    </w:rPr>
  </w:style>
  <w:style w:type="character" w:customStyle="1" w:styleId="225">
    <w:name w:val="w32"/>
    <w:basedOn w:val="50"/>
    <w:uiPriority w:val="0"/>
  </w:style>
  <w:style w:type="character" w:customStyle="1" w:styleId="226">
    <w:name w:val="pagechatarealistclose_box"/>
    <w:basedOn w:val="50"/>
    <w:uiPriority w:val="0"/>
  </w:style>
  <w:style w:type="character" w:customStyle="1" w:styleId="227">
    <w:name w:val="pagechatarealistclose_box1"/>
    <w:basedOn w:val="50"/>
    <w:uiPriority w:val="0"/>
  </w:style>
  <w:style w:type="character" w:customStyle="1" w:styleId="228">
    <w:name w:val="cdropright"/>
    <w:basedOn w:val="50"/>
    <w:uiPriority w:val="0"/>
  </w:style>
  <w:style w:type="character" w:customStyle="1" w:styleId="229">
    <w:name w:val="drapbtn"/>
    <w:basedOn w:val="50"/>
    <w:uiPriority w:val="0"/>
  </w:style>
  <w:style w:type="character" w:customStyle="1" w:styleId="230">
    <w:name w:val="active5"/>
    <w:basedOn w:val="50"/>
    <w:uiPriority w:val="0"/>
    <w:rPr>
      <w:shd w:val="clear" w:color="auto" w:fill="EC3535"/>
    </w:rPr>
  </w:style>
  <w:style w:type="character" w:customStyle="1" w:styleId="231">
    <w:name w:val="active6"/>
    <w:basedOn w:val="50"/>
    <w:uiPriority w:val="0"/>
    <w:rPr>
      <w:color w:val="00FF00"/>
      <w:shd w:val="clear" w:color="auto" w:fill="111111"/>
    </w:rPr>
  </w:style>
  <w:style w:type="character" w:customStyle="1" w:styleId="232">
    <w:name w:val="tmpztreemove_arrow"/>
    <w:basedOn w:val="50"/>
    <w:uiPriority w:val="0"/>
  </w:style>
  <w:style w:type="character" w:customStyle="1" w:styleId="233">
    <w:name w:val="layui-layer-tabnow"/>
    <w:basedOn w:val="50"/>
    <w:uiPriority w:val="0"/>
    <w:rPr>
      <w:bdr w:val="single" w:color="CCCCCC" w:sz="6" w:space="0"/>
      <w:shd w:val="clear" w:color="auto" w:fill="FFFFFF"/>
    </w:rPr>
  </w:style>
  <w:style w:type="character" w:customStyle="1" w:styleId="234">
    <w:name w:val="cy"/>
    <w:basedOn w:val="50"/>
    <w:uiPriority w:val="0"/>
  </w:style>
  <w:style w:type="character" w:customStyle="1" w:styleId="235">
    <w:name w:val="iconline2"/>
    <w:basedOn w:val="50"/>
    <w:uiPriority w:val="0"/>
  </w:style>
  <w:style w:type="character" w:customStyle="1" w:styleId="236">
    <w:name w:val="button"/>
    <w:basedOn w:val="50"/>
    <w:uiPriority w:val="0"/>
  </w:style>
  <w:style w:type="character" w:customStyle="1" w:styleId="237">
    <w:name w:val="edit_class"/>
    <w:basedOn w:val="50"/>
    <w:uiPriority w:val="0"/>
  </w:style>
  <w:style w:type="character" w:customStyle="1" w:styleId="238">
    <w:name w:val="design_class"/>
    <w:basedOn w:val="50"/>
    <w:uiPriority w:val="0"/>
  </w:style>
  <w:style w:type="character" w:customStyle="1" w:styleId="239">
    <w:name w:val="after"/>
    <w:basedOn w:val="50"/>
    <w:uiPriority w:val="0"/>
    <w:rPr>
      <w:sz w:val="0"/>
      <w:szCs w:val="0"/>
    </w:rPr>
  </w:style>
  <w:style w:type="character" w:customStyle="1" w:styleId="240">
    <w:name w:val="icontext1"/>
    <w:basedOn w:val="50"/>
    <w:uiPriority w:val="0"/>
  </w:style>
  <w:style w:type="character" w:customStyle="1" w:styleId="241">
    <w:name w:val="icontext11"/>
    <w:basedOn w:val="50"/>
    <w:uiPriority w:val="0"/>
  </w:style>
  <w:style w:type="character" w:customStyle="1" w:styleId="242">
    <w:name w:val="icontext12"/>
    <w:basedOn w:val="50"/>
    <w:uiPriority w:val="0"/>
  </w:style>
  <w:style w:type="character" w:customStyle="1" w:styleId="243">
    <w:name w:val="associateddata"/>
    <w:basedOn w:val="50"/>
    <w:uiPriority w:val="0"/>
    <w:rPr>
      <w:shd w:val="clear" w:color="auto" w:fill="50A6F9"/>
    </w:rPr>
  </w:style>
  <w:style w:type="character" w:customStyle="1" w:styleId="244">
    <w:name w:val="icontext2"/>
    <w:basedOn w:val="50"/>
    <w:uiPriority w:val="0"/>
  </w:style>
  <w:style w:type="character" w:customStyle="1" w:styleId="245">
    <w:name w:val="icontext3"/>
    <w:basedOn w:val="50"/>
    <w:uiPriority w:val="0"/>
  </w:style>
  <w:style w:type="character" w:customStyle="1" w:styleId="246">
    <w:name w:val="biggerthanmax"/>
    <w:basedOn w:val="50"/>
    <w:qFormat/>
    <w:uiPriority w:val="0"/>
    <w:rPr>
      <w:shd w:val="clear" w:color="auto" w:fill="FFFF00"/>
    </w:rPr>
  </w:style>
  <w:style w:type="character" w:customStyle="1" w:styleId="247">
    <w:name w:val="hilite"/>
    <w:basedOn w:val="50"/>
    <w:qFormat/>
    <w:uiPriority w:val="0"/>
    <w:rPr>
      <w:color w:val="FFFFFF"/>
      <w:shd w:val="clear" w:color="auto" w:fill="666666"/>
    </w:rPr>
  </w:style>
  <w:style w:type="character" w:customStyle="1" w:styleId="248">
    <w:name w:val="choosename"/>
    <w:basedOn w:val="50"/>
    <w:uiPriority w:val="0"/>
  </w:style>
  <w:style w:type="character" w:customStyle="1" w:styleId="249">
    <w:name w:val="iconline21"/>
    <w:basedOn w:val="50"/>
    <w:qFormat/>
    <w:uiPriority w:val="0"/>
  </w:style>
  <w:style w:type="character" w:customStyle="1" w:styleId="250">
    <w:name w:val="active1"/>
    <w:basedOn w:val="50"/>
    <w:uiPriority w:val="0"/>
    <w:rPr>
      <w:shd w:val="clear" w:color="auto" w:fill="EC3535"/>
    </w:rPr>
  </w:style>
  <w:style w:type="character" w:customStyle="1" w:styleId="251">
    <w:name w:val="ico1654"/>
    <w:basedOn w:val="50"/>
    <w:uiPriority w:val="0"/>
  </w:style>
  <w:style w:type="character" w:customStyle="1" w:styleId="252">
    <w:name w:val="ico1655"/>
    <w:basedOn w:val="50"/>
    <w:uiPriority w:val="0"/>
  </w:style>
  <w:style w:type="character" w:customStyle="1" w:styleId="253">
    <w:name w:val="hilite6"/>
    <w:basedOn w:val="50"/>
    <w:qFormat/>
    <w:uiPriority w:val="0"/>
    <w:rPr>
      <w:color w:val="FFFFFF"/>
      <w:shd w:val="clear" w:color="auto" w:fill="666666"/>
    </w:rPr>
  </w:style>
  <w:style w:type="character" w:customStyle="1" w:styleId="254">
    <w:name w:val="active"/>
    <w:basedOn w:val="50"/>
    <w:uiPriority w:val="0"/>
    <w:rPr>
      <w:shd w:val="clear" w:color="auto" w:fill="EC3535"/>
    </w:rPr>
  </w:style>
  <w:style w:type="character" w:customStyle="1" w:styleId="255">
    <w:name w:val="hover4"/>
    <w:basedOn w:val="50"/>
    <w:uiPriority w:val="0"/>
    <w:rPr>
      <w:color w:val="FFFFFF"/>
    </w:rPr>
  </w:style>
  <w:style w:type="character" w:customStyle="1" w:styleId="256">
    <w:name w:val="xdrichtextbox4"/>
    <w:basedOn w:val="50"/>
    <w:uiPriority w:val="0"/>
  </w:style>
  <w:style w:type="paragraph" w:customStyle="1" w:styleId="257">
    <w:name w:val="正文_0"/>
    <w:next w:val="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common_over_page_btn"/>
    <w:basedOn w:val="50"/>
    <w:uiPriority w:val="0"/>
    <w:rPr>
      <w:color w:val="999999"/>
      <w:bdr w:val="single" w:color="D4D4D4" w:sz="6" w:space="0"/>
      <w:shd w:val="clear" w:fill="FFFFFF"/>
    </w:rPr>
  </w:style>
  <w:style w:type="character" w:customStyle="1" w:styleId="259">
    <w:name w:val="common_over_page_btn1"/>
    <w:basedOn w:val="50"/>
    <w:uiPriority w:val="0"/>
  </w:style>
  <w:style w:type="character" w:customStyle="1" w:styleId="260">
    <w:name w:val="common_over_page_btn2"/>
    <w:basedOn w:val="50"/>
    <w:uiPriority w:val="0"/>
    <w:rPr>
      <w:color w:val="999999"/>
      <w:bdr w:val="single" w:color="D4D4D4" w:sz="6" w:space="0"/>
      <w:shd w:val="clear" w:fill="FFFFFF"/>
    </w:rPr>
  </w:style>
  <w:style w:type="paragraph" w:customStyle="1" w:styleId="261">
    <w:name w:val="TOC Heading"/>
    <w:basedOn w:val="3"/>
    <w:next w:val="1"/>
    <w:unhideWhenUsed/>
    <w:qFormat/>
    <w:uiPriority w:val="39"/>
    <w:pPr>
      <w:widowControl/>
      <w:spacing w:before="240" w:after="0" w:line="259" w:lineRule="auto"/>
      <w:ind w:left="0" w:right="0"/>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236-FF4B-4FDB-BF64-B4D65201C7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20884</Words>
  <Characters>22098</Characters>
  <Lines>129</Lines>
  <Paragraphs>36</Paragraphs>
  <TotalTime>17</TotalTime>
  <ScaleCrop>false</ScaleCrop>
  <LinksUpToDate>false</LinksUpToDate>
  <CharactersWithSpaces>23326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2022-10-09T02:54:47Z</dcterms:modified>
  <dc:title>公开招标文件（货物服务类）</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7EFD1898B78A4345BC21372367C648C1</vt:lpwstr>
  </property>
</Properties>
</file>