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44"/>
          <w:szCs w:val="44"/>
          <w:lang w:val="en-US" w:eastAsia="zh-CN"/>
        </w:rPr>
      </w:pPr>
      <w:r>
        <w:rPr>
          <w:rFonts w:hint="eastAsia" w:ascii="微软雅黑" w:eastAsia="微软雅黑"/>
          <w:b/>
          <w:sz w:val="44"/>
          <w:szCs w:val="44"/>
          <w:u w:val="single"/>
          <w:lang w:val="en-US" w:eastAsia="zh-CN"/>
        </w:rPr>
        <w:t>PE篷布及彩条布</w:t>
      </w:r>
      <w:r>
        <w:rPr>
          <w:rFonts w:hint="eastAsia" w:ascii="微软雅黑" w:eastAsia="微软雅黑"/>
          <w:b/>
          <w:sz w:val="44"/>
          <w:szCs w:val="44"/>
          <w:lang w:val="en-US"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30"/>
          <w:szCs w:val="30"/>
        </w:rPr>
      </w:pPr>
      <w:r>
        <w:rPr>
          <w:rFonts w:hint="eastAsia"/>
          <w:sz w:val="30"/>
          <w:szCs w:val="30"/>
        </w:rPr>
        <w:t>（文件编号：FHC-PTCG2022</w:t>
      </w:r>
      <w:r>
        <w:rPr>
          <w:rFonts w:hint="eastAsia"/>
          <w:sz w:val="30"/>
          <w:szCs w:val="30"/>
          <w:lang w:val="en-US" w:eastAsia="zh-CN"/>
        </w:rPr>
        <w:t>1013001</w:t>
      </w:r>
      <w:r>
        <w:rPr>
          <w:rFonts w:hint="eastAsia"/>
          <w:sz w:val="30"/>
          <w:szCs w:val="30"/>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十</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7"/>
        <w:numPr>
          <w:ilvl w:val="0"/>
          <w:numId w:val="1"/>
        </w:numPr>
        <w:tabs>
          <w:tab w:val="left" w:pos="1272"/>
        </w:tabs>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pacing w:val="-1"/>
          <w:w w:val="95"/>
          <w:sz w:val="24"/>
          <w:szCs w:val="24"/>
          <w:lang w:eastAsia="zh-CN"/>
        </w:rPr>
        <w:t>比选公</w:t>
      </w:r>
      <w:r>
        <w:rPr>
          <w:rFonts w:hint="default" w:ascii="Times New Roman" w:hAnsi="Times New Roman" w:eastAsia="宋体" w:cs="Times New Roman"/>
          <w:b/>
          <w:w w:val="95"/>
          <w:sz w:val="24"/>
          <w:szCs w:val="24"/>
          <w:lang w:eastAsia="zh-CN"/>
        </w:rPr>
        <w:t>告</w:t>
      </w:r>
    </w:p>
    <w:p>
      <w:pPr>
        <w:pStyle w:val="10"/>
        <w:spacing w:line="360" w:lineRule="auto"/>
        <w:ind w:left="118" w:right="121" w:firstLine="51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福建福海创石油化工有限公司拟对本公司</w:t>
      </w:r>
      <w:r>
        <w:rPr>
          <w:rFonts w:hint="eastAsia" w:ascii="Times New Roman" w:hAnsi="Times New Roman" w:cs="Times New Roman"/>
          <w:sz w:val="24"/>
          <w:szCs w:val="24"/>
          <w:u w:val="single"/>
          <w:lang w:val="en-US" w:eastAsia="zh-CN"/>
        </w:rPr>
        <w:t>PE篷布及彩条布</w:t>
      </w:r>
      <w:r>
        <w:rPr>
          <w:rFonts w:hint="default" w:ascii="Times New Roman" w:hAnsi="Times New Roman" w:eastAsia="宋体" w:cs="Times New Roman"/>
          <w:sz w:val="24"/>
          <w:szCs w:val="24"/>
          <w:u w:val="single"/>
          <w:lang w:eastAsia="zh-CN"/>
        </w:rPr>
        <w:t>采购项目（项目编号：FHC-PTCG2022</w:t>
      </w:r>
      <w:r>
        <w:rPr>
          <w:rFonts w:hint="eastAsia" w:ascii="Times New Roman" w:hAnsi="Times New Roman" w:cs="Times New Roman"/>
          <w:sz w:val="24"/>
          <w:szCs w:val="24"/>
          <w:u w:val="single"/>
          <w:lang w:val="en-US" w:eastAsia="zh-CN"/>
        </w:rPr>
        <w:t>1013001</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lang w:eastAsia="zh-CN"/>
        </w:rPr>
        <w:t>进行国内公开比选。为了“公开、公平、公正、透明”，引导参选人进行正确参选，特制定本规定文件，欢迎国内符合条件的供应商积极参选。</w:t>
      </w:r>
    </w:p>
    <w:p>
      <w:pPr>
        <w:autoSpaceDE/>
        <w:autoSpaceDN/>
        <w:spacing w:line="360" w:lineRule="auto"/>
        <w:ind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b/>
          <w:bCs/>
          <w:sz w:val="24"/>
          <w:szCs w:val="24"/>
          <w:lang w:eastAsia="zh-CN"/>
        </w:rPr>
        <w:t>项目概况</w:t>
      </w:r>
    </w:p>
    <w:p>
      <w:pPr>
        <w:autoSpaceDE/>
        <w:autoSpaceDN/>
        <w:spacing w:line="360" w:lineRule="auto"/>
        <w:ind w:firstLine="480" w:firstLineChars="200"/>
        <w:jc w:val="both"/>
        <w:rPr>
          <w:rFonts w:hint="default" w:ascii="Times New Roman" w:hAnsi="Times New Roman" w:eastAsia="宋体" w:cs="Times New Roman"/>
          <w:bCs/>
          <w:sz w:val="24"/>
          <w:szCs w:val="24"/>
          <w:u w:val="single"/>
          <w:lang w:eastAsia="zh-CN"/>
        </w:rPr>
      </w:pPr>
      <w:r>
        <w:rPr>
          <w:rFonts w:hint="default" w:ascii="Times New Roman" w:hAnsi="Times New Roman" w:eastAsia="宋体" w:cs="Times New Roman"/>
          <w:bCs/>
          <w:sz w:val="24"/>
          <w:szCs w:val="24"/>
          <w:lang w:eastAsia="zh-CN"/>
        </w:rPr>
        <w:t>1. 项目名称：</w:t>
      </w:r>
      <w:r>
        <w:rPr>
          <w:rFonts w:hint="default" w:ascii="Times New Roman" w:hAnsi="Times New Roman" w:eastAsia="宋体" w:cs="Times New Roman"/>
          <w:bCs/>
          <w:sz w:val="24"/>
          <w:szCs w:val="24"/>
          <w:u w:val="single"/>
          <w:lang w:eastAsia="zh-CN"/>
        </w:rPr>
        <w:t xml:space="preserve"> </w:t>
      </w:r>
      <w:r>
        <w:rPr>
          <w:rFonts w:hint="eastAsia" w:ascii="Times New Roman" w:hAnsi="Times New Roman" w:cs="Times New Roman"/>
          <w:sz w:val="24"/>
          <w:szCs w:val="24"/>
          <w:u w:val="single"/>
          <w:lang w:val="en-US" w:eastAsia="zh-CN"/>
        </w:rPr>
        <w:t>PE篷布及彩条布</w:t>
      </w:r>
      <w:r>
        <w:rPr>
          <w:rFonts w:hint="default" w:ascii="Times New Roman" w:hAnsi="Times New Roman" w:eastAsia="宋体" w:cs="Times New Roman"/>
          <w:bCs/>
          <w:sz w:val="24"/>
          <w:szCs w:val="24"/>
          <w:u w:val="single"/>
          <w:lang w:eastAsia="zh-CN"/>
        </w:rPr>
        <w:t xml:space="preserve">采购 </w:t>
      </w:r>
    </w:p>
    <w:p>
      <w:pPr>
        <w:pStyle w:val="4"/>
        <w:spacing w:line="360" w:lineRule="auto"/>
        <w:ind w:left="0" w:firstLine="480" w:firstLineChars="200"/>
        <w:rPr>
          <w:rFonts w:hint="eastAsia" w:ascii="Times New Roman" w:hAnsi="Times New Roman" w:cs="Times New Roman"/>
          <w:b w:val="0"/>
          <w:bCs/>
          <w:sz w:val="24"/>
          <w:szCs w:val="24"/>
          <w:lang w:eastAsia="zh-CN"/>
        </w:rPr>
      </w:pPr>
      <w:r>
        <w:rPr>
          <w:rFonts w:hint="default" w:ascii="Times New Roman" w:hAnsi="Times New Roman" w:eastAsia="宋体" w:cs="Times New Roman"/>
          <w:b w:val="0"/>
          <w:sz w:val="24"/>
          <w:szCs w:val="24"/>
          <w:lang w:eastAsia="zh-CN"/>
        </w:rPr>
        <w:t xml:space="preserve">2. </w:t>
      </w:r>
      <w:r>
        <w:rPr>
          <w:rFonts w:hint="eastAsia" w:ascii="Times New Roman" w:hAnsi="Times New Roman" w:cs="Times New Roman"/>
          <w:b w:val="0"/>
          <w:sz w:val="24"/>
          <w:szCs w:val="24"/>
          <w:lang w:val="en-US" w:eastAsia="zh-CN"/>
        </w:rPr>
        <w:t>项目要求：</w:t>
      </w:r>
      <w:r>
        <w:rPr>
          <w:rFonts w:hint="eastAsia" w:ascii="Times New Roman" w:hAnsi="Times New Roman" w:eastAsia="宋体" w:cs="Times New Roman"/>
          <w:b w:val="0"/>
          <w:bCs/>
          <w:sz w:val="24"/>
          <w:szCs w:val="24"/>
          <w:lang w:eastAsia="zh-CN"/>
        </w:rPr>
        <w:t>彩条布</w:t>
      </w: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30张）</w:t>
      </w:r>
      <w:r>
        <w:rPr>
          <w:rFonts w:hint="eastAsia" w:ascii="Times New Roman" w:hAnsi="Times New Roman" w:eastAsia="宋体" w:cs="Times New Roman"/>
          <w:b w:val="0"/>
          <w:bCs/>
          <w:sz w:val="24"/>
          <w:szCs w:val="24"/>
          <w:lang w:eastAsia="zh-CN"/>
        </w:rPr>
        <w:t>：25米*20米，每平方</w:t>
      </w:r>
      <w:r>
        <w:rPr>
          <w:rFonts w:hint="eastAsia" w:ascii="Times New Roman" w:hAnsi="Times New Roman" w:cs="Times New Roman"/>
          <w:b w:val="0"/>
          <w:bCs/>
          <w:sz w:val="24"/>
          <w:szCs w:val="24"/>
          <w:lang w:val="en-US" w:eastAsia="zh-CN"/>
        </w:rPr>
        <w:t>米</w:t>
      </w:r>
      <w:r>
        <w:rPr>
          <w:rFonts w:hint="eastAsia" w:ascii="Times New Roman" w:hAnsi="Times New Roman" w:eastAsia="宋体" w:cs="Times New Roman"/>
          <w:b w:val="0"/>
          <w:bCs/>
          <w:sz w:val="24"/>
          <w:szCs w:val="24"/>
          <w:lang w:eastAsia="zh-CN"/>
        </w:rPr>
        <w:t>不低于100g</w:t>
      </w:r>
      <w:r>
        <w:rPr>
          <w:rFonts w:hint="eastAsia" w:ascii="Times New Roman" w:hAnsi="Times New Roman" w:cs="Times New Roman"/>
          <w:b w:val="0"/>
          <w:bCs/>
          <w:sz w:val="24"/>
          <w:szCs w:val="24"/>
          <w:lang w:eastAsia="zh-CN"/>
        </w:rPr>
        <w:t>；</w:t>
      </w:r>
    </w:p>
    <w:p>
      <w:pPr>
        <w:pStyle w:val="4"/>
        <w:spacing w:line="360" w:lineRule="auto"/>
        <w:ind w:left="0" w:firstLine="1920" w:firstLineChars="800"/>
        <w:rPr>
          <w:rFonts w:hint="eastAsia" w:ascii="Times New Roman" w:hAnsi="Times New Roman" w:eastAsia="宋体" w:cs="Times New Roman"/>
          <w:b w:val="0"/>
          <w:bCs/>
          <w:sz w:val="24"/>
          <w:szCs w:val="24"/>
          <w:lang w:eastAsia="zh-CN"/>
        </w:rPr>
      </w:pPr>
      <w:r>
        <w:rPr>
          <w:rFonts w:hint="eastAsia" w:ascii="Times New Roman" w:hAnsi="Times New Roman" w:eastAsia="宋体" w:cs="Times New Roman"/>
          <w:b w:val="0"/>
          <w:bCs/>
          <w:sz w:val="24"/>
          <w:szCs w:val="24"/>
          <w:lang w:eastAsia="zh-CN"/>
        </w:rPr>
        <w:t>PE篷布</w:t>
      </w: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50张）</w:t>
      </w:r>
      <w:r>
        <w:rPr>
          <w:rFonts w:hint="eastAsia" w:ascii="Times New Roman" w:hAnsi="Times New Roman" w:eastAsia="宋体" w:cs="Times New Roman"/>
          <w:b w:val="0"/>
          <w:bCs/>
          <w:sz w:val="24"/>
          <w:szCs w:val="24"/>
          <w:lang w:eastAsia="zh-CN"/>
        </w:rPr>
        <w:t>：28米*20米，每平方米不低于180g</w:t>
      </w:r>
    </w:p>
    <w:p>
      <w:pPr>
        <w:pStyle w:val="4"/>
        <w:spacing w:line="360" w:lineRule="auto"/>
        <w:ind w:left="0" w:firstLine="480" w:firstLineChars="200"/>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val="en-US" w:eastAsia="zh-CN"/>
        </w:rPr>
        <w:t>3</w:t>
      </w:r>
      <w:r>
        <w:rPr>
          <w:rFonts w:hint="default" w:ascii="Times New Roman" w:hAnsi="Times New Roman" w:eastAsia="宋体" w:cs="Times New Roman"/>
          <w:b w:val="0"/>
          <w:bCs/>
          <w:sz w:val="24"/>
          <w:szCs w:val="24"/>
          <w:lang w:eastAsia="zh-CN"/>
        </w:rPr>
        <w:t>. 项目控制价格：</w:t>
      </w:r>
      <w:r>
        <w:rPr>
          <w:rFonts w:hint="eastAsia" w:ascii="Times New Roman" w:hAnsi="Times New Roman" w:cs="Times New Roman"/>
          <w:b w:val="0"/>
          <w:bCs/>
          <w:sz w:val="24"/>
          <w:szCs w:val="24"/>
          <w:lang w:val="en-US" w:eastAsia="zh-CN"/>
        </w:rPr>
        <w:t>156,</w:t>
      </w:r>
      <w:r>
        <w:rPr>
          <w:rFonts w:hint="default" w:ascii="Times New Roman" w:hAnsi="Times New Roman" w:eastAsia="宋体" w:cs="Times New Roman"/>
          <w:b w:val="0"/>
          <w:bCs/>
          <w:sz w:val="24"/>
          <w:szCs w:val="24"/>
        </w:rPr>
        <w:t>000</w:t>
      </w:r>
      <w:r>
        <w:rPr>
          <w:rFonts w:hint="eastAsia" w:ascii="Times New Roman" w:hAnsi="Times New Roman" w:cs="Times New Roman"/>
          <w:b w:val="0"/>
          <w:bCs/>
          <w:sz w:val="24"/>
          <w:szCs w:val="24"/>
          <w:lang w:val="en-US" w:eastAsia="zh-CN"/>
        </w:rPr>
        <w:t>.00</w:t>
      </w:r>
      <w:r>
        <w:rPr>
          <w:rFonts w:hint="default" w:ascii="Times New Roman" w:hAnsi="Times New Roman" w:eastAsia="宋体" w:cs="Times New Roman"/>
          <w:b w:val="0"/>
          <w:bCs/>
          <w:sz w:val="24"/>
          <w:szCs w:val="24"/>
          <w:lang w:eastAsia="zh-CN"/>
        </w:rPr>
        <w:t>元（</w:t>
      </w:r>
      <w:r>
        <w:rPr>
          <w:rFonts w:hint="eastAsia" w:ascii="Times New Roman" w:hAnsi="Times New Roman" w:cs="Times New Roman"/>
          <w:b w:val="0"/>
          <w:bCs/>
          <w:sz w:val="24"/>
          <w:szCs w:val="24"/>
          <w:lang w:val="en-US" w:eastAsia="zh-CN"/>
        </w:rPr>
        <w:t>含</w:t>
      </w:r>
      <w:r>
        <w:rPr>
          <w:rFonts w:hint="default" w:ascii="Times New Roman" w:hAnsi="Times New Roman" w:eastAsia="宋体" w:cs="Times New Roman"/>
          <w:b w:val="0"/>
          <w:bCs/>
          <w:sz w:val="24"/>
          <w:szCs w:val="24"/>
          <w:lang w:eastAsia="zh-CN"/>
        </w:rPr>
        <w:t>税价</w:t>
      </w:r>
      <w:r>
        <w:rPr>
          <w:rFonts w:hint="eastAsia" w:ascii="Times New Roman" w:hAnsi="Times New Roman" w:cs="Times New Roman"/>
          <w:b w:val="0"/>
          <w:bCs/>
          <w:sz w:val="24"/>
          <w:szCs w:val="24"/>
          <w:lang w:eastAsia="zh-CN"/>
        </w:rPr>
        <w:t>）</w:t>
      </w:r>
    </w:p>
    <w:p>
      <w:pPr>
        <w:pStyle w:val="4"/>
        <w:spacing w:line="360" w:lineRule="auto"/>
        <w:ind w:left="0" w:firstLine="472"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二、参选人资格要求：</w:t>
      </w:r>
    </w:p>
    <w:p>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参选人必须具备有效的企业法人营业执照，具有在中华人民共和国注册的法人资格。</w:t>
      </w:r>
    </w:p>
    <w:p>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eastAsia="zh-CN"/>
        </w:rPr>
        <w:t>参选人</w:t>
      </w:r>
      <w:r>
        <w:rPr>
          <w:rFonts w:hint="eastAsia" w:ascii="Times New Roman" w:hAnsi="Times New Roman" w:eastAsia="宋体" w:cs="Times New Roman"/>
          <w:sz w:val="24"/>
          <w:szCs w:val="24"/>
          <w:lang w:val="en-US" w:eastAsia="zh-CN" w:bidi="ar-SA"/>
        </w:rPr>
        <w:t>需具有独立法人资格和履行合同能力，有良好的信誉和售后服务能力。</w:t>
      </w:r>
    </w:p>
    <w:p>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参选人没有失信黑名单记录（以最高院失信被执行人系统发布信息为准）。</w:t>
      </w:r>
    </w:p>
    <w:p>
      <w:pPr>
        <w:pStyle w:val="37"/>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参选人</w:t>
      </w:r>
      <w:bookmarkStart w:id="10" w:name="_GoBack"/>
      <w:bookmarkEnd w:id="10"/>
      <w:r>
        <w:rPr>
          <w:rFonts w:hint="default" w:ascii="Times New Roman" w:hAnsi="Times New Roman" w:eastAsia="宋体" w:cs="Times New Roman"/>
          <w:sz w:val="24"/>
          <w:szCs w:val="24"/>
          <w:lang w:eastAsia="zh-CN"/>
        </w:rPr>
        <w:t>与比选人无诉讼纠纷。</w:t>
      </w:r>
    </w:p>
    <w:p>
      <w:pPr>
        <w:pStyle w:val="2"/>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 本项目不接受联合体投标。</w:t>
      </w:r>
    </w:p>
    <w:p>
      <w:pPr>
        <w:pStyle w:val="37"/>
        <w:autoSpaceDE/>
        <w:autoSpaceDN/>
        <w:spacing w:before="0" w:line="360" w:lineRule="auto"/>
        <w:ind w:left="0" w:firstLine="354" w:firstLineChars="147"/>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三、报名要求</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报名时间：</w:t>
      </w:r>
      <w:r>
        <w:rPr>
          <w:rFonts w:hint="default" w:ascii="Times New Roman" w:hAnsi="Times New Roman" w:eastAsia="宋体" w:cs="Times New Roman"/>
          <w:sz w:val="24"/>
          <w:szCs w:val="24"/>
          <w:lang w:eastAsia="zh-CN"/>
        </w:rPr>
        <w:t>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年</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eastAsia="zh-CN"/>
        </w:rPr>
        <w:t>月</w:t>
      </w:r>
      <w:r>
        <w:rPr>
          <w:rFonts w:hint="eastAsia" w:ascii="Times New Roman" w:hAnsi="Times New Roman" w:cs="Times New Roman"/>
          <w:sz w:val="24"/>
          <w:szCs w:val="24"/>
          <w:lang w:val="en-US" w:eastAsia="zh-CN"/>
        </w:rPr>
        <w:t>21</w:t>
      </w:r>
      <w:r>
        <w:rPr>
          <w:rFonts w:hint="default" w:ascii="Times New Roman" w:hAnsi="Times New Roman" w:eastAsia="宋体" w:cs="Times New Roman"/>
          <w:sz w:val="24"/>
          <w:szCs w:val="24"/>
          <w:lang w:eastAsia="zh-CN"/>
        </w:rPr>
        <w:t>日至</w:t>
      </w:r>
      <w:r>
        <w:rPr>
          <w:rFonts w:hint="eastAsia" w:ascii="Times New Roman" w:hAnsi="Times New Roman" w:cs="Times New Roman"/>
          <w:sz w:val="24"/>
          <w:szCs w:val="24"/>
          <w:lang w:val="en-US" w:eastAsia="zh-CN"/>
        </w:rPr>
        <w:t>30</w:t>
      </w:r>
      <w:r>
        <w:rPr>
          <w:rFonts w:hint="default" w:ascii="Times New Roman" w:hAnsi="Times New Roman" w:eastAsia="宋体" w:cs="Times New Roman"/>
          <w:sz w:val="24"/>
          <w:szCs w:val="24"/>
          <w:lang w:eastAsia="zh-CN"/>
        </w:rPr>
        <w:t>日（共</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eastAsia="zh-CN"/>
        </w:rPr>
        <w:t>天）</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 报名方式：邮件报名（须同时提交盖公章的法定代表人授权书及营业执照扫描件），邮件发至：</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"mailto:hzji@fhcpec.com.cn" </w:instrText>
      </w:r>
      <w:r>
        <w:rPr>
          <w:rFonts w:hint="default" w:ascii="Times New Roman" w:hAnsi="Times New Roman" w:eastAsia="宋体" w:cs="Times New Roman"/>
          <w:sz w:val="24"/>
          <w:szCs w:val="24"/>
        </w:rPr>
        <w:fldChar w:fldCharType="separate"/>
      </w:r>
      <w:r>
        <w:rPr>
          <w:rStyle w:val="31"/>
          <w:rFonts w:hint="default" w:ascii="Times New Roman" w:hAnsi="Times New Roman" w:eastAsia="宋体" w:cs="Times New Roman"/>
          <w:sz w:val="24"/>
          <w:szCs w:val="24"/>
          <w:lang w:val="en-US" w:eastAsia="zh-CN"/>
        </w:rPr>
        <w:t>huangmq</w:t>
      </w:r>
      <w:r>
        <w:rPr>
          <w:rStyle w:val="31"/>
          <w:rFonts w:hint="default" w:ascii="Times New Roman" w:hAnsi="Times New Roman" w:eastAsia="宋体" w:cs="Times New Roman"/>
          <w:sz w:val="24"/>
          <w:szCs w:val="24"/>
          <w:lang w:eastAsia="zh-CN"/>
        </w:rPr>
        <w:t>@f</w:t>
      </w:r>
      <w:r>
        <w:rPr>
          <w:rStyle w:val="31"/>
          <w:rFonts w:hint="default" w:ascii="Times New Roman" w:hAnsi="Times New Roman" w:eastAsia="宋体" w:cs="Times New Roman"/>
          <w:sz w:val="24"/>
          <w:szCs w:val="24"/>
          <w:lang w:val="en-US" w:eastAsia="zh-CN"/>
        </w:rPr>
        <w:t>j</w:t>
      </w:r>
      <w:r>
        <w:rPr>
          <w:rStyle w:val="31"/>
          <w:rFonts w:hint="default" w:ascii="Times New Roman" w:hAnsi="Times New Roman" w:eastAsia="宋体" w:cs="Times New Roman"/>
          <w:sz w:val="24"/>
          <w:szCs w:val="24"/>
          <w:lang w:eastAsia="zh-CN"/>
        </w:rPr>
        <w:t>pec.com.cn</w:t>
      </w:r>
      <w:r>
        <w:rPr>
          <w:rStyle w:val="31"/>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bCs/>
          <w:sz w:val="24"/>
          <w:szCs w:val="24"/>
          <w:lang w:eastAsia="zh-CN"/>
        </w:rPr>
        <w:t>。未报名的参选人不能参加本项目比选。</w:t>
      </w:r>
    </w:p>
    <w:p>
      <w:pPr>
        <w:pStyle w:val="37"/>
        <w:autoSpaceDE/>
        <w:autoSpaceDN/>
        <w:spacing w:before="0" w:line="360" w:lineRule="auto"/>
        <w:ind w:left="0" w:firstLine="354" w:firstLineChars="147"/>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四、参选文件递交要求</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参选文件递交地点：福建省漳州市漳浦县杜浔镇杜昌路9号</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 递交截止时间（以送达时间为准）：有意向参选人请于公示期间进行</w:t>
      </w:r>
      <w:r>
        <w:rPr>
          <w:rFonts w:hint="default" w:ascii="Times New Roman" w:hAnsi="Times New Roman" w:eastAsia="宋体" w:cs="Times New Roman"/>
          <w:bCs/>
          <w:sz w:val="24"/>
          <w:szCs w:val="24"/>
          <w:lang w:val="en-US" w:eastAsia="zh-CN"/>
        </w:rPr>
        <w:t>报名，并请在</w:t>
      </w:r>
      <w:r>
        <w:rPr>
          <w:rFonts w:hint="default" w:ascii="Times New Roman" w:hAnsi="Times New Roman" w:eastAsia="宋体" w:cs="Times New Roman"/>
          <w:bCs/>
          <w:sz w:val="24"/>
          <w:szCs w:val="24"/>
          <w:lang w:eastAsia="zh-CN"/>
        </w:rPr>
        <w:t>公示之日起</w:t>
      </w:r>
      <w:r>
        <w:rPr>
          <w:rFonts w:hint="eastAsia" w:ascii="Times New Roman" w:hAnsi="Times New Roman" w:cs="Times New Roman"/>
          <w:bCs/>
          <w:sz w:val="24"/>
          <w:szCs w:val="24"/>
          <w:lang w:val="en-US" w:eastAsia="zh-CN"/>
        </w:rPr>
        <w:t>10</w:t>
      </w:r>
      <w:r>
        <w:rPr>
          <w:rFonts w:hint="default" w:ascii="Times New Roman" w:hAnsi="Times New Roman" w:eastAsia="宋体" w:cs="Times New Roman"/>
          <w:bCs/>
          <w:sz w:val="24"/>
          <w:szCs w:val="24"/>
          <w:lang w:eastAsia="zh-CN"/>
        </w:rPr>
        <w:t>天</w:t>
      </w:r>
      <w:r>
        <w:rPr>
          <w:rFonts w:hint="default" w:ascii="Times New Roman" w:hAnsi="Times New Roman" w:eastAsia="宋体" w:cs="Times New Roman"/>
          <w:bCs/>
          <w:sz w:val="24"/>
          <w:szCs w:val="24"/>
          <w:lang w:val="en-US" w:eastAsia="zh-CN"/>
        </w:rPr>
        <w:t>内</w:t>
      </w:r>
      <w:r>
        <w:rPr>
          <w:rFonts w:hint="eastAsia" w:ascii="Times New Roman" w:hAnsi="Times New Roman" w:cs="Times New Roman"/>
          <w:bCs/>
          <w:sz w:val="24"/>
          <w:szCs w:val="24"/>
          <w:lang w:val="en-US" w:eastAsia="zh-CN"/>
        </w:rPr>
        <w:t>（即</w:t>
      </w:r>
      <w:r>
        <w:rPr>
          <w:rFonts w:hint="default" w:ascii="Times New Roman" w:hAnsi="Times New Roman" w:eastAsia="宋体" w:cs="Times New Roman"/>
          <w:sz w:val="24"/>
          <w:szCs w:val="24"/>
          <w:lang w:eastAsia="zh-CN"/>
        </w:rPr>
        <w:t>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年</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eastAsia="zh-CN"/>
        </w:rPr>
        <w:t>月</w:t>
      </w:r>
      <w:r>
        <w:rPr>
          <w:rFonts w:hint="eastAsia" w:ascii="Times New Roman" w:hAnsi="Times New Roman" w:cs="Times New Roman"/>
          <w:sz w:val="24"/>
          <w:szCs w:val="24"/>
          <w:lang w:val="en-US" w:eastAsia="zh-CN"/>
        </w:rPr>
        <w:t>21</w:t>
      </w:r>
      <w:r>
        <w:rPr>
          <w:rFonts w:hint="default" w:ascii="Times New Roman" w:hAnsi="Times New Roman" w:eastAsia="宋体" w:cs="Times New Roman"/>
          <w:sz w:val="24"/>
          <w:szCs w:val="24"/>
          <w:lang w:eastAsia="zh-CN"/>
        </w:rPr>
        <w:t>日至</w:t>
      </w:r>
      <w:r>
        <w:rPr>
          <w:rFonts w:hint="eastAsia" w:ascii="Times New Roman" w:hAnsi="Times New Roman" w:cs="Times New Roman"/>
          <w:sz w:val="24"/>
          <w:szCs w:val="24"/>
          <w:lang w:val="en-US" w:eastAsia="zh-CN"/>
        </w:rPr>
        <w:t>30</w:t>
      </w:r>
      <w:r>
        <w:rPr>
          <w:rFonts w:hint="default" w:ascii="Times New Roman" w:hAnsi="Times New Roman" w:eastAsia="宋体" w:cs="Times New Roman"/>
          <w:sz w:val="24"/>
          <w:szCs w:val="24"/>
          <w:lang w:eastAsia="zh-CN"/>
        </w:rPr>
        <w:t>日</w:t>
      </w:r>
      <w:r>
        <w:rPr>
          <w:rFonts w:hint="eastAsia" w:ascii="Times New Roman" w:hAnsi="Times New Roman" w:cs="Times New Roman"/>
          <w:sz w:val="24"/>
          <w:szCs w:val="24"/>
          <w:lang w:val="en-US" w:eastAsia="zh-CN"/>
        </w:rPr>
        <w:t>期间）</w:t>
      </w:r>
      <w:r>
        <w:rPr>
          <w:rFonts w:hint="default" w:ascii="Times New Roman" w:hAnsi="Times New Roman" w:eastAsia="宋体" w:cs="Times New Roman"/>
          <w:bCs/>
          <w:sz w:val="24"/>
          <w:szCs w:val="24"/>
          <w:lang w:eastAsia="zh-CN"/>
        </w:rPr>
        <w:t>将参选文件纸质原件密封送达比选人指定地点。</w:t>
      </w:r>
    </w:p>
    <w:p>
      <w:pPr>
        <w:autoSpaceDE/>
        <w:autoSpaceDN/>
        <w:spacing w:line="360" w:lineRule="auto"/>
        <w:ind w:firstLine="472" w:firstLineChars="196"/>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五、联系方式</w:t>
      </w:r>
    </w:p>
    <w:p>
      <w:pPr>
        <w:pStyle w:val="7"/>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商务联系人：</w:t>
      </w:r>
      <w:r>
        <w:rPr>
          <w:rFonts w:hint="default" w:ascii="Times New Roman" w:hAnsi="Times New Roman" w:eastAsia="宋体" w:cs="Times New Roman"/>
          <w:bCs/>
          <w:sz w:val="24"/>
          <w:szCs w:val="24"/>
          <w:lang w:val="en-US" w:eastAsia="zh-CN"/>
        </w:rPr>
        <w:t>黄梅钦</w:t>
      </w:r>
      <w:r>
        <w:rPr>
          <w:rFonts w:hint="default" w:ascii="Times New Roman" w:hAnsi="Times New Roman" w:eastAsia="宋体" w:cs="Times New Roman"/>
          <w:bCs/>
          <w:sz w:val="24"/>
          <w:szCs w:val="24"/>
        </w:rPr>
        <w:t xml:space="preserve">  电话：0596-6311</w:t>
      </w:r>
      <w:r>
        <w:rPr>
          <w:rFonts w:hint="default" w:ascii="Times New Roman" w:hAnsi="Times New Roman" w:eastAsia="宋体" w:cs="Times New Roman"/>
          <w:bCs/>
          <w:sz w:val="24"/>
          <w:szCs w:val="24"/>
          <w:lang w:val="en-US" w:eastAsia="zh-CN"/>
        </w:rPr>
        <w:t>073</w:t>
      </w:r>
      <w:r>
        <w:rPr>
          <w:rFonts w:hint="default" w:ascii="Times New Roman" w:hAnsi="Times New Roman" w:eastAsia="宋体" w:cs="Times New Roman"/>
          <w:bCs/>
          <w:sz w:val="24"/>
          <w:szCs w:val="24"/>
        </w:rPr>
        <w:t xml:space="preserve">  邮箱：</w:t>
      </w:r>
      <w:r>
        <w:rPr>
          <w:rFonts w:hint="default" w:ascii="Times New Roman" w:hAnsi="Times New Roman" w:eastAsia="宋体" w:cs="Times New Roman"/>
          <w:bCs/>
          <w:sz w:val="24"/>
          <w:szCs w:val="24"/>
          <w:lang w:val="en-US" w:eastAsia="zh-CN"/>
        </w:rPr>
        <w:t>huangmq</w:t>
      </w:r>
      <w:r>
        <w:rPr>
          <w:rFonts w:hint="default" w:ascii="Times New Roman" w:hAnsi="Times New Roman" w:eastAsia="宋体" w:cs="Times New Roman"/>
          <w:bCs/>
          <w:sz w:val="24"/>
          <w:szCs w:val="24"/>
        </w:rPr>
        <w:t>@f</w:t>
      </w:r>
      <w:r>
        <w:rPr>
          <w:rFonts w:hint="default" w:ascii="Times New Roman" w:hAnsi="Times New Roman" w:eastAsia="宋体" w:cs="Times New Roman"/>
          <w:bCs/>
          <w:sz w:val="24"/>
          <w:szCs w:val="24"/>
          <w:lang w:val="en-US" w:eastAsia="zh-CN"/>
        </w:rPr>
        <w:t>j</w:t>
      </w:r>
      <w:r>
        <w:rPr>
          <w:rFonts w:hint="default" w:ascii="Times New Roman" w:hAnsi="Times New Roman" w:eastAsia="宋体" w:cs="Times New Roman"/>
          <w:bCs/>
          <w:sz w:val="24"/>
          <w:szCs w:val="24"/>
        </w:rPr>
        <w:t>pec</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com</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cn</w:t>
      </w:r>
    </w:p>
    <w:p>
      <w:pPr>
        <w:pStyle w:val="7"/>
        <w:snapToGrid w:val="0"/>
        <w:spacing w:line="360" w:lineRule="auto"/>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纪检监察室电话：0596-6311</w:t>
      </w:r>
      <w:r>
        <w:rPr>
          <w:rFonts w:hint="default" w:ascii="Times New Roman" w:hAnsi="Times New Roman" w:eastAsia="宋体" w:cs="Times New Roman"/>
          <w:bCs/>
          <w:sz w:val="24"/>
          <w:szCs w:val="24"/>
          <w:lang w:val="en-US" w:eastAsia="zh-CN"/>
        </w:rPr>
        <w:t>774</w:t>
      </w:r>
    </w:p>
    <w:p>
      <w:pPr>
        <w:pStyle w:val="7"/>
        <w:snapToGrid w:val="0"/>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联系地址：漳州市漳浦县杜浔镇杜昌路9号</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邮    编：363216</w:t>
      </w:r>
    </w:p>
    <w:p>
      <w:pPr>
        <w:tabs>
          <w:tab w:val="left" w:pos="1272"/>
        </w:tabs>
        <w:spacing w:line="360" w:lineRule="auto"/>
        <w:ind w:left="9"/>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p>
    <w:p>
      <w:pPr>
        <w:tabs>
          <w:tab w:val="left" w:pos="1272"/>
        </w:tabs>
        <w:spacing w:line="360" w:lineRule="auto"/>
        <w:ind w:left="9"/>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福建福海创石油化工有限公司</w:t>
      </w:r>
    </w:p>
    <w:p>
      <w:pPr>
        <w:spacing w:line="360" w:lineRule="auto"/>
        <w:ind w:firstLine="5760" w:firstLineChars="24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18</w:t>
      </w:r>
    </w:p>
    <w:p>
      <w:pPr>
        <w:pStyle w:val="3"/>
        <w:tabs>
          <w:tab w:val="left" w:pos="1262"/>
        </w:tabs>
        <w:spacing w:line="355" w:lineRule="exact"/>
        <w:ind w:left="0" w:right="108"/>
        <w:jc w:val="center"/>
        <w:rPr>
          <w:rFonts w:hint="default" w:ascii="Times New Roman" w:hAnsi="Times New Roman" w:eastAsia="宋体" w:cs="Times New Roman"/>
          <w:sz w:val="24"/>
          <w:szCs w:val="24"/>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第二章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比选须</w:t>
      </w:r>
      <w:r>
        <w:rPr>
          <w:rFonts w:hint="default" w:ascii="Times New Roman" w:hAnsi="Times New Roman" w:eastAsia="宋体" w:cs="Times New Roman"/>
          <w:w w:val="95"/>
          <w:sz w:val="24"/>
          <w:szCs w:val="24"/>
          <w:lang w:eastAsia="zh-CN"/>
        </w:rPr>
        <w:t>知</w:t>
      </w:r>
    </w:p>
    <w:p>
      <w:pPr>
        <w:spacing w:line="360" w:lineRule="auto"/>
        <w:ind w:firstLine="458"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w w:val="95"/>
          <w:sz w:val="24"/>
          <w:szCs w:val="24"/>
          <w:lang w:eastAsia="zh-CN"/>
        </w:rPr>
        <w:t>一、比选内容</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(一)项目名称：</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bCs/>
          <w:sz w:val="24"/>
          <w:szCs w:val="24"/>
          <w:u w:val="single"/>
          <w:lang w:eastAsia="zh-CN"/>
        </w:rPr>
        <w:t xml:space="preserve"> </w:t>
      </w:r>
      <w:r>
        <w:rPr>
          <w:rFonts w:hint="eastAsia" w:ascii="Times New Roman" w:hAnsi="Times New Roman" w:cs="Times New Roman"/>
          <w:sz w:val="24"/>
          <w:szCs w:val="24"/>
          <w:u w:val="single"/>
          <w:lang w:val="en-US" w:eastAsia="zh-CN"/>
        </w:rPr>
        <w:t>PE篷布及彩条布</w:t>
      </w:r>
      <w:r>
        <w:rPr>
          <w:rFonts w:hint="default" w:ascii="Times New Roman" w:hAnsi="Times New Roman" w:eastAsia="宋体" w:cs="Times New Roman"/>
          <w:bCs/>
          <w:sz w:val="24"/>
          <w:szCs w:val="24"/>
          <w:u w:val="single"/>
          <w:lang w:eastAsia="zh-CN"/>
        </w:rPr>
        <w:t>采购</w:t>
      </w:r>
      <w:r>
        <w:rPr>
          <w:rFonts w:hint="default" w:ascii="Times New Roman" w:hAnsi="Times New Roman" w:eastAsia="宋体" w:cs="Times New Roman"/>
          <w:sz w:val="24"/>
          <w:szCs w:val="24"/>
          <w:u w:val="single"/>
          <w:lang w:eastAsia="zh-CN"/>
        </w:rPr>
        <w:t xml:space="preserve">  </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(二)项目地点：漳州市漳浦县古雷开发区腾龙路8</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lang w:eastAsia="zh-CN"/>
        </w:rPr>
        <w:t>号</w:t>
      </w:r>
    </w:p>
    <w:p>
      <w:pPr>
        <w:pStyle w:val="10"/>
        <w:spacing w:line="360" w:lineRule="auto"/>
        <w:ind w:left="2164" w:leftChars="220" w:hanging="1680" w:hangingChars="7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(三)承包方式：</w:t>
      </w:r>
      <w:r>
        <w:rPr>
          <w:rFonts w:hint="default" w:ascii="Times New Roman" w:hAnsi="Times New Roman" w:eastAsia="宋体" w:cs="Times New Roman"/>
          <w:bCs/>
          <w:snapToGrid w:val="0"/>
          <w:spacing w:val="8"/>
          <w:sz w:val="24"/>
          <w:szCs w:val="24"/>
          <w:lang w:eastAsia="zh-CN"/>
        </w:rPr>
        <w:t>采用总价包干的</w:t>
      </w:r>
      <w:r>
        <w:rPr>
          <w:rFonts w:hint="default" w:ascii="Times New Roman" w:hAnsi="Times New Roman" w:eastAsia="宋体" w:cs="Times New Roman"/>
          <w:sz w:val="24"/>
          <w:szCs w:val="24"/>
          <w:lang w:eastAsia="zh-CN"/>
        </w:rPr>
        <w:t>方式。</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(四)比选范围：</w:t>
      </w:r>
    </w:p>
    <w:p>
      <w:pPr>
        <w:spacing w:line="360" w:lineRule="auto"/>
        <w:ind w:firstLine="480" w:firstLineChars="200"/>
        <w:rPr>
          <w:rFonts w:hint="default" w:ascii="Times New Roman" w:hAnsi="Times New Roman" w:eastAsia="宋体" w:cs="Times New Roman"/>
          <w:snapToGrid w:val="0"/>
          <w:spacing w:val="8"/>
          <w:sz w:val="24"/>
          <w:szCs w:val="24"/>
          <w:u w:val="single"/>
          <w:lang w:val="en-US" w:eastAsia="zh-CN"/>
        </w:rPr>
      </w:pPr>
      <w:r>
        <w:rPr>
          <w:rFonts w:hint="default" w:ascii="Times New Roman" w:hAnsi="Times New Roman" w:eastAsia="宋体" w:cs="Times New Roman"/>
          <w:sz w:val="24"/>
          <w:szCs w:val="24"/>
          <w:lang w:eastAsia="zh-CN"/>
        </w:rPr>
        <w:t>1.项目概况：</w:t>
      </w:r>
      <w:r>
        <w:rPr>
          <w:rFonts w:hint="default" w:ascii="Times New Roman" w:hAnsi="Times New Roman" w:eastAsia="宋体" w:cs="Times New Roman"/>
          <w:snapToGrid w:val="0"/>
          <w:spacing w:val="8"/>
          <w:sz w:val="24"/>
          <w:szCs w:val="24"/>
          <w:u w:val="single"/>
          <w:lang w:eastAsia="zh-CN"/>
        </w:rPr>
        <w:t xml:space="preserve"> </w:t>
      </w:r>
      <w:r>
        <w:rPr>
          <w:rFonts w:hint="default" w:ascii="Times New Roman" w:hAnsi="Times New Roman" w:eastAsia="宋体" w:cs="Times New Roman"/>
          <w:bCs/>
          <w:sz w:val="24"/>
          <w:szCs w:val="24"/>
          <w:u w:val="single"/>
          <w:lang w:eastAsia="zh-CN"/>
        </w:rPr>
        <w:t xml:space="preserve"> </w:t>
      </w:r>
      <w:r>
        <w:rPr>
          <w:rFonts w:hint="eastAsia" w:ascii="Times New Roman" w:hAnsi="Times New Roman" w:cs="Times New Roman"/>
          <w:sz w:val="24"/>
          <w:szCs w:val="24"/>
          <w:u w:val="single"/>
          <w:lang w:val="en-US" w:eastAsia="zh-CN"/>
        </w:rPr>
        <w:t>PE篷布及彩条布采购</w:t>
      </w:r>
    </w:p>
    <w:p>
      <w:pPr>
        <w:pStyle w:val="4"/>
        <w:spacing w:line="360" w:lineRule="auto"/>
        <w:ind w:left="2640" w:leftChars="218" w:hanging="2160" w:hangingChars="900"/>
        <w:rPr>
          <w:rFonts w:hint="eastAsia"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2.项目范围及内容：</w:t>
      </w:r>
      <w:r>
        <w:rPr>
          <w:rFonts w:hint="eastAsia" w:ascii="Times New Roman" w:hAnsi="Times New Roman" w:eastAsia="宋体" w:cs="Times New Roman"/>
          <w:b w:val="0"/>
          <w:bCs w:val="0"/>
          <w:sz w:val="24"/>
          <w:szCs w:val="24"/>
          <w:lang w:val="en-US" w:eastAsia="zh-CN" w:bidi="ar-SA"/>
        </w:rPr>
        <w:t>彩条布</w:t>
      </w:r>
      <w:r>
        <w:rPr>
          <w:rFonts w:hint="eastAsia" w:ascii="Times New Roman" w:hAnsi="Times New Roman" w:cs="Times New Roman"/>
          <w:b w:val="0"/>
          <w:bCs w:val="0"/>
          <w:sz w:val="24"/>
          <w:szCs w:val="24"/>
          <w:lang w:val="en-US" w:eastAsia="zh-CN" w:bidi="ar-SA"/>
        </w:rPr>
        <w:t>（30张）</w:t>
      </w:r>
      <w:r>
        <w:rPr>
          <w:rFonts w:hint="eastAsia" w:ascii="Times New Roman" w:hAnsi="Times New Roman" w:eastAsia="宋体" w:cs="Times New Roman"/>
          <w:b w:val="0"/>
          <w:bCs w:val="0"/>
          <w:sz w:val="24"/>
          <w:szCs w:val="24"/>
          <w:lang w:val="en-US" w:eastAsia="zh-CN" w:bidi="ar-SA"/>
        </w:rPr>
        <w:t>：25米*20米，每平方</w:t>
      </w:r>
      <w:r>
        <w:rPr>
          <w:rFonts w:hint="eastAsia" w:ascii="Times New Roman" w:hAnsi="Times New Roman" w:cs="Times New Roman"/>
          <w:b w:val="0"/>
          <w:bCs w:val="0"/>
          <w:sz w:val="24"/>
          <w:szCs w:val="24"/>
          <w:lang w:val="en-US" w:eastAsia="zh-CN" w:bidi="ar-SA"/>
        </w:rPr>
        <w:t>米</w:t>
      </w:r>
      <w:r>
        <w:rPr>
          <w:rFonts w:hint="eastAsia" w:ascii="Times New Roman" w:hAnsi="Times New Roman" w:eastAsia="宋体" w:cs="Times New Roman"/>
          <w:b w:val="0"/>
          <w:bCs w:val="0"/>
          <w:sz w:val="24"/>
          <w:szCs w:val="24"/>
          <w:lang w:val="en-US" w:eastAsia="zh-CN" w:bidi="ar-SA"/>
        </w:rPr>
        <w:t>不低于100g；</w:t>
      </w:r>
    </w:p>
    <w:p>
      <w:pPr>
        <w:pStyle w:val="4"/>
        <w:spacing w:line="360" w:lineRule="auto"/>
        <w:ind w:left="2638" w:leftChars="1199" w:firstLine="0" w:firstLineChars="0"/>
        <w:rPr>
          <w:rFonts w:hint="default" w:ascii="Times New Roman" w:hAnsi="Times New Roman" w:eastAsia="宋体" w:cs="Times New Roman"/>
          <w:b w:val="0"/>
          <w:bCs w:val="0"/>
          <w:sz w:val="24"/>
          <w:szCs w:val="24"/>
          <w:lang w:val="en-US" w:eastAsia="zh-CN" w:bidi="ar-SA"/>
        </w:rPr>
      </w:pPr>
      <w:r>
        <w:rPr>
          <w:rFonts w:hint="eastAsia" w:ascii="Times New Roman" w:hAnsi="Times New Roman" w:eastAsia="宋体" w:cs="Times New Roman"/>
          <w:b w:val="0"/>
          <w:bCs w:val="0"/>
          <w:sz w:val="24"/>
          <w:szCs w:val="24"/>
          <w:lang w:val="en-US" w:eastAsia="zh-CN" w:bidi="ar-SA"/>
        </w:rPr>
        <w:t>PE篷布</w:t>
      </w:r>
      <w:r>
        <w:rPr>
          <w:rFonts w:hint="eastAsia" w:ascii="Times New Roman" w:hAnsi="Times New Roman" w:cs="Times New Roman"/>
          <w:b w:val="0"/>
          <w:bCs w:val="0"/>
          <w:sz w:val="24"/>
          <w:szCs w:val="24"/>
          <w:lang w:val="en-US" w:eastAsia="zh-CN" w:bidi="ar-SA"/>
        </w:rPr>
        <w:t>（50张）</w:t>
      </w:r>
      <w:r>
        <w:rPr>
          <w:rFonts w:hint="eastAsia" w:ascii="Times New Roman" w:hAnsi="Times New Roman" w:eastAsia="宋体" w:cs="Times New Roman"/>
          <w:b w:val="0"/>
          <w:bCs w:val="0"/>
          <w:sz w:val="24"/>
          <w:szCs w:val="24"/>
          <w:lang w:val="en-US" w:eastAsia="zh-CN" w:bidi="ar-SA"/>
        </w:rPr>
        <w:t>：28米*20米，每平方米不低于180g</w:t>
      </w:r>
    </w:p>
    <w:p>
      <w:pPr>
        <w:spacing w:line="360" w:lineRule="auto"/>
        <w:ind w:firstLine="480" w:firstLineChars="200"/>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(五)产品质量：请按产品相关质量规范要求执行。</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二、定义和解释</w:t>
      </w:r>
    </w:p>
    <w:p>
      <w:pPr>
        <w:pStyle w:val="10"/>
        <w:spacing w:line="360" w:lineRule="auto"/>
        <w:ind w:left="4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1.“比选人”系福建福海创石油化工有限公司，即业主方。</w:t>
      </w:r>
    </w:p>
    <w:p>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1"/>
          <w:sz w:val="24"/>
          <w:szCs w:val="24"/>
          <w:lang w:eastAsia="zh-CN"/>
        </w:rPr>
        <w:t>2</w:t>
      </w:r>
      <w:r>
        <w:rPr>
          <w:rFonts w:hint="default" w:ascii="Times New Roman" w:hAnsi="Times New Roman" w:eastAsia="宋体" w:cs="Times New Roman"/>
          <w:spacing w:val="-10"/>
          <w:sz w:val="24"/>
          <w:szCs w:val="24"/>
          <w:lang w:eastAsia="zh-CN"/>
        </w:rPr>
        <w:t>.“参选人”系指向比选人报名并接受邀请，领取比选文件，且已经提交或准备提交本次参选文件的法人。</w:t>
      </w:r>
    </w:p>
    <w:p>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4"/>
          <w:sz w:val="24"/>
          <w:szCs w:val="24"/>
          <w:lang w:eastAsia="zh-CN"/>
        </w:rPr>
        <w:t>3</w:t>
      </w:r>
      <w:r>
        <w:rPr>
          <w:rFonts w:hint="default" w:ascii="Times New Roman" w:hAnsi="Times New Roman" w:eastAsia="宋体" w:cs="Times New Roman"/>
          <w:spacing w:val="-10"/>
          <w:sz w:val="24"/>
          <w:szCs w:val="24"/>
          <w:lang w:eastAsia="zh-CN"/>
        </w:rPr>
        <w:t>.“参选人代表”系指全权代表参选人参加本次比选活动并签署参选文件的人，如果参选人代表不是参选人的法定代表人，须持有《法定代表人授权委托书》详见附件二。</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三、比选文件组成</w:t>
      </w:r>
    </w:p>
    <w:p>
      <w:pPr>
        <w:pStyle w:val="10"/>
        <w:spacing w:line="360" w:lineRule="auto"/>
        <w:ind w:left="4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1.比选文件包括下列内容：</w:t>
      </w:r>
    </w:p>
    <w:p>
      <w:pPr>
        <w:pStyle w:val="10"/>
        <w:spacing w:line="360" w:lineRule="auto"/>
        <w:ind w:left="598"/>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比选公告、比选须知、项目内容、合同书格式、报价单、承诺函等。</w:t>
      </w:r>
    </w:p>
    <w:p>
      <w:pPr>
        <w:pStyle w:val="10"/>
        <w:spacing w:line="360" w:lineRule="auto"/>
        <w:ind w:right="21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12"/>
          <w:sz w:val="24"/>
          <w:szCs w:val="24"/>
          <w:lang w:eastAsia="zh-CN"/>
        </w:rPr>
        <w:t>参选人应认真阅读、并充分理解比选文件的全部内容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pacing w:val="-9"/>
          <w:sz w:val="24"/>
          <w:szCs w:val="24"/>
          <w:lang w:eastAsia="zh-CN"/>
        </w:rPr>
        <w:t>包括所有的补充、修改内容、</w:t>
      </w:r>
      <w:r>
        <w:rPr>
          <w:rFonts w:hint="default" w:ascii="Times New Roman" w:hAnsi="Times New Roman" w:eastAsia="宋体" w:cs="Times New Roman"/>
          <w:sz w:val="24"/>
          <w:szCs w:val="24"/>
          <w:lang w:eastAsia="zh-CN"/>
        </w:rPr>
        <w:t>重要事项、格式、条款和技术规范、参数及要求等）。参选人没有按照比选文件要求提交</w:t>
      </w:r>
      <w:r>
        <w:rPr>
          <w:rFonts w:hint="default" w:ascii="Times New Roman" w:hAnsi="Times New Roman" w:eastAsia="宋体" w:cs="Times New Roman"/>
          <w:spacing w:val="-10"/>
          <w:sz w:val="24"/>
          <w:szCs w:val="24"/>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四、比选文件的澄清</w:t>
      </w:r>
    </w:p>
    <w:p>
      <w:pPr>
        <w:pStyle w:val="10"/>
        <w:spacing w:line="360" w:lineRule="auto"/>
        <w:ind w:right="91" w:firstLine="482"/>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9"/>
          <w:sz w:val="24"/>
          <w:szCs w:val="24"/>
          <w:lang w:eastAsia="zh-CN"/>
        </w:rPr>
        <w:t>参选人获取比选文件后，应仔细检查比选文件的所有内容，如有残缺等问题应在获得</w:t>
      </w:r>
      <w:r>
        <w:rPr>
          <w:rFonts w:hint="default" w:ascii="Times New Roman" w:hAnsi="Times New Roman" w:eastAsia="宋体" w:cs="Times New Roman"/>
          <w:spacing w:val="-20"/>
          <w:sz w:val="24"/>
          <w:szCs w:val="24"/>
          <w:lang w:eastAsia="zh-CN"/>
        </w:rPr>
        <w:t>比选文件</w:t>
      </w:r>
      <w:r>
        <w:rPr>
          <w:rFonts w:hint="default" w:ascii="Times New Roman" w:hAnsi="Times New Roman" w:eastAsia="宋体" w:cs="Times New Roman"/>
          <w:spacing w:val="-20"/>
          <w:sz w:val="24"/>
          <w:szCs w:val="24"/>
          <w:u w:val="single"/>
          <w:lang w:eastAsia="zh-CN"/>
        </w:rPr>
        <w:t xml:space="preserve"> </w:t>
      </w:r>
      <w:r>
        <w:rPr>
          <w:rFonts w:hint="default" w:ascii="Times New Roman" w:hAnsi="Times New Roman" w:eastAsia="宋体" w:cs="Times New Roman"/>
          <w:sz w:val="24"/>
          <w:szCs w:val="24"/>
          <w:u w:val="single"/>
          <w:lang w:eastAsia="zh-CN"/>
        </w:rPr>
        <w:t>3</w:t>
      </w:r>
      <w:r>
        <w:rPr>
          <w:rFonts w:hint="default" w:ascii="Times New Roman" w:hAnsi="Times New Roman" w:eastAsia="宋体" w:cs="Times New Roman"/>
          <w:spacing w:val="-13"/>
          <w:sz w:val="24"/>
          <w:szCs w:val="24"/>
          <w:u w:val="single"/>
          <w:lang w:eastAsia="zh-CN"/>
        </w:rPr>
        <w:t xml:space="preserve"> </w:t>
      </w:r>
      <w:r>
        <w:rPr>
          <w:rFonts w:hint="default" w:ascii="Times New Roman" w:hAnsi="Times New Roman" w:eastAsia="宋体" w:cs="Times New Roman"/>
          <w:spacing w:val="-13"/>
          <w:sz w:val="24"/>
          <w:szCs w:val="24"/>
          <w:lang w:eastAsia="zh-CN"/>
        </w:rPr>
        <w:t>日内向比选人提出。参选人若对比选文件有任何疑问，应在参选截止时间前</w:t>
      </w:r>
      <w:r>
        <w:rPr>
          <w:rFonts w:hint="default" w:ascii="Times New Roman" w:hAnsi="Times New Roman" w:eastAsia="宋体" w:cs="Times New Roman"/>
          <w:spacing w:val="-13"/>
          <w:sz w:val="24"/>
          <w:szCs w:val="24"/>
          <w:u w:val="single"/>
          <w:lang w:eastAsia="zh-CN"/>
        </w:rPr>
        <w:t xml:space="preserve"> </w:t>
      </w:r>
      <w:r>
        <w:rPr>
          <w:rFonts w:hint="default" w:ascii="Times New Roman" w:hAnsi="Times New Roman" w:eastAsia="宋体" w:cs="Times New Roman"/>
          <w:sz w:val="24"/>
          <w:szCs w:val="24"/>
          <w:u w:val="single"/>
          <w:lang w:eastAsia="zh-CN"/>
        </w:rPr>
        <w:t xml:space="preserve">5 </w:t>
      </w:r>
      <w:r>
        <w:rPr>
          <w:rFonts w:hint="default" w:ascii="Times New Roman" w:hAnsi="Times New Roman" w:eastAsia="宋体" w:cs="Times New Roman"/>
          <w:spacing w:val="-10"/>
          <w:sz w:val="24"/>
          <w:szCs w:val="24"/>
          <w:lang w:eastAsia="zh-CN"/>
        </w:rPr>
        <w:t>日，按参选须知载明的地址以书面形式</w:t>
      </w:r>
      <w:r>
        <w:rPr>
          <w:rFonts w:hint="default" w:ascii="Times New Roman" w:hAnsi="Times New Roman" w:eastAsia="宋体" w:cs="Times New Roman"/>
          <w:spacing w:val="-3"/>
          <w:sz w:val="24"/>
          <w:szCs w:val="24"/>
          <w:lang w:eastAsia="zh-CN"/>
        </w:rPr>
        <w:t>（</w:t>
      </w:r>
      <w:r>
        <w:rPr>
          <w:rFonts w:hint="default" w:ascii="Times New Roman" w:hAnsi="Times New Roman" w:eastAsia="宋体" w:cs="Times New Roman"/>
          <w:spacing w:val="-10"/>
          <w:sz w:val="24"/>
          <w:szCs w:val="24"/>
          <w:lang w:eastAsia="zh-CN"/>
        </w:rPr>
        <w:t>包括书面、电子邮件下同</w:t>
      </w:r>
      <w:r>
        <w:rPr>
          <w:rFonts w:hint="default" w:ascii="Times New Roman" w:hAnsi="Times New Roman" w:eastAsia="宋体" w:cs="Times New Roman"/>
          <w:spacing w:val="-49"/>
          <w:sz w:val="24"/>
          <w:szCs w:val="24"/>
          <w:lang w:eastAsia="zh-CN"/>
        </w:rPr>
        <w:t>）</w:t>
      </w:r>
      <w:r>
        <w:rPr>
          <w:rFonts w:hint="default" w:ascii="Times New Roman" w:hAnsi="Times New Roman" w:eastAsia="宋体" w:cs="Times New Roman"/>
          <w:sz w:val="24"/>
          <w:szCs w:val="24"/>
          <w:lang w:eastAsia="zh-CN"/>
        </w:rPr>
        <w:t>通知到比选人。</w:t>
      </w:r>
      <w:r>
        <w:rPr>
          <w:rFonts w:hint="default" w:ascii="Times New Roman" w:hAnsi="Times New Roman" w:eastAsia="宋体" w:cs="Times New Roman"/>
          <w:spacing w:val="-4"/>
          <w:sz w:val="24"/>
          <w:szCs w:val="2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五、比选文件的修改、补充</w:t>
      </w:r>
    </w:p>
    <w:p>
      <w:pPr>
        <w:pStyle w:val="10"/>
        <w:spacing w:line="360" w:lineRule="auto"/>
        <w:ind w:right="226"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1.在参选截止日期前，比选人可主动地或依据参选人要求澄清的问题而修改比选文</w:t>
      </w:r>
      <w:r>
        <w:rPr>
          <w:rFonts w:hint="default" w:ascii="Times New Roman" w:hAnsi="Times New Roman" w:eastAsia="宋体" w:cs="Times New Roman"/>
          <w:spacing w:val="-10"/>
          <w:sz w:val="24"/>
          <w:szCs w:val="24"/>
          <w:lang w:eastAsia="zh-CN"/>
        </w:rPr>
        <w:t>件，并以书面形式通知所有报名参加比选项目的每一参选人，对方在收到该通知后应立即</w:t>
      </w:r>
      <w:r>
        <w:rPr>
          <w:rFonts w:hint="default" w:ascii="Times New Roman" w:hAnsi="Times New Roman" w:eastAsia="宋体" w:cs="Times New Roman"/>
          <w:spacing w:val="-2"/>
          <w:sz w:val="24"/>
          <w:szCs w:val="24"/>
          <w:lang w:eastAsia="zh-CN"/>
        </w:rPr>
        <w:t>以书面形式予以确认；参选人未按规定时间予以确认或未按规定时间地点领取书面文件的，视比选通知已收到。</w:t>
      </w:r>
    </w:p>
    <w:p>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3.比选文件的修改书将构成比选文件的一部分，对参选人具有约束作用。</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4.比选人所作的一切有效补充、修改文件，均被视为比选文件不可分割部分。</w:t>
      </w:r>
    </w:p>
    <w:p>
      <w:pPr>
        <w:pStyle w:val="3"/>
        <w:spacing w:line="360" w:lineRule="auto"/>
        <w:ind w:left="539"/>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六、参选人资格</w:t>
      </w:r>
    </w:p>
    <w:p>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参选人必须具备有效的企业法人营业执照，具有在中华人民共和国注册的法人资格。</w:t>
      </w:r>
    </w:p>
    <w:p>
      <w:pPr>
        <w:widowControl/>
        <w:autoSpaceDE/>
        <w:autoSpaceDN/>
        <w:spacing w:line="360" w:lineRule="auto"/>
        <w:ind w:firstLine="480" w:firstLineChars="200"/>
        <w:jc w:val="both"/>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w:t>
      </w:r>
      <w:r>
        <w:rPr>
          <w:rFonts w:hint="eastAsia" w:ascii="Times New Roman" w:hAnsi="Times New Roman" w:cs="Times New Roman"/>
          <w:sz w:val="24"/>
          <w:szCs w:val="24"/>
          <w:lang w:val="en-US" w:eastAsia="zh-CN" w:bidi="ar-SA"/>
        </w:rPr>
        <w:t xml:space="preserve"> </w:t>
      </w:r>
      <w:r>
        <w:rPr>
          <w:rFonts w:hint="eastAsia" w:ascii="Times New Roman" w:hAnsi="Times New Roman" w:eastAsia="宋体" w:cs="Times New Roman"/>
          <w:sz w:val="24"/>
          <w:szCs w:val="24"/>
          <w:lang w:val="en-US" w:eastAsia="zh-CN" w:bidi="ar-SA"/>
        </w:rPr>
        <w:t>承揽商需具有独立法人资格和履行合同能力，有良好的信誉和售后服务能力。</w:t>
      </w:r>
    </w:p>
    <w:p>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没有失信黑名单记录（以最高院失信被执行人系统发布信息为准）。</w:t>
      </w:r>
    </w:p>
    <w:p>
      <w:pPr>
        <w:pStyle w:val="37"/>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与比选人无诉讼纠纷。</w:t>
      </w:r>
    </w:p>
    <w:p>
      <w:pPr>
        <w:pStyle w:val="2"/>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 本项目不接受联合体投标。</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七、参选保证金</w:t>
      </w:r>
    </w:p>
    <w:p>
      <w:pPr>
        <w:pStyle w:val="10"/>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 参选单位应缴纳参选保证金，</w:t>
      </w:r>
      <w:r>
        <w:rPr>
          <w:rFonts w:hint="default" w:ascii="Times New Roman" w:hAnsi="Times New Roman" w:eastAsia="宋体" w:cs="Times New Roman"/>
          <w:b/>
          <w:bCs/>
          <w:sz w:val="24"/>
          <w:szCs w:val="24"/>
          <w:lang w:val="en-US" w:eastAsia="zh-CN" w:bidi="ar-SA"/>
        </w:rPr>
        <w:t>保证金金额</w:t>
      </w:r>
      <w:r>
        <w:rPr>
          <w:rFonts w:hint="eastAsia" w:ascii="Times New Roman" w:hAnsi="Times New Roman" w:cs="Times New Roman"/>
          <w:b/>
          <w:bCs/>
          <w:sz w:val="24"/>
          <w:szCs w:val="24"/>
          <w:lang w:val="en-US" w:eastAsia="zh-CN" w:bidi="ar-SA"/>
        </w:rPr>
        <w:t>3,12</w:t>
      </w:r>
      <w:r>
        <w:rPr>
          <w:rFonts w:hint="default" w:ascii="Times New Roman" w:hAnsi="Times New Roman" w:eastAsia="宋体" w:cs="Times New Roman"/>
          <w:b/>
          <w:bCs/>
          <w:sz w:val="24"/>
          <w:szCs w:val="24"/>
          <w:lang w:val="en-US" w:eastAsia="zh-CN" w:bidi="ar-SA"/>
        </w:rPr>
        <w:t>0</w:t>
      </w:r>
      <w:r>
        <w:rPr>
          <w:rFonts w:hint="eastAsia" w:ascii="Times New Roman" w:hAnsi="Times New Roman" w:cs="Times New Roman"/>
          <w:b/>
          <w:bCs/>
          <w:sz w:val="24"/>
          <w:szCs w:val="24"/>
          <w:lang w:val="en-US" w:eastAsia="zh-CN" w:bidi="ar-SA"/>
        </w:rPr>
        <w:t>.00</w:t>
      </w:r>
      <w:r>
        <w:rPr>
          <w:rFonts w:hint="default" w:ascii="Times New Roman" w:hAnsi="Times New Roman" w:eastAsia="宋体" w:cs="Times New Roman"/>
          <w:b/>
          <w:bCs/>
          <w:sz w:val="24"/>
          <w:szCs w:val="24"/>
          <w:lang w:val="en-US" w:eastAsia="zh-CN" w:bidi="ar-SA"/>
        </w:rPr>
        <w:t>元整</w:t>
      </w:r>
      <w:r>
        <w:rPr>
          <w:rFonts w:hint="default" w:ascii="Times New Roman" w:hAnsi="Times New Roman" w:eastAsia="宋体" w:cs="Times New Roman"/>
          <w:sz w:val="24"/>
          <w:szCs w:val="24"/>
          <w:lang w:val="en-US" w:eastAsia="zh-CN" w:bidi="ar-SA"/>
        </w:rPr>
        <w:t>，参选单位应按照要求从参选单位基本账户转入比选单位的账户，比选单位账户信息如下：</w:t>
      </w:r>
    </w:p>
    <w:p>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开户名称：</w:t>
      </w:r>
      <w:r>
        <w:rPr>
          <w:rFonts w:hint="default" w:ascii="Times New Roman" w:hAnsi="Times New Roman" w:eastAsia="宋体" w:cs="Times New Roman"/>
          <w:sz w:val="24"/>
          <w:szCs w:val="24"/>
          <w:lang w:val="en-US" w:eastAsia="zh-CN" w:bidi="ar-SA"/>
        </w:rPr>
        <w:t>福建福海创石油化工有限公司</w:t>
      </w:r>
    </w:p>
    <w:p>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开户银行：</w:t>
      </w:r>
      <w:r>
        <w:rPr>
          <w:rFonts w:hint="default" w:ascii="Times New Roman" w:hAnsi="Times New Roman" w:eastAsia="宋体" w:cs="Times New Roman"/>
          <w:sz w:val="24"/>
          <w:szCs w:val="24"/>
          <w:lang w:val="en-US" w:eastAsia="zh-CN" w:bidi="ar-SA"/>
        </w:rPr>
        <w:t>中国银行股份有限公司漳州古雷经济开发区支行</w:t>
      </w:r>
    </w:p>
    <w:p>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帐  号：</w:t>
      </w:r>
      <w:r>
        <w:rPr>
          <w:rFonts w:hint="default" w:ascii="Times New Roman" w:hAnsi="Times New Roman" w:eastAsia="宋体" w:cs="Times New Roman"/>
          <w:sz w:val="24"/>
          <w:szCs w:val="24"/>
          <w:lang w:val="en-US" w:eastAsia="zh-CN" w:bidi="ar-SA"/>
        </w:rPr>
        <w:t>406574816628</w:t>
      </w:r>
    </w:p>
    <w:p>
      <w:pPr>
        <w:spacing w:line="360" w:lineRule="auto"/>
        <w:ind w:firstLine="480" w:firstLineChars="20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w:t>
      </w:r>
      <w:r>
        <w:rPr>
          <w:rFonts w:hint="default" w:ascii="Times New Roman" w:hAnsi="Times New Roman" w:eastAsia="宋体" w:cs="Times New Roman"/>
          <w:b/>
          <w:bCs/>
          <w:sz w:val="24"/>
          <w:szCs w:val="24"/>
          <w:lang w:val="en-US" w:eastAsia="zh-CN" w:bidi="ar-SA"/>
        </w:rPr>
        <w:t>注明用途：</w:t>
      </w:r>
      <w:r>
        <w:rPr>
          <w:rFonts w:hint="default" w:ascii="Times New Roman" w:hAnsi="Times New Roman" w:eastAsia="宋体" w:cs="Times New Roman"/>
          <w:bCs/>
          <w:sz w:val="24"/>
          <w:szCs w:val="24"/>
          <w:u w:val="single"/>
          <w:lang w:eastAsia="zh-CN"/>
        </w:rPr>
        <w:t xml:space="preserve"> </w:t>
      </w:r>
      <w:r>
        <w:rPr>
          <w:rFonts w:hint="eastAsia" w:ascii="Times New Roman" w:hAnsi="Times New Roman" w:cs="Times New Roman"/>
          <w:sz w:val="24"/>
          <w:szCs w:val="24"/>
          <w:u w:val="single"/>
          <w:lang w:val="en-US" w:eastAsia="zh-CN"/>
        </w:rPr>
        <w:t>PE篷布及彩条布采购</w:t>
      </w:r>
      <w:r>
        <w:rPr>
          <w:rFonts w:hint="default" w:ascii="Times New Roman" w:hAnsi="Times New Roman" w:eastAsia="宋体" w:cs="Times New Roman"/>
          <w:sz w:val="24"/>
          <w:szCs w:val="24"/>
          <w:u w:val="single"/>
          <w:lang w:val="en-US" w:eastAsia="zh-CN"/>
        </w:rPr>
        <w:t>项目</w:t>
      </w:r>
      <w:r>
        <w:rPr>
          <w:rFonts w:hint="default" w:ascii="Times New Roman" w:hAnsi="Times New Roman" w:eastAsia="宋体" w:cs="Times New Roman"/>
          <w:sz w:val="24"/>
          <w:szCs w:val="24"/>
          <w:lang w:val="en-US" w:eastAsia="zh-CN" w:bidi="ar-SA"/>
        </w:rPr>
        <w:t>参选保证金</w:t>
      </w:r>
    </w:p>
    <w:p>
      <w:pPr>
        <w:pStyle w:val="10"/>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参选保证金有效期：90日历天。</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2.</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对于未能按要求提交保证金的参选文件，比选单位可以视为不符合上面比选要求而予以拒绝；</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3.</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比选结束退还未中选者的比选保证金（无息），最迟不超过规定的比选有效期满后的20天；</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4.</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中选者的参选保证金（无息），将在合同签订后自动转为履约保证金，将于合同周期完成后15个工作日内，甲方无息退还履约保证金；</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5.</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如有下列情况发生，将被没收参选保证金：</w:t>
      </w:r>
    </w:p>
    <w:p>
      <w:pPr>
        <w:pStyle w:val="10"/>
        <w:spacing w:line="360" w:lineRule="auto"/>
        <w:ind w:left="1190" w:leftChars="254" w:right="121" w:hanging="631" w:hangingChars="26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（1）参选单位在参选有效期内撤回参选文件；</w:t>
      </w:r>
    </w:p>
    <w:p>
      <w:pPr>
        <w:pStyle w:val="3"/>
        <w:spacing w:line="360" w:lineRule="auto"/>
        <w:ind w:left="1308" w:leftChars="300" w:hanging="648" w:hangingChars="270"/>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（2）参选单位未能按接到中标通知书后规定的时间内签定合同。</w:t>
      </w:r>
    </w:p>
    <w:p>
      <w:pPr>
        <w:pStyle w:val="3"/>
        <w:keepNext w:val="0"/>
        <w:keepLines w:val="0"/>
        <w:pageBreakBefore w:val="0"/>
        <w:widowControl w:val="0"/>
        <w:kinsoku/>
        <w:wordWrap/>
        <w:overflowPunct/>
        <w:topLinePunct w:val="0"/>
        <w:autoSpaceDE w:val="0"/>
        <w:autoSpaceDN w:val="0"/>
        <w:bidi w:val="0"/>
        <w:adjustRightInd/>
        <w:snapToGrid/>
        <w:spacing w:before="0" w:beforeLines="50" w:line="360" w:lineRule="auto"/>
        <w:ind w:left="539" w:leftChars="0" w:right="0" w:rightChars="0" w:firstLine="0" w:firstLineChars="0"/>
        <w:jc w:val="left"/>
        <w:textAlignment w:val="auto"/>
        <w:outlineLvl w:val="0"/>
        <w:rPr>
          <w:rFonts w:hint="default" w:ascii="Times New Roman" w:hAnsi="Times New Roman" w:eastAsia="宋体" w:cs="Times New Roman"/>
          <w:b/>
          <w:bCs/>
          <w:sz w:val="24"/>
          <w:szCs w:val="24"/>
          <w:lang w:val="en-US" w:eastAsia="zh-CN" w:bidi="ar-SA"/>
        </w:rPr>
      </w:pPr>
      <w:r>
        <w:rPr>
          <w:rFonts w:hint="default" w:ascii="Times New Roman" w:hAnsi="Times New Roman" w:eastAsia="宋体" w:cs="Times New Roman"/>
          <w:b/>
          <w:bCs/>
          <w:sz w:val="24"/>
          <w:szCs w:val="24"/>
          <w:lang w:val="en-US" w:eastAsia="zh-CN" w:bidi="ar-SA"/>
        </w:rPr>
        <w:t>八、参选文件的递交</w:t>
      </w:r>
    </w:p>
    <w:p>
      <w:pPr>
        <w:pStyle w:val="4"/>
        <w:tabs>
          <w:tab w:val="left" w:pos="6879"/>
        </w:tabs>
        <w:spacing w:line="360" w:lineRule="auto"/>
        <w:ind w:left="0" w:right="106" w:firstLine="472"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1.参选文件递交的截止时间：见比选公告</w:t>
      </w:r>
    </w:p>
    <w:p>
      <w:pPr>
        <w:pStyle w:val="4"/>
        <w:tabs>
          <w:tab w:val="left" w:pos="6879"/>
        </w:tabs>
        <w:spacing w:line="360" w:lineRule="auto"/>
        <w:ind w:left="0" w:right="106" w:firstLine="472" w:firstLineChars="196"/>
        <w:rPr>
          <w:rFonts w:hint="default" w:ascii="Times New Roman" w:hAnsi="Times New Roman" w:eastAsia="宋体" w:cs="Times New Roman"/>
          <w:spacing w:val="-57"/>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4"/>
          <w:sz w:val="24"/>
          <w:szCs w:val="24"/>
          <w:lang w:eastAsia="zh-CN"/>
        </w:rPr>
        <w:t>递交</w:t>
      </w:r>
      <w:r>
        <w:rPr>
          <w:rFonts w:hint="default" w:ascii="Times New Roman" w:hAnsi="Times New Roman" w:eastAsia="宋体" w:cs="Times New Roman"/>
          <w:sz w:val="24"/>
          <w:szCs w:val="24"/>
          <w:lang w:eastAsia="zh-CN"/>
        </w:rPr>
        <w:t>参</w:t>
      </w:r>
      <w:r>
        <w:rPr>
          <w:rFonts w:hint="default" w:ascii="Times New Roman" w:hAnsi="Times New Roman" w:eastAsia="宋体" w:cs="Times New Roman"/>
          <w:spacing w:val="4"/>
          <w:sz w:val="24"/>
          <w:szCs w:val="24"/>
          <w:lang w:eastAsia="zh-CN"/>
        </w:rPr>
        <w:t>选文件的地</w:t>
      </w:r>
      <w:r>
        <w:rPr>
          <w:rFonts w:hint="default" w:ascii="Times New Roman" w:hAnsi="Times New Roman" w:eastAsia="宋体" w:cs="Times New Roman"/>
          <w:sz w:val="24"/>
          <w:szCs w:val="24"/>
          <w:lang w:eastAsia="zh-CN"/>
        </w:rPr>
        <w:t>点</w:t>
      </w:r>
      <w:r>
        <w:rPr>
          <w:rFonts w:hint="default" w:ascii="Times New Roman" w:hAnsi="Times New Roman" w:eastAsia="宋体" w:cs="Times New Roman"/>
          <w:spacing w:val="4"/>
          <w:sz w:val="24"/>
          <w:szCs w:val="24"/>
          <w:lang w:eastAsia="zh-CN"/>
        </w:rPr>
        <w:t>为：漳州市漳浦县杜浔镇杜昌路9号</w:t>
      </w:r>
    </w:p>
    <w:p>
      <w:pPr>
        <w:pStyle w:val="4"/>
        <w:tabs>
          <w:tab w:val="left" w:pos="6879"/>
        </w:tabs>
        <w:spacing w:line="360" w:lineRule="auto"/>
        <w:ind w:left="119" w:leftChars="54" w:right="106" w:firstLine="834" w:firstLineChars="346"/>
        <w:rPr>
          <w:rFonts w:hint="default" w:ascii="Times New Roman" w:hAnsi="Times New Roman" w:eastAsia="宋体" w:cs="Times New Roman"/>
          <w:spacing w:val="-4"/>
          <w:sz w:val="24"/>
          <w:szCs w:val="24"/>
          <w:lang w:eastAsia="zh-CN"/>
        </w:rPr>
      </w:pPr>
      <w:r>
        <w:rPr>
          <w:rFonts w:hint="default" w:ascii="Times New Roman" w:hAnsi="Times New Roman" w:eastAsia="宋体" w:cs="Times New Roman"/>
          <w:sz w:val="24"/>
          <w:szCs w:val="24"/>
          <w:lang w:eastAsia="zh-CN"/>
        </w:rPr>
        <w:t>商务联系人</w:t>
      </w:r>
      <w:r>
        <w:rPr>
          <w:rFonts w:hint="default" w:ascii="Times New Roman" w:hAnsi="Times New Roman" w:eastAsia="宋体" w:cs="Times New Roman"/>
          <w:spacing w:val="-56"/>
          <w:sz w:val="24"/>
          <w:szCs w:val="24"/>
          <w:lang w:eastAsia="zh-CN"/>
        </w:rPr>
        <w:t>：</w:t>
      </w:r>
      <w:r>
        <w:rPr>
          <w:rFonts w:hint="default" w:ascii="Times New Roman" w:hAnsi="Times New Roman" w:eastAsia="宋体" w:cs="Times New Roman"/>
          <w:spacing w:val="-56"/>
          <w:sz w:val="24"/>
          <w:szCs w:val="24"/>
          <w:lang w:val="en-US" w:eastAsia="zh-CN"/>
        </w:rPr>
        <w:t>黄梅钦</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pacing w:val="-6"/>
          <w:sz w:val="24"/>
          <w:szCs w:val="24"/>
          <w:lang w:eastAsia="zh-CN"/>
        </w:rPr>
        <w:t xml:space="preserve"> </w:t>
      </w:r>
      <w:r>
        <w:rPr>
          <w:rFonts w:hint="default" w:ascii="Times New Roman" w:hAnsi="Times New Roman" w:eastAsia="宋体" w:cs="Times New Roman"/>
          <w:sz w:val="24"/>
          <w:szCs w:val="24"/>
          <w:lang w:eastAsia="zh-CN"/>
        </w:rPr>
        <w:t>电话</w:t>
      </w:r>
      <w:r>
        <w:rPr>
          <w:rFonts w:hint="default" w:ascii="Times New Roman" w:hAnsi="Times New Roman" w:eastAsia="宋体" w:cs="Times New Roman"/>
          <w:spacing w:val="-4"/>
          <w:sz w:val="24"/>
          <w:szCs w:val="24"/>
          <w:lang w:eastAsia="zh-CN"/>
        </w:rPr>
        <w:t>：0596-6311</w:t>
      </w:r>
      <w:r>
        <w:rPr>
          <w:rFonts w:hint="default" w:ascii="Times New Roman" w:hAnsi="Times New Roman" w:eastAsia="宋体" w:cs="Times New Roman"/>
          <w:spacing w:val="-4"/>
          <w:sz w:val="24"/>
          <w:szCs w:val="24"/>
          <w:lang w:val="en-US" w:eastAsia="zh-CN"/>
        </w:rPr>
        <w:t>073</w:t>
      </w:r>
    </w:p>
    <w:p>
      <w:pPr>
        <w:pStyle w:val="4"/>
        <w:tabs>
          <w:tab w:val="left" w:pos="6879"/>
        </w:tabs>
        <w:spacing w:line="360" w:lineRule="auto"/>
        <w:ind w:left="119" w:leftChars="54" w:right="106" w:firstLine="806" w:firstLineChars="346"/>
        <w:rPr>
          <w:rFonts w:hint="default" w:ascii="Times New Roman" w:hAnsi="Times New Roman" w:eastAsia="宋体" w:cs="Times New Roman"/>
          <w:spacing w:val="-6"/>
          <w:sz w:val="24"/>
          <w:szCs w:val="24"/>
          <w:lang w:eastAsia="zh-CN"/>
        </w:rPr>
      </w:pPr>
      <w:r>
        <w:rPr>
          <w:rFonts w:hint="default" w:ascii="Times New Roman" w:hAnsi="Times New Roman" w:eastAsia="宋体" w:cs="Times New Roman"/>
          <w:spacing w:val="-4"/>
          <w:sz w:val="24"/>
          <w:szCs w:val="24"/>
          <w:lang w:eastAsia="zh-CN"/>
        </w:rPr>
        <w:t>技术联系人：</w:t>
      </w:r>
      <w:r>
        <w:rPr>
          <w:rFonts w:hint="eastAsia" w:ascii="Times New Roman" w:hAnsi="Times New Roman" w:cs="Times New Roman"/>
          <w:spacing w:val="-4"/>
          <w:sz w:val="24"/>
          <w:szCs w:val="24"/>
          <w:lang w:val="en-US" w:eastAsia="zh-CN"/>
        </w:rPr>
        <w:t>陈玉婷</w:t>
      </w:r>
      <w:r>
        <w:rPr>
          <w:rFonts w:hint="default" w:ascii="Times New Roman" w:hAnsi="Times New Roman" w:eastAsia="宋体" w:cs="Times New Roman"/>
          <w:spacing w:val="-4"/>
          <w:sz w:val="24"/>
          <w:szCs w:val="24"/>
          <w:lang w:eastAsia="zh-CN"/>
        </w:rPr>
        <w:t xml:space="preserve">  </w:t>
      </w:r>
      <w:r>
        <w:rPr>
          <w:rFonts w:hint="default" w:ascii="Times New Roman" w:hAnsi="Times New Roman" w:eastAsia="宋体" w:cs="Times New Roman"/>
          <w:spacing w:val="-4"/>
          <w:sz w:val="24"/>
          <w:szCs w:val="24"/>
          <w:lang w:val="en-US" w:eastAsia="zh-CN"/>
        </w:rPr>
        <w:t xml:space="preserve"> </w:t>
      </w:r>
      <w:r>
        <w:rPr>
          <w:rFonts w:hint="default" w:ascii="Times New Roman" w:hAnsi="Times New Roman" w:eastAsia="宋体" w:cs="Times New Roman"/>
          <w:spacing w:val="-4"/>
          <w:sz w:val="24"/>
          <w:szCs w:val="24"/>
          <w:lang w:eastAsia="zh-CN"/>
        </w:rPr>
        <w:t xml:space="preserve"> 电话：</w:t>
      </w:r>
      <w:r>
        <w:rPr>
          <w:rFonts w:hint="default" w:ascii="Times New Roman" w:hAnsi="Times New Roman" w:eastAsia="宋体" w:cs="Times New Roman"/>
          <w:sz w:val="24"/>
          <w:szCs w:val="24"/>
        </w:rPr>
        <w:t>1</w:t>
      </w:r>
      <w:r>
        <w:rPr>
          <w:rFonts w:hint="eastAsia" w:ascii="Times New Roman" w:hAnsi="Times New Roman" w:cs="Times New Roman"/>
          <w:sz w:val="24"/>
          <w:szCs w:val="24"/>
          <w:lang w:val="en-US" w:eastAsia="zh-CN"/>
        </w:rPr>
        <w:t>5880952778</w:t>
      </w:r>
    </w:p>
    <w:p>
      <w:pPr>
        <w:spacing w:line="360" w:lineRule="auto"/>
        <w:ind w:firstLine="482"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注：请使用顺丰快递或中国邮政( EMS) 快递，其他快递不能保证送达目的地。</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 </w:t>
      </w:r>
      <w:r>
        <w:rPr>
          <w:rFonts w:hint="default" w:ascii="Times New Roman" w:hAnsi="Times New Roman" w:eastAsia="宋体" w:cs="Times New Roman"/>
          <w:spacing w:val="-9"/>
          <w:sz w:val="24"/>
          <w:szCs w:val="24"/>
          <w:lang w:eastAsia="zh-CN"/>
        </w:rPr>
        <w:t>参选人收到比选文件后，如有疑问要澄清，请以书面形式在规定时间内报比选人汇总。</w:t>
      </w:r>
    </w:p>
    <w:p>
      <w:pPr>
        <w:pStyle w:val="10"/>
        <w:spacing w:line="360" w:lineRule="auto"/>
        <w:ind w:right="106"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4. </w:t>
      </w:r>
      <w:r>
        <w:rPr>
          <w:rFonts w:hint="default" w:ascii="Times New Roman" w:hAnsi="Times New Roman" w:eastAsia="宋体" w:cs="Times New Roman"/>
          <w:spacing w:val="-6"/>
          <w:sz w:val="24"/>
          <w:szCs w:val="24"/>
          <w:lang w:eastAsia="zh-CN"/>
        </w:rPr>
        <w:t>参选人对比选人提供的比选文件所做出的推论、解释和结论，比选人概不负责。参</w:t>
      </w:r>
      <w:r>
        <w:rPr>
          <w:rFonts w:hint="default" w:ascii="Times New Roman" w:hAnsi="Times New Roman" w:eastAsia="宋体" w:cs="Times New Roman"/>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九、异议</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sz w:val="24"/>
          <w:szCs w:val="24"/>
          <w:lang w:eastAsia="zh-CN"/>
        </w:rPr>
        <w:t>潜在参选人或参选人及其他利害关系人对比选文件或比选结果有异议的，应当在规定的期限内以书面的形式向比选人提出。</w:t>
      </w:r>
      <w:r>
        <w:rPr>
          <w:rFonts w:hint="default" w:ascii="Times New Roman" w:hAnsi="Times New Roman" w:eastAsia="宋体" w:cs="Times New Roman"/>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有下列情形之一的异议，不予受理：</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（1）</w:t>
      </w:r>
      <w:r>
        <w:rPr>
          <w:rFonts w:hint="default" w:ascii="Times New Roman" w:hAnsi="Times New Roman" w:eastAsia="宋体" w:cs="Times New Roman"/>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（2）</w:t>
      </w:r>
      <w:r>
        <w:rPr>
          <w:rFonts w:hint="default" w:ascii="Times New Roman" w:hAnsi="Times New Roman" w:eastAsia="宋体" w:cs="Times New Roman"/>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（3）</w:t>
      </w:r>
      <w:r>
        <w:rPr>
          <w:rFonts w:hint="default" w:ascii="Times New Roman" w:hAnsi="Times New Roman" w:eastAsia="宋体" w:cs="Times New Roman"/>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bCs/>
          <w:color w:val="000000"/>
          <w:sz w:val="24"/>
          <w:szCs w:val="24"/>
          <w:lang w:eastAsia="zh-CN"/>
        </w:rPr>
        <w:t>（4）</w:t>
      </w:r>
      <w:r>
        <w:rPr>
          <w:rFonts w:hint="default" w:ascii="Times New Roman" w:hAnsi="Times New Roman" w:eastAsia="宋体" w:cs="Times New Roman"/>
          <w:bCs/>
          <w:sz w:val="24"/>
          <w:szCs w:val="24"/>
          <w:lang w:eastAsia="zh-CN"/>
        </w:rPr>
        <w:t>超过异议时效的。</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十、</w:t>
      </w:r>
      <w:r>
        <w:rPr>
          <w:rFonts w:hint="default" w:ascii="Times New Roman" w:hAnsi="Times New Roman" w:eastAsia="宋体" w:cs="Times New Roman"/>
          <w:sz w:val="24"/>
          <w:szCs w:val="24"/>
          <w:lang w:eastAsia="zh-CN"/>
        </w:rPr>
        <w:t>最高控制价及投标报价要求</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lang w:eastAsia="zh-CN"/>
        </w:rPr>
        <w:t>1、本项目最高限价为人民币</w:t>
      </w:r>
      <w:r>
        <w:rPr>
          <w:rFonts w:hint="eastAsia" w:ascii="Times New Roman" w:hAnsi="Times New Roman" w:cs="Times New Roman"/>
          <w:b/>
          <w:bCs/>
          <w:sz w:val="24"/>
          <w:szCs w:val="24"/>
          <w:lang w:val="en-US" w:eastAsia="zh-CN"/>
        </w:rPr>
        <w:t>156</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eastAsia="zh-CN"/>
        </w:rPr>
        <w:t>000</w:t>
      </w:r>
      <w:r>
        <w:rPr>
          <w:rFonts w:hint="default" w:ascii="Times New Roman" w:hAnsi="Times New Roman" w:eastAsia="宋体" w:cs="Times New Roman"/>
          <w:b/>
          <w:bCs/>
          <w:sz w:val="24"/>
          <w:szCs w:val="24"/>
          <w:lang w:val="en-US" w:eastAsia="zh-CN"/>
        </w:rPr>
        <w:t>.00</w:t>
      </w:r>
      <w:r>
        <w:rPr>
          <w:rFonts w:hint="default" w:ascii="Times New Roman" w:hAnsi="Times New Roman" w:eastAsia="宋体" w:cs="Times New Roman"/>
          <w:b/>
          <w:bCs/>
          <w:sz w:val="24"/>
          <w:szCs w:val="24"/>
          <w:lang w:eastAsia="zh-CN"/>
        </w:rPr>
        <w:t>元</w:t>
      </w:r>
      <w:r>
        <w:rPr>
          <w:rFonts w:hint="default" w:ascii="Times New Roman" w:hAnsi="Times New Roman" w:eastAsia="宋体" w:cs="Times New Roman"/>
          <w:b/>
          <w:sz w:val="24"/>
          <w:szCs w:val="24"/>
          <w:lang w:eastAsia="zh-CN"/>
        </w:rPr>
        <w:t>（</w:t>
      </w:r>
      <w:r>
        <w:rPr>
          <w:rFonts w:hint="eastAsia" w:ascii="Times New Roman" w:hAnsi="Times New Roman" w:cs="Times New Roman"/>
          <w:b/>
          <w:sz w:val="24"/>
          <w:szCs w:val="24"/>
          <w:lang w:val="en-US" w:eastAsia="zh-CN"/>
        </w:rPr>
        <w:t>含</w:t>
      </w:r>
      <w:r>
        <w:rPr>
          <w:rFonts w:hint="default" w:ascii="Times New Roman" w:hAnsi="Times New Roman" w:eastAsia="宋体" w:cs="Times New Roman"/>
          <w:b/>
          <w:sz w:val="24"/>
          <w:szCs w:val="24"/>
          <w:lang w:eastAsia="zh-CN"/>
        </w:rPr>
        <w:t>税价）</w:t>
      </w:r>
      <w:r>
        <w:rPr>
          <w:rFonts w:hint="default" w:ascii="Times New Roman" w:hAnsi="Times New Roman" w:eastAsia="宋体" w:cs="Times New Roman"/>
          <w:bCs/>
          <w:sz w:val="24"/>
          <w:szCs w:val="24"/>
          <w:lang w:eastAsia="zh-CN"/>
        </w:rPr>
        <w:t>。参选人所填报的参选</w:t>
      </w:r>
      <w:r>
        <w:rPr>
          <w:rFonts w:hint="eastAsia" w:ascii="Times New Roman" w:hAnsi="Times New Roman" w:cs="Times New Roman"/>
          <w:bCs/>
          <w:sz w:val="24"/>
          <w:szCs w:val="24"/>
          <w:lang w:val="en-US" w:eastAsia="zh-CN"/>
        </w:rPr>
        <w:t>未</w:t>
      </w:r>
      <w:r>
        <w:rPr>
          <w:rFonts w:hint="default" w:ascii="Times New Roman" w:hAnsi="Times New Roman" w:eastAsia="宋体" w:cs="Times New Roman"/>
          <w:bCs/>
          <w:sz w:val="24"/>
          <w:szCs w:val="24"/>
          <w:lang w:val="en-US" w:eastAsia="zh-CN"/>
        </w:rPr>
        <w:t>税</w:t>
      </w:r>
      <w:r>
        <w:rPr>
          <w:rFonts w:hint="default" w:ascii="Times New Roman" w:hAnsi="Times New Roman" w:eastAsia="宋体" w:cs="Times New Roman"/>
          <w:bCs/>
          <w:sz w:val="24"/>
          <w:szCs w:val="24"/>
          <w:lang w:eastAsia="zh-CN"/>
        </w:rPr>
        <w:t>总价高于本项目最高限价的，其参选将被评标委员会予以否决</w:t>
      </w:r>
      <w:r>
        <w:rPr>
          <w:rFonts w:hint="default" w:ascii="Times New Roman" w:hAnsi="Times New Roman" w:eastAsia="宋体" w:cs="Times New Roman"/>
          <w:sz w:val="24"/>
          <w:szCs w:val="24"/>
          <w:lang w:eastAsia="zh-CN"/>
        </w:rPr>
        <w:t>。</w:t>
      </w:r>
    </w:p>
    <w:p>
      <w:pPr>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hint="default" w:ascii="Times New Roman" w:hAnsi="Times New Roman" w:eastAsia="宋体" w:cs="Times New Roman"/>
          <w:sz w:val="24"/>
          <w:szCs w:val="24"/>
        </w:rPr>
      </w:pPr>
      <w:r>
        <w:rPr>
          <w:rFonts w:hint="default" w:ascii="Times New Roman" w:hAnsi="Times New Roman" w:eastAsia="宋体" w:cs="Times New Roman"/>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第三章   </w:t>
      </w:r>
      <w:r>
        <w:rPr>
          <w:rFonts w:hint="default" w:ascii="Times New Roman" w:hAnsi="Times New Roman" w:eastAsia="宋体" w:cs="Times New Roman"/>
          <w:spacing w:val="-1"/>
          <w:w w:val="95"/>
          <w:sz w:val="28"/>
          <w:szCs w:val="28"/>
          <w:lang w:eastAsia="zh-CN"/>
        </w:rPr>
        <w:t>参选文</w:t>
      </w:r>
      <w:r>
        <w:rPr>
          <w:rFonts w:hint="default" w:ascii="Times New Roman" w:hAnsi="Times New Roman" w:eastAsia="宋体" w:cs="Times New Roman"/>
          <w:w w:val="95"/>
          <w:sz w:val="28"/>
          <w:szCs w:val="28"/>
          <w:lang w:eastAsia="zh-CN"/>
        </w:rPr>
        <w:t>件的编制</w:t>
      </w:r>
    </w:p>
    <w:p>
      <w:pPr>
        <w:pStyle w:val="10"/>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7"/>
        <w:numPr>
          <w:ilvl w:val="0"/>
          <w:numId w:val="2"/>
        </w:numPr>
        <w:spacing w:before="0" w:line="360" w:lineRule="auto"/>
        <w:ind w:left="993" w:leftChars="-18" w:hanging="1033" w:firstLineChars="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参选文件的组成：（</w:t>
      </w:r>
      <w:r>
        <w:rPr>
          <w:rFonts w:hint="default" w:ascii="Times New Roman" w:hAnsi="Times New Roman" w:eastAsia="宋体" w:cs="Times New Roman"/>
          <w:kern w:val="59"/>
          <w:sz w:val="24"/>
          <w:szCs w:val="24"/>
          <w:lang w:eastAsia="zh-CN"/>
        </w:rPr>
        <w:t>包括但不限于</w:t>
      </w:r>
      <w:r>
        <w:rPr>
          <w:rFonts w:hint="default" w:ascii="Times New Roman" w:hAnsi="Times New Roman" w:eastAsia="宋体" w:cs="Times New Roman"/>
          <w:b/>
          <w:w w:val="95"/>
          <w:sz w:val="24"/>
          <w:szCs w:val="24"/>
          <w:lang w:eastAsia="zh-CN"/>
        </w:rPr>
        <w:t>）</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1）参选书及附录；</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2）参选承诺书；</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3）法定代表人及企业资格证明书；</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4）授权委托书；</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5）企业简况；</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6）按本须知规定提供的其它资料。</w:t>
      </w:r>
    </w:p>
    <w:p>
      <w:pPr>
        <w:pStyle w:val="10"/>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以上各项内容</w:t>
      </w:r>
      <w:r>
        <w:rPr>
          <w:rFonts w:hint="default" w:ascii="Times New Roman" w:hAnsi="Times New Roman" w:eastAsia="宋体" w:cs="Times New Roman"/>
          <w:b/>
          <w:bCs/>
          <w:sz w:val="24"/>
          <w:szCs w:val="24"/>
          <w:lang w:eastAsia="zh-CN"/>
        </w:rPr>
        <w:t>装订成册</w:t>
      </w:r>
      <w:r>
        <w:rPr>
          <w:rFonts w:hint="default" w:ascii="Times New Roman" w:hAnsi="Times New Roman" w:eastAsia="宋体" w:cs="Times New Roman"/>
          <w:sz w:val="24"/>
          <w:szCs w:val="24"/>
          <w:lang w:eastAsia="zh-CN"/>
        </w:rPr>
        <w:t>密封并加盖公章（一正两副）。即</w:t>
      </w:r>
      <w:r>
        <w:rPr>
          <w:rFonts w:hint="default" w:ascii="Times New Roman" w:hAnsi="Times New Roman" w:eastAsia="宋体" w:cs="Times New Roman"/>
          <w:b/>
          <w:sz w:val="24"/>
          <w:szCs w:val="24"/>
          <w:u w:val="double"/>
          <w:lang w:eastAsia="zh-CN"/>
        </w:rPr>
        <w:t>参选文件正本及副本密封在一个信封</w:t>
      </w:r>
      <w:r>
        <w:rPr>
          <w:rFonts w:hint="default" w:ascii="Times New Roman" w:hAnsi="Times New Roman" w:eastAsia="宋体" w:cs="Times New Roman"/>
          <w:sz w:val="24"/>
          <w:szCs w:val="24"/>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sz w:val="24"/>
          <w:szCs w:val="24"/>
          <w:lang w:eastAsia="zh-CN"/>
        </w:rPr>
        <w:t>注：需提供参选文件及报价表电子版一份（盖章PDF版），报价表须独立盖章密封</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二、参选书格式内容</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参选人应仔细阅读比选文件的所有内容，按照比选文件的要求提交参选文件。参选文件应对比选文件的要求作出实质性响应，并保证所提供的全部资料的真实性，否则，</w:t>
      </w:r>
      <w:r>
        <w:rPr>
          <w:rFonts w:hint="default" w:ascii="Times New Roman" w:hAnsi="Times New Roman" w:eastAsia="宋体" w:cs="Times New Roman"/>
          <w:b/>
          <w:sz w:val="24"/>
          <w:szCs w:val="24"/>
          <w:lang w:eastAsia="zh-CN"/>
        </w:rPr>
        <w:t>其参选将被拒绝。</w:t>
      </w:r>
      <w:r>
        <w:rPr>
          <w:rFonts w:hint="default" w:ascii="Times New Roman" w:hAnsi="Times New Roman" w:eastAsia="宋体" w:cs="Times New Roman"/>
          <w:sz w:val="24"/>
          <w:szCs w:val="24"/>
          <w:lang w:eastAsia="zh-CN"/>
        </w:rPr>
        <w:t>参选人应按附件二格式内容要求进行参选文件的编制，完整提供比选文件附件二所规定的全部资格证明文件并按规定盖章和签署。</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备注：参选人应向比选人提供内容一致的</w:t>
      </w:r>
      <w:r>
        <w:rPr>
          <w:rFonts w:hint="default" w:ascii="Times New Roman" w:hAnsi="Times New Roman" w:eastAsia="宋体" w:cs="Times New Roman"/>
          <w:sz w:val="24"/>
          <w:szCs w:val="24"/>
          <w:u w:val="single"/>
          <w:lang w:eastAsia="zh-CN"/>
        </w:rPr>
        <w:t xml:space="preserve"> 3套 </w:t>
      </w:r>
      <w:r>
        <w:rPr>
          <w:rFonts w:hint="default" w:ascii="Times New Roman" w:hAnsi="Times New Roman" w:eastAsia="宋体" w:cs="Times New Roman"/>
          <w:sz w:val="24"/>
          <w:szCs w:val="24"/>
          <w:lang w:eastAsia="zh-CN"/>
        </w:rPr>
        <w:t>参选文件。</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三、参选报价</w:t>
      </w:r>
    </w:p>
    <w:p>
      <w:pPr>
        <w:pStyle w:val="10"/>
        <w:spacing w:line="360" w:lineRule="auto"/>
        <w:ind w:right="221" w:firstLine="476"/>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eastAsia="zh-CN"/>
        </w:rPr>
        <w:t>参选人须按要求进行报价</w:t>
      </w:r>
      <w:r>
        <w:rPr>
          <w:rFonts w:hint="default" w:ascii="Times New Roman" w:hAnsi="Times New Roman" w:eastAsia="宋体" w:cs="Times New Roman"/>
          <w:spacing w:val="-29"/>
          <w:sz w:val="24"/>
          <w:szCs w:val="24"/>
          <w:lang w:eastAsia="zh-CN"/>
        </w:rPr>
        <w:t>，</w:t>
      </w:r>
      <w:r>
        <w:rPr>
          <w:rFonts w:hint="default" w:ascii="Times New Roman" w:hAnsi="Times New Roman" w:eastAsia="宋体" w:cs="Times New Roman"/>
          <w:spacing w:val="-4"/>
          <w:sz w:val="24"/>
          <w:szCs w:val="24"/>
          <w:lang w:eastAsia="zh-CN"/>
        </w:rPr>
        <w:t>对参选报价负责。参选报价应加盖参选人印章，字迹清晰，否则视为无效。</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四、特别说明</w:t>
      </w:r>
    </w:p>
    <w:p>
      <w:pPr>
        <w:pStyle w:val="10"/>
        <w:spacing w:line="360" w:lineRule="auto"/>
        <w:ind w:left="119" w:leftChars="54" w:right="22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5"/>
          <w:sz w:val="24"/>
          <w:szCs w:val="24"/>
          <w:lang w:eastAsia="zh-CN"/>
        </w:rPr>
        <w:t>参选人承担所有与准备和参加比选有关的费用。</w:t>
      </w:r>
      <w:r>
        <w:rPr>
          <w:rFonts w:hint="default" w:ascii="Times New Roman" w:hAnsi="Times New Roman" w:eastAsia="宋体" w:cs="Times New Roman"/>
          <w:sz w:val="24"/>
          <w:szCs w:val="24"/>
          <w:lang w:eastAsia="zh-CN"/>
        </w:rPr>
        <w:t>无论比选过程中的作法和结果如何，</w:t>
      </w:r>
      <w:r>
        <w:rPr>
          <w:rFonts w:hint="default" w:ascii="Times New Roman" w:hAnsi="Times New Roman" w:eastAsia="宋体" w:cs="Times New Roman"/>
          <w:spacing w:val="-5"/>
          <w:sz w:val="24"/>
          <w:szCs w:val="24"/>
          <w:lang w:eastAsia="zh-CN"/>
        </w:rPr>
        <w:t>比选机构和比选人均无义务和责任承担这些费用，参选</w:t>
      </w:r>
      <w:r>
        <w:rPr>
          <w:rFonts w:hint="default" w:ascii="Times New Roman" w:hAnsi="Times New Roman" w:eastAsia="宋体" w:cs="Times New Roman"/>
          <w:sz w:val="24"/>
          <w:szCs w:val="24"/>
          <w:lang w:eastAsia="zh-CN"/>
        </w:rPr>
        <w:t>人应自行承担所有与参加投标有关的全部费用。</w:t>
      </w:r>
    </w:p>
    <w:p>
      <w:pPr>
        <w:pStyle w:val="10"/>
        <w:spacing w:line="360" w:lineRule="auto"/>
        <w:ind w:left="119" w:right="224" w:firstLine="48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9"/>
          <w:sz w:val="24"/>
          <w:szCs w:val="24"/>
          <w:lang w:eastAsia="zh-CN"/>
        </w:rPr>
        <w:t>参选人收到比选文件后，如有疑问需要澄清，请以书面形式在规定时间内报比选人汇总。</w:t>
      </w:r>
    </w:p>
    <w:p>
      <w:pPr>
        <w:pStyle w:val="10"/>
        <w:spacing w:line="360" w:lineRule="auto"/>
        <w:ind w:left="119" w:right="226" w:firstLine="482"/>
        <w:jc w:val="both"/>
        <w:rPr>
          <w:rFonts w:hint="default" w:ascii="Times New Roman" w:hAnsi="Times New Roman" w:eastAsia="宋体" w:cs="Times New Roman"/>
          <w:spacing w:val="-9"/>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6"/>
          <w:sz w:val="24"/>
          <w:szCs w:val="24"/>
          <w:lang w:eastAsia="zh-CN"/>
        </w:rPr>
        <w:t>参选人对比选人提供的比选文件所做出的推论、解释和结论，比选人概不负责。参</w:t>
      </w:r>
      <w:r>
        <w:rPr>
          <w:rFonts w:hint="default" w:ascii="Times New Roman" w:hAnsi="Times New Roman" w:eastAsia="宋体" w:cs="Times New Roman"/>
          <w:spacing w:val="-9"/>
          <w:sz w:val="24"/>
          <w:szCs w:val="24"/>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rFonts w:hint="default" w:ascii="Times New Roman" w:hAnsi="Times New Roman" w:eastAsia="宋体" w:cs="Times New Roman"/>
          <w:b/>
          <w:bCs/>
          <w:sz w:val="24"/>
          <w:szCs w:val="24"/>
          <w:u w:val="double"/>
          <w:lang w:eastAsia="zh-CN"/>
        </w:rPr>
      </w:pPr>
      <w:r>
        <w:rPr>
          <w:rFonts w:hint="default" w:ascii="Times New Roman" w:hAnsi="Times New Roman" w:eastAsia="宋体" w:cs="Times New Roman"/>
          <w:spacing w:val="-9"/>
          <w:sz w:val="24"/>
          <w:szCs w:val="24"/>
          <w:lang w:eastAsia="zh-CN"/>
        </w:rPr>
        <w:t>4.</w:t>
      </w:r>
      <w:r>
        <w:rPr>
          <w:rFonts w:hint="default" w:ascii="Times New Roman" w:hAnsi="Times New Roman" w:eastAsia="宋体" w:cs="Times New Roman"/>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5.参选</w:t>
      </w:r>
      <w:r>
        <w:rPr>
          <w:rFonts w:hint="default" w:ascii="Times New Roman" w:hAnsi="Times New Roman" w:eastAsia="宋体" w:cs="Times New Roman"/>
          <w:bCs/>
          <w:sz w:val="24"/>
          <w:szCs w:val="24"/>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 参选文件对比选文件未提出异议的条款，均被视为参选人已接受和同意。参选文件与比选文件有差异之处，均应按“偏离表”的格式统一汇总说明。</w:t>
      </w:r>
      <w:bookmarkStart w:id="0" w:name="_Toc430490619"/>
      <w:bookmarkStart w:id="1" w:name="_Toc304357904"/>
      <w:bookmarkStart w:id="2" w:name="_Toc430489126"/>
      <w:bookmarkStart w:id="3" w:name="_Toc430488651"/>
      <w:bookmarkStart w:id="4" w:name="_Toc430492133"/>
      <w:bookmarkStart w:id="5" w:name="_Toc177186249"/>
      <w:bookmarkStart w:id="6" w:name="_Toc415567504"/>
      <w:bookmarkStart w:id="7" w:name="_Toc430488858"/>
      <w:bookmarkStart w:id="8" w:name="_Toc430422420"/>
    </w:p>
    <w:p>
      <w:pPr>
        <w:pStyle w:val="10"/>
        <w:spacing w:line="360" w:lineRule="auto"/>
        <w:ind w:right="227" w:firstLine="482"/>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7.1 参选人应在参选文件所附的参选报价表上写明参</w:t>
      </w:r>
      <w:r>
        <w:rPr>
          <w:rFonts w:hint="default" w:ascii="Times New Roman" w:hAnsi="Times New Roman" w:eastAsia="宋体" w:cs="Times New Roman"/>
          <w:sz w:val="24"/>
          <w:szCs w:val="24"/>
          <w:highlight w:val="none"/>
          <w:lang w:eastAsia="zh-CN"/>
        </w:rPr>
        <w:t>选</w:t>
      </w:r>
      <w:r>
        <w:rPr>
          <w:rFonts w:hint="default" w:ascii="Times New Roman" w:hAnsi="Times New Roman" w:eastAsia="宋体" w:cs="Times New Roman"/>
          <w:b/>
          <w:sz w:val="24"/>
          <w:szCs w:val="24"/>
          <w:highlight w:val="none"/>
          <w:lang w:eastAsia="zh-CN"/>
        </w:rPr>
        <w:t>价格</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7.2 参选报价将按照参选文件第</w:t>
      </w:r>
      <w:r>
        <w:rPr>
          <w:rFonts w:hint="default" w:ascii="Times New Roman" w:hAnsi="Times New Roman" w:eastAsia="宋体" w:cs="Times New Roman"/>
          <w:b/>
          <w:sz w:val="24"/>
          <w:szCs w:val="24"/>
          <w:lang w:eastAsia="zh-CN"/>
        </w:rPr>
        <w:t>4</w:t>
      </w:r>
      <w:r>
        <w:rPr>
          <w:rFonts w:hint="default" w:ascii="Times New Roman" w:hAnsi="Times New Roman" w:eastAsia="宋体" w:cs="Times New Roman"/>
          <w:sz w:val="24"/>
          <w:szCs w:val="24"/>
          <w:lang w:eastAsia="zh-CN"/>
        </w:rPr>
        <w:t>章“评选规则”的规定进行。</w:t>
      </w:r>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7.3 除非另有规定或许可，国内参选人应用人民币报价。</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7.4</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sz w:val="24"/>
          <w:szCs w:val="24"/>
          <w:lang w:eastAsia="zh-CN"/>
        </w:rPr>
        <w:t>参选人对每项内容只允许有一个报价，比选人不接受有任何选择的报价。</w:t>
      </w:r>
    </w:p>
    <w:p>
      <w:pPr>
        <w:pStyle w:val="10"/>
        <w:spacing w:line="360" w:lineRule="auto"/>
        <w:ind w:right="226" w:firstLine="480"/>
        <w:jc w:val="both"/>
        <w:rPr>
          <w:rFonts w:hint="default" w:ascii="Times New Roman" w:hAnsi="Times New Roman" w:eastAsia="宋体" w:cs="Times New Roman"/>
          <w:sz w:val="24"/>
          <w:szCs w:val="24"/>
          <w:highlight w:val="yellow"/>
          <w:lang w:eastAsia="zh-CN"/>
        </w:rPr>
      </w:pPr>
      <w:r>
        <w:rPr>
          <w:rFonts w:hint="default" w:ascii="Times New Roman" w:hAnsi="Times New Roman" w:eastAsia="宋体" w:cs="Times New Roman"/>
          <w:sz w:val="24"/>
          <w:szCs w:val="24"/>
          <w:lang w:eastAsia="zh-CN"/>
        </w:rPr>
        <w:t xml:space="preserve">7.5 </w:t>
      </w:r>
      <w:r>
        <w:rPr>
          <w:rFonts w:hint="default" w:ascii="Times New Roman" w:hAnsi="Times New Roman" w:eastAsia="宋体" w:cs="Times New Roman"/>
          <w:sz w:val="24"/>
          <w:szCs w:val="24"/>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9. 参选文件正本应按要求由经正式授权的参选人代表签字并加盖参选人公章。副本可以用复印件。</w:t>
      </w:r>
    </w:p>
    <w:p>
      <w:pPr>
        <w:pStyle w:val="2"/>
        <w:rPr>
          <w:rFonts w:hint="default" w:ascii="Times New Roman" w:hAnsi="Times New Roman" w:eastAsia="宋体" w:cs="Times New Roman"/>
          <w:b/>
          <w:sz w:val="24"/>
          <w:szCs w:val="24"/>
        </w:rPr>
      </w:pPr>
    </w:p>
    <w:p>
      <w:pPr>
        <w:pStyle w:val="3"/>
        <w:tabs>
          <w:tab w:val="left" w:pos="1488"/>
        </w:tabs>
        <w:spacing w:line="355" w:lineRule="exact"/>
        <w:ind w:left="365"/>
        <w:jc w:val="center"/>
        <w:rPr>
          <w:rFonts w:hint="default" w:ascii="Times New Roman" w:hAnsi="Times New Roman" w:eastAsia="宋体" w:cs="Times New Roman"/>
          <w:w w:val="95"/>
          <w:sz w:val="28"/>
          <w:szCs w:val="28"/>
          <w:lang w:eastAsia="zh-CN"/>
        </w:rPr>
      </w:pPr>
      <w:r>
        <w:rPr>
          <w:rFonts w:hint="default" w:ascii="Times New Roman" w:hAnsi="Times New Roman" w:eastAsia="宋体" w:cs="Times New Roman"/>
          <w:sz w:val="28"/>
          <w:szCs w:val="28"/>
          <w:lang w:eastAsia="zh-CN"/>
        </w:rPr>
        <w:t>第四章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评选规</w:t>
      </w:r>
      <w:r>
        <w:rPr>
          <w:rFonts w:hint="default" w:ascii="Times New Roman" w:hAnsi="Times New Roman" w:eastAsia="宋体" w:cs="Times New Roman"/>
          <w:w w:val="95"/>
          <w:sz w:val="28"/>
          <w:szCs w:val="28"/>
          <w:lang w:eastAsia="zh-CN"/>
        </w:rPr>
        <w:t>则</w:t>
      </w:r>
    </w:p>
    <w:p>
      <w:pPr>
        <w:spacing w:before="15" w:line="360" w:lineRule="auto"/>
        <w:ind w:firstLine="343" w:firstLineChars="15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一、规则</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1.比选人将先对参选人的资质进行评选，参选人资质符合比选人要求后，方可进行下一轮商务报价评选。</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2.参选人串选、相互勾结故意压低标价以排挤竞争对手的公平竞争的，其参选无效。</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替补候选人的设定与使用：在合同签订前，比选单位发现参选人的参选报价或服务范围有缺漏、实际应标产品或服务存在重大偏差、或参选材料存在欺诈行为时、或参选人因不可抗力或自身原因不能履行合同的，将有理由取消中选人资格，保留依法追究的权利； 并将依法确定后续排名的中选候选人，或重新进行比选。</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二、资格审查</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三、评选办法</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本项目设置最高控制价</w:t>
      </w:r>
      <w:r>
        <w:rPr>
          <w:rFonts w:hint="eastAsia" w:ascii="Times New Roman" w:hAnsi="Times New Roman" w:cs="Times New Roman"/>
          <w:b w:val="0"/>
          <w:bCs w:val="0"/>
          <w:sz w:val="24"/>
          <w:szCs w:val="24"/>
          <w:lang w:val="en-US" w:eastAsia="zh-CN"/>
        </w:rPr>
        <w:t>15</w:t>
      </w:r>
      <w:r>
        <w:rPr>
          <w:rFonts w:hint="default" w:ascii="Times New Roman" w:hAnsi="Times New Roman" w:eastAsia="宋体" w:cs="Times New Roman"/>
          <w:b w:val="0"/>
          <w:bCs w:val="0"/>
          <w:sz w:val="24"/>
          <w:szCs w:val="24"/>
          <w:lang w:val="en-US" w:eastAsia="zh-CN"/>
        </w:rPr>
        <w:t>6,</w:t>
      </w:r>
      <w:r>
        <w:rPr>
          <w:rFonts w:hint="default" w:ascii="Times New Roman" w:hAnsi="Times New Roman" w:eastAsia="宋体" w:cs="Times New Roman"/>
          <w:b w:val="0"/>
          <w:bCs w:val="0"/>
          <w:sz w:val="24"/>
          <w:szCs w:val="24"/>
          <w:lang w:eastAsia="zh-CN"/>
        </w:rPr>
        <w:t>000</w:t>
      </w:r>
      <w:r>
        <w:rPr>
          <w:rFonts w:hint="default" w:ascii="Times New Roman" w:hAnsi="Times New Roman" w:eastAsia="宋体" w:cs="Times New Roman"/>
          <w:b w:val="0"/>
          <w:bCs w:val="0"/>
          <w:sz w:val="24"/>
          <w:szCs w:val="24"/>
          <w:lang w:val="en-US" w:eastAsia="zh-CN"/>
        </w:rPr>
        <w:t>.00</w:t>
      </w:r>
      <w:r>
        <w:rPr>
          <w:rFonts w:hint="default" w:ascii="Times New Roman" w:hAnsi="Times New Roman" w:eastAsia="宋体" w:cs="Times New Roman"/>
          <w:b w:val="0"/>
          <w:bCs w:val="0"/>
          <w:sz w:val="24"/>
          <w:szCs w:val="24"/>
          <w:lang w:eastAsia="zh-CN"/>
        </w:rPr>
        <w:t>元</w:t>
      </w:r>
      <w:r>
        <w:rPr>
          <w:rFonts w:hint="default" w:ascii="Times New Roman" w:hAnsi="Times New Roman" w:eastAsia="宋体" w:cs="Times New Roman"/>
          <w:sz w:val="24"/>
          <w:szCs w:val="24"/>
          <w:lang w:eastAsia="zh-CN"/>
        </w:rPr>
        <w:t>。参选人所填报的</w:t>
      </w:r>
      <w:r>
        <w:rPr>
          <w:rFonts w:hint="default" w:ascii="Times New Roman" w:hAnsi="Times New Roman" w:eastAsia="宋体" w:cs="Times New Roman"/>
          <w:sz w:val="24"/>
          <w:szCs w:val="24"/>
          <w:lang w:val="en-US" w:eastAsia="zh-CN"/>
        </w:rPr>
        <w:t>包干未</w:t>
      </w:r>
      <w:r>
        <w:rPr>
          <w:rFonts w:hint="default" w:ascii="Times New Roman" w:hAnsi="Times New Roman" w:eastAsia="宋体" w:cs="Times New Roman"/>
          <w:sz w:val="24"/>
          <w:szCs w:val="24"/>
          <w:highlight w:val="none"/>
          <w:lang w:val="en-US" w:eastAsia="zh-CN"/>
        </w:rPr>
        <w:t>税</w:t>
      </w:r>
      <w:r>
        <w:rPr>
          <w:rFonts w:hint="default" w:ascii="Times New Roman" w:hAnsi="Times New Roman" w:eastAsia="宋体" w:cs="Times New Roman"/>
          <w:sz w:val="24"/>
          <w:szCs w:val="24"/>
          <w:lang w:eastAsia="zh-CN"/>
        </w:rPr>
        <w:t>报价高于本项目最高限价的，其参选将被比选小组予以否决。</w:t>
      </w:r>
    </w:p>
    <w:p>
      <w:pPr>
        <w:pStyle w:val="10"/>
        <w:spacing w:line="360" w:lineRule="auto"/>
        <w:ind w:left="120" w:right="22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本项目采用商务报价决标的评标办法，评选委员会将对通过资格的各合格参选人，进行商务报价的评选，</w:t>
      </w:r>
      <w:r>
        <w:rPr>
          <w:rFonts w:hint="default" w:ascii="Times New Roman" w:hAnsi="Times New Roman" w:eastAsia="宋体" w:cs="Times New Roman"/>
          <w:b/>
          <w:bCs/>
          <w:sz w:val="24"/>
          <w:szCs w:val="24"/>
          <w:lang w:eastAsia="zh-CN"/>
        </w:rPr>
        <w:t>未税总价最低者作为中选单位。</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四、以下情况作废选处理</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1.对比选文件提出的实质性要求和条件，参选文件未能在实质上响应的。</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2.参选文件存在重大偏差的。</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3.违反规定影响开选评选工作或采取其他方式对比选人施加影响的。</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4.参选人串标、相互勾结故意压低标价以排挤竞争对手的公平竞争的，其参选无效。</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五、评选</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2.在开选时没有启封和读出的参选文件，在评选时将不予考虑。</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3.比选人将做开选记录。</w:t>
      </w:r>
    </w:p>
    <w:p>
      <w:pPr>
        <w:pStyle w:val="2"/>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4.业主将根据评选结果与中选人签订合同。</w:t>
      </w:r>
    </w:p>
    <w:p>
      <w:pPr>
        <w:pStyle w:val="3"/>
        <w:tabs>
          <w:tab w:val="left" w:pos="1632"/>
        </w:tabs>
        <w:spacing w:line="360" w:lineRule="auto"/>
        <w:ind w:left="0"/>
        <w:jc w:val="center"/>
        <w:rPr>
          <w:rFonts w:hint="default" w:ascii="Times New Roman" w:hAnsi="Times New Roman" w:eastAsia="宋体" w:cs="Times New Roman"/>
          <w:sz w:val="24"/>
          <w:szCs w:val="24"/>
          <w:lang w:eastAsia="zh-CN"/>
        </w:rPr>
      </w:pPr>
    </w:p>
    <w:p>
      <w:pPr>
        <w:pStyle w:val="3"/>
        <w:tabs>
          <w:tab w:val="left" w:pos="1632"/>
        </w:tabs>
        <w:spacing w:line="360" w:lineRule="auto"/>
        <w:ind w:lef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第五章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合同授</w:t>
      </w:r>
      <w:r>
        <w:rPr>
          <w:rFonts w:hint="default" w:ascii="Times New Roman" w:hAnsi="Times New Roman" w:eastAsia="宋体" w:cs="Times New Roman"/>
          <w:w w:val="95"/>
          <w:sz w:val="28"/>
          <w:szCs w:val="28"/>
          <w:lang w:eastAsia="zh-CN"/>
        </w:rPr>
        <w:t>予</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1.比选人将把合同授予中选人，在授予前，仍需进行资格审查。</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2.中选人确定后，比选人将通知中选人，并将中选结果公示在比选人公司集团官网。</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3.比选人将以书面形式通知中选人，确认其参选文件被接受。</w:t>
      </w:r>
      <w:r>
        <w:rPr>
          <w:rFonts w:hint="default" w:ascii="Times New Roman" w:hAnsi="Times New Roman" w:eastAsia="宋体" w:cs="Times New Roman"/>
          <w:spacing w:val="-2"/>
          <w:sz w:val="24"/>
          <w:szCs w:val="24"/>
          <w:lang w:eastAsia="zh-CN"/>
        </w:rPr>
        <w:t>中选通知对比选人和参选人具有法律效力。中选单位需在比选人通知中选后</w:t>
      </w:r>
      <w:r>
        <w:rPr>
          <w:rFonts w:hint="default" w:ascii="Times New Roman" w:hAnsi="Times New Roman" w:eastAsia="宋体" w:cs="Times New Roman"/>
          <w:sz w:val="24"/>
          <w:szCs w:val="24"/>
          <w:lang w:eastAsia="zh-CN"/>
        </w:rPr>
        <w:t>30</w:t>
      </w:r>
      <w:r>
        <w:rPr>
          <w:rFonts w:hint="default" w:ascii="Times New Roman" w:hAnsi="Times New Roman" w:eastAsia="宋体" w:cs="Times New Roman"/>
          <w:spacing w:val="-30"/>
          <w:sz w:val="24"/>
          <w:szCs w:val="24"/>
          <w:lang w:eastAsia="zh-CN"/>
        </w:rPr>
        <w:t>个</w:t>
      </w:r>
      <w:r>
        <w:rPr>
          <w:rFonts w:hint="default" w:ascii="Times New Roman" w:hAnsi="Times New Roman" w:eastAsia="宋体" w:cs="Times New Roman"/>
          <w:spacing w:val="-4"/>
          <w:sz w:val="24"/>
          <w:szCs w:val="24"/>
          <w:lang w:eastAsia="zh-CN"/>
        </w:rPr>
        <w:t>工作日内与比选人签订合同。若因中选单位原因未在规定的时间和地点与比选人签署合</w:t>
      </w:r>
      <w:r>
        <w:rPr>
          <w:rFonts w:hint="default" w:ascii="Times New Roman" w:hAnsi="Times New Roman" w:eastAsia="宋体" w:cs="Times New Roman"/>
          <w:spacing w:val="-10"/>
          <w:sz w:val="24"/>
          <w:szCs w:val="24"/>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w:t>
      </w:r>
      <w:r>
        <w:rPr>
          <w:rFonts w:hint="default" w:ascii="Times New Roman" w:hAnsi="Times New Roman" w:eastAsia="宋体" w:cs="Times New Roman"/>
          <w:spacing w:val="-8"/>
          <w:sz w:val="24"/>
          <w:szCs w:val="24"/>
          <w:lang w:eastAsia="zh-CN"/>
        </w:rPr>
        <w:t>中选人签署合同后必须履行合同要求。若因中选单位原因未在规定的时间内完成</w:t>
      </w:r>
      <w:r>
        <w:rPr>
          <w:rFonts w:hint="default" w:ascii="Times New Roman" w:hAnsi="Times New Roman" w:eastAsia="宋体" w:cs="Times New Roman"/>
          <w:spacing w:val="-14"/>
          <w:sz w:val="24"/>
          <w:szCs w:val="24"/>
          <w:lang w:eastAsia="zh-CN"/>
        </w:rPr>
        <w:t>相关工作，则比选人有权单方面取消中选单位的资格。</w:t>
      </w:r>
      <w:r>
        <w:rPr>
          <w:rFonts w:hint="default" w:ascii="Times New Roman" w:hAnsi="Times New Roman" w:eastAsia="宋体" w:cs="Times New Roman"/>
          <w:spacing w:val="-18"/>
          <w:sz w:val="24"/>
          <w:szCs w:val="24"/>
          <w:lang w:eastAsia="zh-CN"/>
        </w:rPr>
        <w:t>由此给比选人造成的损失，比选人有权追究中选方的全部责任。</w:t>
      </w:r>
    </w:p>
    <w:p>
      <w:pPr>
        <w:pStyle w:val="10"/>
        <w:spacing w:before="24" w:line="360" w:lineRule="auto"/>
        <w:ind w:right="9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w:t>
      </w:r>
      <w:r>
        <w:rPr>
          <w:rFonts w:hint="default" w:ascii="Times New Roman" w:hAnsi="Times New Roman" w:eastAsia="宋体" w:cs="Times New Roman"/>
          <w:spacing w:val="-8"/>
          <w:sz w:val="24"/>
          <w:szCs w:val="24"/>
          <w:lang w:eastAsia="zh-CN"/>
        </w:rPr>
        <w:t>接受和拒绝任何或所有参选的权利：比选机构和比选人保留在授标之前任何时候接</w:t>
      </w:r>
      <w:r>
        <w:rPr>
          <w:rFonts w:hint="default" w:ascii="Times New Roman" w:hAnsi="Times New Roman" w:eastAsia="宋体" w:cs="Times New Roman"/>
          <w:spacing w:val="-13"/>
          <w:sz w:val="24"/>
          <w:szCs w:val="24"/>
          <w:lang w:eastAsia="zh-CN"/>
        </w:rPr>
        <w:t>受或拒绝任何比选，以及宣布比选程序无效或拒绝所有参选的权利，对受影响的参选人不承担任何责任。</w:t>
      </w:r>
    </w:p>
    <w:p>
      <w:pPr>
        <w:spacing w:line="321" w:lineRule="auto"/>
        <w:ind w:firstLine="435"/>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r>
        <w:rPr>
          <w:rFonts w:hint="default" w:ascii="Times New Roman" w:hAnsi="Times New Roman" w:eastAsia="宋体" w:cs="Times New Roman"/>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8. 本合同将授予其参选文件在实质上响应比选文件要求和按本比选文件规定所确定的中选人。比选人在授予合同之前有权对参选人递交的参选文件资料进行核实，参选</w:t>
      </w:r>
      <w:r>
        <w:rPr>
          <w:rFonts w:hint="default" w:ascii="Times New Roman" w:hAnsi="Times New Roman" w:eastAsia="宋体" w:cs="Times New Roman"/>
          <w:b/>
          <w:sz w:val="24"/>
          <w:szCs w:val="24"/>
        </w:rPr>
        <w:t>人应对参选文件资料的真实性负责</w:t>
      </w:r>
      <w:r>
        <w:rPr>
          <w:rFonts w:hint="default" w:ascii="Times New Roman" w:hAnsi="Times New Roman" w:eastAsia="宋体" w:cs="Times New Roman"/>
          <w:sz w:val="24"/>
          <w:szCs w:val="24"/>
        </w:rPr>
        <w:t>，如发现其所提交的资料不真实，比选人将视其为以弄虚作假方式骗取中选，其中选无效。参选人给比选人造成损失的，应依法承担赔偿责任。</w:t>
      </w:r>
    </w:p>
    <w:p>
      <w:pPr>
        <w:pStyle w:val="13"/>
        <w:spacing w:line="360" w:lineRule="auto"/>
        <w:ind w:left="0" w:leftChars="0" w:firstLine="420" w:firstLineChars="1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9. </w:t>
      </w:r>
      <w:r>
        <w:rPr>
          <w:rStyle w:val="25"/>
          <w:rFonts w:hint="default" w:ascii="Times New Roman" w:hAnsi="Times New Roman" w:eastAsia="宋体" w:cs="Times New Roman"/>
          <w:sz w:val="24"/>
          <w:szCs w:val="24"/>
        </w:rPr>
        <w:t>福建福海创石油化工有限公司的权属子公司“</w:t>
      </w:r>
      <w:r>
        <w:rPr>
          <w:rFonts w:ascii="Times New Roman" w:hAnsi="Times New Roman" w:cs="Times New Roman"/>
          <w:b/>
          <w:bCs/>
          <w:snapToGrid w:val="0"/>
          <w:color w:val="000000"/>
          <w:sz w:val="24"/>
          <w:szCs w:val="24"/>
          <w:lang w:eastAsia="zh-CN"/>
        </w:rPr>
        <w:t>翔鹭码头投资管理（漳州）有限公司</w:t>
      </w:r>
      <w:r>
        <w:rPr>
          <w:rStyle w:val="25"/>
          <w:rFonts w:hint="default" w:ascii="Times New Roman" w:hAnsi="Times New Roman" w:eastAsia="宋体" w:cs="Times New Roman"/>
          <w:sz w:val="24"/>
          <w:szCs w:val="24"/>
        </w:rPr>
        <w:t>”作为合同执行主体，将于中选通知书发出之日起20日内与中选人完成合同签订事宜。</w:t>
      </w:r>
    </w:p>
    <w:p>
      <w:pPr>
        <w:pStyle w:val="3"/>
        <w:tabs>
          <w:tab w:val="left" w:pos="4344"/>
        </w:tabs>
        <w:spacing w:line="355" w:lineRule="exact"/>
        <w:ind w:left="3082"/>
        <w:rPr>
          <w:rFonts w:hint="default" w:ascii="Times New Roman" w:hAnsi="Times New Roman" w:eastAsia="宋体" w:cs="Times New Roman"/>
          <w:sz w:val="24"/>
          <w:szCs w:val="24"/>
          <w:lang w:eastAsia="zh-CN"/>
        </w:rPr>
      </w:pPr>
    </w:p>
    <w:p>
      <w:pPr>
        <w:pStyle w:val="3"/>
        <w:tabs>
          <w:tab w:val="left" w:pos="4344"/>
        </w:tabs>
        <w:spacing w:line="355" w:lineRule="exact"/>
        <w:ind w:left="3082"/>
        <w:rPr>
          <w:rFonts w:hint="default" w:ascii="Times New Roman" w:hAnsi="Times New Roman" w:eastAsia="宋体" w:cs="Times New Roman"/>
          <w:b w:val="0"/>
          <w:bCs w:val="0"/>
          <w:sz w:val="28"/>
          <w:szCs w:val="28"/>
          <w:lang w:eastAsia="zh-CN"/>
        </w:rPr>
      </w:pPr>
    </w:p>
    <w:p>
      <w:pPr>
        <w:pStyle w:val="3"/>
        <w:tabs>
          <w:tab w:val="left" w:pos="4344"/>
        </w:tabs>
        <w:spacing w:line="360" w:lineRule="auto"/>
        <w:ind w:left="0"/>
        <w:jc w:val="center"/>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eastAsia="zh-CN"/>
        </w:rPr>
        <w:t xml:space="preserve">第六章    </w:t>
      </w:r>
      <w:r>
        <w:rPr>
          <w:rFonts w:hint="default" w:ascii="Times New Roman" w:hAnsi="Times New Roman" w:eastAsia="宋体" w:cs="Times New Roman"/>
          <w:spacing w:val="-1"/>
          <w:w w:val="95"/>
          <w:sz w:val="28"/>
          <w:szCs w:val="28"/>
          <w:highlight w:val="none"/>
          <w:lang w:eastAsia="zh-CN"/>
        </w:rPr>
        <w:t>中选后相关</w:t>
      </w:r>
      <w:r>
        <w:rPr>
          <w:rFonts w:hint="default" w:ascii="Times New Roman" w:hAnsi="Times New Roman" w:eastAsia="宋体" w:cs="Times New Roman"/>
          <w:w w:val="95"/>
          <w:sz w:val="28"/>
          <w:szCs w:val="28"/>
          <w:highlight w:val="none"/>
          <w:lang w:eastAsia="zh-CN"/>
        </w:rPr>
        <w:t>履约要求</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7"/>
          <w:sz w:val="24"/>
          <w:szCs w:val="24"/>
          <w:lang w:eastAsia="zh-CN"/>
        </w:rPr>
        <w:t>中选单位要服从比选人的管理规定，如有违反，取消</w:t>
      </w:r>
      <w:r>
        <w:rPr>
          <w:rFonts w:hint="default" w:ascii="Times New Roman" w:hAnsi="Times New Roman" w:eastAsia="宋体" w:cs="Times New Roman"/>
          <w:spacing w:val="-13"/>
          <w:sz w:val="24"/>
          <w:szCs w:val="24"/>
          <w:lang w:eastAsia="zh-CN"/>
        </w:rPr>
        <w:t>中选单位的继续履行合同的资格，同时，由此给比选人造成的损失，比选人有权追究中选单位的全部责任。</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2"/>
          <w:sz w:val="24"/>
          <w:szCs w:val="24"/>
          <w:lang w:eastAsia="zh-CN"/>
        </w:rPr>
        <w:t>中选单位必须严格执行</w:t>
      </w:r>
      <w:r>
        <w:rPr>
          <w:rFonts w:hint="default" w:ascii="Times New Roman" w:hAnsi="Times New Roman" w:eastAsia="宋体" w:cs="Times New Roman"/>
          <w:sz w:val="24"/>
          <w:szCs w:val="24"/>
          <w:u w:val="single"/>
          <w:lang w:eastAsia="zh-CN"/>
        </w:rPr>
        <w:t xml:space="preserve"> </w:t>
      </w:r>
      <w:r>
        <w:rPr>
          <w:rFonts w:hint="eastAsia" w:ascii="Times New Roman" w:hAnsi="Times New Roman" w:cs="Times New Roman"/>
          <w:sz w:val="24"/>
          <w:szCs w:val="24"/>
          <w:u w:val="single"/>
          <w:lang w:val="en-US" w:eastAsia="zh-CN"/>
        </w:rPr>
        <w:t>PE篷布及彩条布</w:t>
      </w:r>
      <w:r>
        <w:rPr>
          <w:rFonts w:hint="default" w:ascii="Times New Roman" w:hAnsi="Times New Roman" w:eastAsia="宋体" w:cs="Times New Roman"/>
          <w:bCs/>
          <w:sz w:val="24"/>
          <w:szCs w:val="24"/>
          <w:u w:val="single"/>
          <w:lang w:eastAsia="zh-CN"/>
        </w:rPr>
        <w:t>采购</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pacing w:val="-2"/>
          <w:sz w:val="24"/>
          <w:szCs w:val="24"/>
          <w:lang w:eastAsia="zh-CN"/>
        </w:rPr>
        <w:t>合同</w:t>
      </w:r>
      <w:r>
        <w:rPr>
          <w:rFonts w:hint="default" w:ascii="Times New Roman" w:hAnsi="Times New Roman" w:eastAsia="宋体" w:cs="Times New Roman"/>
          <w:sz w:val="24"/>
          <w:szCs w:val="24"/>
          <w:lang w:eastAsia="zh-CN"/>
        </w:rPr>
        <w:t>（详见附件一</w:t>
      </w:r>
      <w:r>
        <w:rPr>
          <w:rFonts w:hint="default" w:ascii="Times New Roman" w:hAnsi="Times New Roman" w:eastAsia="宋体" w:cs="Times New Roman"/>
          <w:spacing w:val="-17"/>
          <w:sz w:val="24"/>
          <w:szCs w:val="24"/>
          <w:lang w:eastAsia="zh-CN"/>
        </w:rPr>
        <w:t>）</w:t>
      </w:r>
      <w:r>
        <w:rPr>
          <w:rFonts w:hint="default" w:ascii="Times New Roman" w:hAnsi="Times New Roman" w:eastAsia="宋体" w:cs="Times New Roman"/>
          <w:spacing w:val="-13"/>
          <w:sz w:val="24"/>
          <w:szCs w:val="24"/>
          <w:lang w:eastAsia="zh-CN"/>
        </w:rPr>
        <w:t>、《承诺函》</w:t>
      </w:r>
      <w:r>
        <w:rPr>
          <w:rFonts w:hint="default" w:ascii="Times New Roman" w:hAnsi="Times New Roman" w:eastAsia="宋体" w:cs="Times New Roman"/>
          <w:sz w:val="24"/>
          <w:szCs w:val="24"/>
          <w:lang w:eastAsia="zh-CN"/>
        </w:rPr>
        <w:t>（详见附件二</w:t>
      </w:r>
      <w:r>
        <w:rPr>
          <w:rFonts w:hint="default" w:ascii="Times New Roman" w:hAnsi="Times New Roman" w:eastAsia="宋体" w:cs="Times New Roman"/>
          <w:spacing w:val="-17"/>
          <w:sz w:val="24"/>
          <w:szCs w:val="24"/>
          <w:lang w:eastAsia="zh-CN"/>
        </w:rPr>
        <w:t>）</w:t>
      </w:r>
      <w:r>
        <w:rPr>
          <w:rFonts w:hint="default" w:ascii="Times New Roman" w:hAnsi="Times New Roman" w:eastAsia="宋体" w:cs="Times New Roman"/>
          <w:sz w:val="24"/>
          <w:szCs w:val="24"/>
          <w:lang w:eastAsia="zh-CN"/>
        </w:rPr>
        <w:t>的规定。</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6"/>
          <w:sz w:val="24"/>
          <w:szCs w:val="24"/>
          <w:lang w:eastAsia="zh-CN"/>
        </w:rPr>
        <w:t>中选单位需遵守比选人的各项管理规章制度。如违反相关条例者则按福建福海创石油化工有限公司相应条款进行处罚。</w:t>
      </w:r>
    </w:p>
    <w:p>
      <w:pPr>
        <w:pStyle w:val="3"/>
        <w:tabs>
          <w:tab w:val="left" w:pos="1912"/>
        </w:tabs>
        <w:spacing w:line="355" w:lineRule="exact"/>
        <w:ind w:left="647" w:firstLine="2650" w:firstLineChars="1100"/>
        <w:jc w:val="both"/>
        <w:rPr>
          <w:rFonts w:hint="default" w:ascii="Times New Roman" w:hAnsi="Times New Roman" w:eastAsia="宋体" w:cs="Times New Roman"/>
          <w:sz w:val="24"/>
          <w:szCs w:val="24"/>
          <w:lang w:eastAsia="zh-CN"/>
        </w:rPr>
      </w:pPr>
    </w:p>
    <w:p>
      <w:pPr>
        <w:pStyle w:val="3"/>
        <w:tabs>
          <w:tab w:val="left" w:pos="1912"/>
        </w:tabs>
        <w:spacing w:line="355" w:lineRule="exact"/>
        <w:ind w:left="647" w:firstLine="2650" w:firstLineChars="1100"/>
        <w:jc w:val="both"/>
        <w:rPr>
          <w:rFonts w:hint="default" w:ascii="Times New Roman" w:hAnsi="Times New Roman" w:eastAsia="宋体" w:cs="Times New Roman"/>
          <w:sz w:val="24"/>
          <w:szCs w:val="24"/>
          <w:lang w:eastAsia="zh-CN"/>
        </w:rPr>
      </w:pPr>
    </w:p>
    <w:p>
      <w:pPr>
        <w:pStyle w:val="3"/>
        <w:tabs>
          <w:tab w:val="left" w:pos="1912"/>
        </w:tabs>
        <w:spacing w:line="355" w:lineRule="exact"/>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其</w:t>
      </w:r>
      <w:r>
        <w:rPr>
          <w:rFonts w:hint="default" w:ascii="Times New Roman" w:hAnsi="Times New Roman" w:eastAsia="宋体" w:cs="Times New Roman"/>
          <w:w w:val="95"/>
          <w:sz w:val="24"/>
          <w:szCs w:val="24"/>
          <w:lang w:eastAsia="zh-CN"/>
        </w:rPr>
        <w:t>它</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参选人提交的文件将给予保密，参选人的参选文件无论其是否中选，均不退回。</w:t>
      </w:r>
    </w:p>
    <w:p>
      <w:pPr>
        <w:pStyle w:val="10"/>
        <w:spacing w:before="108"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2.比选人郑重承诺：参选人所提交的参选文件及相关资料不向第三方泄露。</w:t>
      </w:r>
    </w:p>
    <w:p>
      <w:pPr>
        <w:pStyle w:val="10"/>
        <w:spacing w:before="106"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3.本比选文件的解释权归</w:t>
      </w:r>
      <w:r>
        <w:rPr>
          <w:rFonts w:hint="default" w:ascii="Times New Roman" w:hAnsi="Times New Roman" w:eastAsia="宋体" w:cs="Times New Roman"/>
          <w:spacing w:val="-6"/>
          <w:sz w:val="24"/>
          <w:szCs w:val="24"/>
          <w:lang w:eastAsia="zh-CN"/>
        </w:rPr>
        <w:t>福建福海创石油化工</w:t>
      </w:r>
      <w:r>
        <w:rPr>
          <w:rFonts w:hint="default" w:ascii="Times New Roman" w:hAnsi="Times New Roman" w:eastAsia="宋体" w:cs="Times New Roman"/>
          <w:sz w:val="24"/>
          <w:szCs w:val="24"/>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440" w:lineRule="exact"/>
        <w:jc w:val="center"/>
        <w:rPr>
          <w:rFonts w:hint="default" w:ascii="宋体" w:hAnsi="Calibri" w:eastAsia="宋体" w:cs="Times New Roman"/>
          <w:b/>
          <w:sz w:val="32"/>
          <w:szCs w:val="32"/>
          <w:lang w:val="en-US" w:eastAsia="zh-CN" w:bidi="ar-SA"/>
        </w:rPr>
      </w:pPr>
      <w:bookmarkStart w:id="9" w:name="_Toc251742852"/>
      <w:r>
        <w:rPr>
          <w:rFonts w:hint="default" w:ascii="宋体" w:hAnsi="Calibri" w:eastAsia="宋体" w:cs="Times New Roman"/>
          <w:b/>
          <w:sz w:val="32"/>
          <w:szCs w:val="32"/>
          <w:lang w:val="en-US" w:eastAsia="zh-CN" w:bidi="ar-SA"/>
        </w:rPr>
        <w:t>翔鹭码头投资管理（漳州）有限公司</w:t>
      </w:r>
    </w:p>
    <w:p>
      <w:pPr>
        <w:pStyle w:val="2"/>
        <w:spacing w:line="440" w:lineRule="exact"/>
        <w:jc w:val="center"/>
        <w:rPr>
          <w:b/>
          <w:sz w:val="32"/>
          <w:szCs w:val="32"/>
        </w:rPr>
      </w:pPr>
      <w:r>
        <w:rPr>
          <w:rFonts w:hint="default" w:cs="Times New Roman"/>
          <w:b/>
          <w:sz w:val="32"/>
          <w:szCs w:val="32"/>
          <w:u w:val="single"/>
          <w:lang w:eastAsia="zh-CN"/>
        </w:rPr>
        <w:t xml:space="preserve"> </w:t>
      </w:r>
      <w:r>
        <w:rPr>
          <w:rFonts w:hint="eastAsia" w:cs="Times New Roman"/>
          <w:b/>
          <w:sz w:val="32"/>
          <w:szCs w:val="32"/>
          <w:u w:val="single"/>
          <w:lang w:val="en-US" w:eastAsia="zh-CN"/>
        </w:rPr>
        <w:t>PE篷布及彩条布</w:t>
      </w:r>
      <w:r>
        <w:rPr>
          <w:rFonts w:hint="default" w:cs="Times New Roman"/>
          <w:b/>
          <w:sz w:val="32"/>
          <w:szCs w:val="32"/>
          <w:lang w:eastAsia="zh-CN"/>
        </w:rPr>
        <w:t>采购</w:t>
      </w:r>
      <w:r>
        <w:rPr>
          <w:rFonts w:hint="eastAsia"/>
          <w:b/>
          <w:sz w:val="32"/>
          <w:szCs w:val="32"/>
        </w:rPr>
        <w:t>合同</w:t>
      </w:r>
    </w:p>
    <w:tbl>
      <w:tblPr>
        <w:tblStyle w:val="35"/>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8"/>
        <w:gridCol w:w="240"/>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88" w:type="dxa"/>
          </w:tcPr>
          <w:p>
            <w:pPr>
              <w:spacing w:line="360" w:lineRule="auto"/>
              <w:jc w:val="both"/>
              <w:rPr>
                <w:sz w:val="24"/>
                <w:lang w:eastAsia="zh-CN"/>
              </w:rPr>
            </w:pPr>
            <w:r>
              <w:rPr>
                <w:rFonts w:hint="eastAsia"/>
                <w:sz w:val="24"/>
                <w:lang w:eastAsia="zh-CN"/>
              </w:rPr>
              <w:t xml:space="preserve">                                                                                      </w:t>
            </w:r>
          </w:p>
        </w:tc>
        <w:tc>
          <w:tcPr>
            <w:tcW w:w="240"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8" w:type="dxa"/>
            <w:gridSpan w:val="2"/>
          </w:tcPr>
          <w:p>
            <w:pPr>
              <w:spacing w:line="360" w:lineRule="auto"/>
              <w:jc w:val="both"/>
              <w:rPr>
                <w:b/>
                <w:bCs/>
                <w:sz w:val="24"/>
                <w:lang w:eastAsia="zh-CN"/>
              </w:rPr>
            </w:pPr>
            <w:r>
              <w:rPr>
                <w:rFonts w:hint="eastAsia"/>
                <w:b/>
                <w:bCs/>
                <w:sz w:val="24"/>
                <w:lang w:eastAsia="zh-CN"/>
              </w:rPr>
              <w:t>甲方：翔鹭码头投资管理（漳州）有限公司</w:t>
            </w:r>
          </w:p>
          <w:p>
            <w:pPr>
              <w:spacing w:line="360" w:lineRule="auto"/>
              <w:jc w:val="both"/>
              <w:rPr>
                <w:b/>
                <w:bCs/>
                <w:sz w:val="24"/>
                <w:lang w:eastAsia="zh-CN"/>
              </w:rPr>
            </w:pPr>
            <w:r>
              <w:rPr>
                <w:rFonts w:hint="eastAsia"/>
                <w:b/>
                <w:bCs/>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28" w:type="dxa"/>
            <w:gridSpan w:val="2"/>
          </w:tcPr>
          <w:p>
            <w:pPr>
              <w:spacing w:line="360" w:lineRule="auto"/>
              <w:jc w:val="both"/>
              <w:rPr>
                <w:b/>
                <w:bCs/>
                <w:sz w:val="24"/>
                <w:lang w:eastAsia="zh-CN"/>
              </w:rPr>
            </w:pPr>
            <w:r>
              <w:rPr>
                <w:rFonts w:hint="eastAsia"/>
                <w:b/>
                <w:bCs/>
                <w:sz w:val="24"/>
                <w:lang w:eastAsia="zh-CN"/>
              </w:rPr>
              <w:t>乙方：</w:t>
            </w:r>
            <w:r>
              <w:rPr>
                <w:b/>
                <w:bCs/>
                <w:sz w:val="24"/>
                <w:lang w:eastAsia="zh-CN"/>
              </w:rPr>
              <w:t xml:space="preserve"> </w:t>
            </w: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hint="eastAsia" w:asciiTheme="majorEastAsia" w:hAnsiTheme="majorEastAsia" w:eastAsiaTheme="majorEastAsia"/>
          <w:sz w:val="24"/>
          <w:lang w:eastAsia="zh-CN"/>
        </w:rPr>
      </w:pP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3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1242"/>
        <w:gridCol w:w="2625"/>
        <w:gridCol w:w="720"/>
        <w:gridCol w:w="769"/>
        <w:gridCol w:w="1316"/>
        <w:gridCol w:w="1009"/>
        <w:gridCol w:w="1499"/>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单位</w:t>
            </w:r>
          </w:p>
        </w:tc>
        <w:tc>
          <w:tcPr>
            <w:tcW w:w="7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1316" w:type="dxa"/>
            <w:tcBorders>
              <w:top w:val="single" w:color="auto" w:sz="4" w:space="0"/>
              <w:left w:val="nil"/>
              <w:bottom w:val="single" w:color="auto" w:sz="4" w:space="0"/>
              <w:right w:val="single" w:color="auto" w:sz="4" w:space="0"/>
            </w:tcBorders>
            <w:shd w:val="clear" w:color="auto" w:fill="auto"/>
            <w:vAlign w:val="top"/>
          </w:tcPr>
          <w:p>
            <w:pPr>
              <w:widowControl/>
              <w:autoSpaceDE/>
              <w:autoSpaceDN/>
              <w:jc w:val="center"/>
              <w:rPr>
                <w:rFonts w:asciiTheme="majorEastAsia" w:hAnsiTheme="majorEastAsia" w:eastAsiaTheme="majorEastAsia"/>
                <w:b w:val="0"/>
                <w:bCs w:val="0"/>
                <w:sz w:val="21"/>
                <w:szCs w:val="21"/>
                <w:lang w:eastAsia="zh-CN"/>
              </w:rPr>
            </w:pPr>
            <w:r>
              <w:rPr>
                <w:rFonts w:hint="eastAsia" w:asciiTheme="majorEastAsia" w:hAnsiTheme="majorEastAsia" w:eastAsiaTheme="majorEastAsia"/>
                <w:b w:val="0"/>
                <w:bCs w:val="0"/>
                <w:sz w:val="21"/>
                <w:szCs w:val="21"/>
                <w:lang w:eastAsia="zh-CN"/>
              </w:rPr>
              <w:t>单价</w:t>
            </w:r>
          </w:p>
          <w:p>
            <w:pPr>
              <w:pStyle w:val="2"/>
              <w:jc w:val="center"/>
              <w:rPr>
                <w:rFonts w:asciiTheme="majorEastAsia" w:hAnsiTheme="majorEastAsia" w:eastAsiaTheme="majorEastAsia"/>
                <w:sz w:val="21"/>
                <w:szCs w:val="21"/>
              </w:rPr>
            </w:pPr>
            <w:r>
              <w:rPr>
                <w:rFonts w:hint="eastAsia" w:cs="宋体" w:asciiTheme="majorEastAsia" w:hAnsiTheme="majorEastAsia" w:eastAsiaTheme="majorEastAsia"/>
                <w:b w:val="0"/>
                <w:bCs w:val="0"/>
                <w:sz w:val="21"/>
                <w:szCs w:val="21"/>
                <w:lang w:val="en-US" w:eastAsia="zh-CN" w:bidi="ar-SA"/>
              </w:rPr>
              <w:t>（元/张）</w:t>
            </w:r>
          </w:p>
        </w:tc>
        <w:tc>
          <w:tcPr>
            <w:tcW w:w="10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PE篷布</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28米*20米，</w:t>
            </w:r>
          </w:p>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每平方米不低于180g</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张</w:t>
            </w:r>
          </w:p>
        </w:tc>
        <w:tc>
          <w:tcPr>
            <w:tcW w:w="7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50</w:t>
            </w:r>
          </w:p>
        </w:tc>
        <w:tc>
          <w:tcPr>
            <w:tcW w:w="1316" w:type="dxa"/>
            <w:tcBorders>
              <w:top w:val="single" w:color="auto" w:sz="4" w:space="0"/>
              <w:left w:val="nil"/>
              <w:bottom w:val="single" w:color="auto" w:sz="4" w:space="0"/>
              <w:right w:val="single" w:color="auto" w:sz="4" w:space="0"/>
            </w:tcBorders>
            <w:shd w:val="clear" w:color="auto" w:fill="auto"/>
            <w:vAlign w:val="top"/>
          </w:tcPr>
          <w:p>
            <w:pPr>
              <w:pStyle w:val="2"/>
              <w:jc w:val="center"/>
              <w:rPr>
                <w:rFonts w:hint="eastAsia" w:asciiTheme="majorEastAsia" w:hAnsiTheme="majorEastAsia" w:eastAsiaTheme="majorEastAsia"/>
                <w:b w:val="0"/>
                <w:bCs w:val="0"/>
                <w:sz w:val="18"/>
                <w:szCs w:val="18"/>
              </w:rPr>
            </w:pPr>
          </w:p>
        </w:tc>
        <w:tc>
          <w:tcPr>
            <w:tcW w:w="1009"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asciiTheme="majorEastAsia" w:hAnsiTheme="majorEastAsia" w:eastAsiaTheme="majorEastAsia"/>
                <w:sz w:val="21"/>
                <w:szCs w:val="21"/>
              </w:rPr>
            </w:pPr>
          </w:p>
        </w:tc>
        <w:tc>
          <w:tcPr>
            <w:tcW w:w="1499" w:type="dxa"/>
            <w:vMerge w:val="restart"/>
            <w:tcBorders>
              <w:top w:val="single" w:color="auto" w:sz="4" w:space="0"/>
              <w:left w:val="nil"/>
              <w:right w:val="single" w:color="auto" w:sz="4" w:space="0"/>
            </w:tcBorders>
            <w:shd w:val="clear" w:color="auto" w:fill="auto"/>
            <w:vAlign w:val="center"/>
          </w:tcPr>
          <w:p>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请按要求送货到指定地点</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w:t>
            </w:r>
          </w:p>
        </w:tc>
        <w:tc>
          <w:tcPr>
            <w:tcW w:w="1242"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default" w:cs="宋体" w:asciiTheme="majorEastAsia" w:hAnsiTheme="majorEastAsia" w:eastAsiaTheme="majorEastAsia"/>
                <w:sz w:val="21"/>
                <w:szCs w:val="21"/>
                <w:lang w:val="en-US" w:eastAsia="zh-CN" w:bidi="ar-SA"/>
              </w:rPr>
            </w:pPr>
            <w:r>
              <w:rPr>
                <w:rFonts w:hint="eastAsia" w:cs="宋体" w:asciiTheme="majorEastAsia" w:hAnsiTheme="majorEastAsia" w:eastAsiaTheme="majorEastAsia"/>
                <w:sz w:val="21"/>
                <w:szCs w:val="21"/>
                <w:lang w:val="en-US" w:eastAsia="zh-CN" w:bidi="ar-SA"/>
              </w:rPr>
              <w:t>彩条布</w:t>
            </w:r>
          </w:p>
        </w:tc>
        <w:tc>
          <w:tcPr>
            <w:tcW w:w="2625" w:type="dxa"/>
            <w:tcBorders>
              <w:top w:val="single" w:color="auto" w:sz="4" w:space="0"/>
              <w:left w:val="nil"/>
              <w:bottom w:val="single" w:color="auto" w:sz="4" w:space="0"/>
              <w:right w:val="single" w:color="auto" w:sz="4" w:space="0"/>
            </w:tcBorders>
            <w:shd w:val="clear" w:color="auto" w:fill="auto"/>
            <w:vAlign w:val="center"/>
          </w:tcPr>
          <w:p>
            <w:pPr>
              <w:pStyle w:val="4"/>
              <w:spacing w:line="360" w:lineRule="auto"/>
              <w:ind w:left="9" w:leftChars="0" w:firstLine="11" w:firstLineChars="0"/>
              <w:jc w:val="center"/>
              <w:rPr>
                <w:rFonts w:hint="eastAsia" w:cs="宋体" w:asciiTheme="majorEastAsia" w:hAnsiTheme="majorEastAsia" w:eastAsiaTheme="majorEastAsia"/>
                <w:b w:val="0"/>
                <w:bCs w:val="0"/>
                <w:sz w:val="21"/>
                <w:szCs w:val="21"/>
                <w:lang w:val="en-US" w:eastAsia="en-US" w:bidi="ar-SA"/>
              </w:rPr>
            </w:pPr>
            <w:r>
              <w:rPr>
                <w:rFonts w:hint="eastAsia" w:cs="宋体" w:asciiTheme="majorEastAsia" w:hAnsiTheme="majorEastAsia" w:eastAsiaTheme="majorEastAsia"/>
                <w:b w:val="0"/>
                <w:bCs w:val="0"/>
                <w:sz w:val="21"/>
                <w:szCs w:val="21"/>
                <w:lang w:val="en-US" w:eastAsia="en-US" w:bidi="ar-SA"/>
              </w:rPr>
              <w:t>25米*20米，</w:t>
            </w:r>
          </w:p>
          <w:p>
            <w:pPr>
              <w:pStyle w:val="4"/>
              <w:spacing w:line="360" w:lineRule="auto"/>
              <w:ind w:left="9" w:leftChars="0" w:firstLine="11" w:firstLineChars="0"/>
              <w:jc w:val="center"/>
              <w:rPr>
                <w:rFonts w:hint="default" w:cs="宋体" w:asciiTheme="majorEastAsia" w:hAnsiTheme="majorEastAsia" w:eastAsiaTheme="majorEastAsia"/>
                <w:b w:val="0"/>
                <w:bCs w:val="0"/>
                <w:sz w:val="21"/>
                <w:szCs w:val="21"/>
                <w:lang w:val="en-US" w:eastAsia="zh-CN" w:bidi="ar-SA"/>
              </w:rPr>
            </w:pPr>
            <w:r>
              <w:rPr>
                <w:rFonts w:hint="eastAsia" w:cs="宋体" w:asciiTheme="majorEastAsia" w:hAnsiTheme="majorEastAsia" w:eastAsiaTheme="majorEastAsia"/>
                <w:b w:val="0"/>
                <w:bCs w:val="0"/>
                <w:sz w:val="21"/>
                <w:szCs w:val="21"/>
                <w:lang w:val="en-US" w:eastAsia="en-US" w:bidi="ar-SA"/>
              </w:rPr>
              <w:t>每平方不低于100g</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张</w:t>
            </w:r>
          </w:p>
        </w:tc>
        <w:tc>
          <w:tcPr>
            <w:tcW w:w="76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30</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10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1499" w:type="dxa"/>
            <w:vMerge w:val="continue"/>
            <w:tcBorders>
              <w:left w:val="nil"/>
              <w:bottom w:val="single" w:color="auto" w:sz="4" w:space="0"/>
              <w:right w:val="single" w:color="auto" w:sz="4" w:space="0"/>
            </w:tcBorders>
            <w:shd w:val="clear" w:color="auto" w:fill="auto"/>
            <w:vAlign w:val="center"/>
          </w:tcPr>
          <w:p>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r>
      <w:tr>
        <w:tblPrEx>
          <w:tblLayout w:type="fixed"/>
          <w:tblCellMar>
            <w:top w:w="0" w:type="dxa"/>
            <w:left w:w="108" w:type="dxa"/>
            <w:bottom w:w="0" w:type="dxa"/>
            <w:right w:w="108" w:type="dxa"/>
          </w:tblCellMar>
        </w:tblPrEx>
        <w:trPr>
          <w:trHeight w:val="539" w:hRule="atLeast"/>
        </w:trPr>
        <w:tc>
          <w:tcPr>
            <w:tcW w:w="42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计</w:t>
            </w:r>
            <w:r>
              <w:rPr>
                <w:rFonts w:hint="eastAsia" w:asciiTheme="majorEastAsia" w:hAnsiTheme="majorEastAsia" w:eastAsiaTheme="majorEastAsia"/>
                <w:sz w:val="21"/>
                <w:szCs w:val="21"/>
                <w:lang w:val="en-US" w:eastAsia="zh-CN"/>
              </w:rPr>
              <w:t>(人民币：元，含   %专票）</w:t>
            </w:r>
          </w:p>
        </w:tc>
        <w:tc>
          <w:tcPr>
            <w:tcW w:w="53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rPr>
                <w:rFonts w:asciiTheme="majorEastAsia" w:hAnsiTheme="majorEastAsia" w:eastAsiaTheme="majorEastAsia"/>
                <w:b/>
                <w:bCs/>
                <w:sz w:val="21"/>
                <w:szCs w:val="21"/>
                <w:lang w:eastAsia="zh-CN"/>
              </w:rPr>
            </w:pPr>
          </w:p>
        </w:tc>
      </w:tr>
    </w:tbl>
    <w:p>
      <w:pPr>
        <w:pStyle w:val="37"/>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line="360" w:lineRule="auto"/>
        <w:ind w:leftChars="0" w:right="0" w:right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第一条 </w:t>
      </w:r>
      <w:r>
        <w:rPr>
          <w:rFonts w:hint="eastAsia" w:asciiTheme="majorEastAsia" w:hAnsiTheme="majorEastAsia" w:eastAsiaTheme="majorEastAsia"/>
          <w:b/>
          <w:bCs/>
          <w:sz w:val="24"/>
          <w:lang w:eastAsia="zh-CN"/>
        </w:rPr>
        <w:t>合同标的和合同价格</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第二条 </w:t>
      </w:r>
      <w:r>
        <w:rPr>
          <w:rFonts w:hint="eastAsia" w:asciiTheme="majorEastAsia" w:hAnsiTheme="majorEastAsia" w:eastAsiaTheme="majorEastAsia"/>
          <w:b/>
          <w:bCs/>
          <w:sz w:val="24"/>
          <w:lang w:eastAsia="zh-CN"/>
        </w:rPr>
        <w:t>交货</w:t>
      </w:r>
      <w:r>
        <w:rPr>
          <w:rFonts w:hint="eastAsia" w:asciiTheme="majorEastAsia" w:hAnsiTheme="majorEastAsia" w:eastAsiaTheme="majorEastAsia"/>
          <w:b/>
          <w:bCs/>
          <w:sz w:val="24"/>
          <w:lang w:val="en-US" w:eastAsia="zh-CN"/>
        </w:rPr>
        <w:t xml:space="preserve"> </w:t>
      </w:r>
    </w:p>
    <w:p>
      <w:pPr>
        <w:spacing w:line="360" w:lineRule="auto"/>
        <w:ind w:left="439" w:leftChars="0" w:hanging="439" w:hangingChars="183"/>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交货方式：</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39" w:leftChars="0" w:hanging="439" w:hangingChars="183"/>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交货地点：运送到</w:t>
      </w:r>
      <w:r>
        <w:rPr>
          <w:rFonts w:hint="eastAsia" w:asciiTheme="majorEastAsia" w:hAnsiTheme="majorEastAsia" w:eastAsiaTheme="majorEastAsia"/>
          <w:sz w:val="24"/>
          <w:u w:val="single"/>
          <w:lang w:eastAsia="zh-CN"/>
        </w:rPr>
        <w:t xml:space="preserve"> 翔鹭码头投资管理（漳州）有限公司 </w:t>
      </w:r>
    </w:p>
    <w:p>
      <w:pPr>
        <w:spacing w:line="288" w:lineRule="auto"/>
        <w:ind w:left="439" w:leftChars="0" w:hanging="439" w:hangingChars="183"/>
        <w:jc w:val="both"/>
        <w:rPr>
          <w:rFonts w:asciiTheme="majorEastAsia" w:hAnsiTheme="majorEastAsia" w:eastAsiaTheme="majorEastAsia"/>
          <w:sz w:val="24"/>
          <w:highlight w:val="none"/>
          <w:u w:val="single"/>
          <w:lang w:eastAsia="zh-CN"/>
        </w:rPr>
      </w:pPr>
      <w:r>
        <w:rPr>
          <w:rFonts w:hint="eastAsia" w:asciiTheme="majorEastAsia" w:hAnsiTheme="majorEastAsia" w:eastAsiaTheme="majorEastAsia"/>
          <w:sz w:val="24"/>
          <w:lang w:eastAsia="zh-CN"/>
        </w:rPr>
        <w:t>2.3</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天内</w:t>
      </w:r>
      <w:r>
        <w:rPr>
          <w:rFonts w:hint="eastAsia" w:asciiTheme="majorEastAsia" w:hAnsiTheme="majorEastAsia" w:eastAsiaTheme="majorEastAsia"/>
          <w:sz w:val="24"/>
          <w:u w:val="single"/>
          <w:lang w:eastAsia="zh-CN"/>
        </w:rPr>
        <w:t>货到现</w:t>
      </w:r>
      <w:r>
        <w:rPr>
          <w:rFonts w:hint="eastAsia" w:asciiTheme="majorEastAsia" w:hAnsiTheme="majorEastAsia" w:eastAsiaTheme="majorEastAsia"/>
          <w:sz w:val="24"/>
          <w:highlight w:val="none"/>
          <w:u w:val="single"/>
          <w:lang w:eastAsia="zh-CN"/>
        </w:rPr>
        <w:t>场</w:t>
      </w:r>
      <w:r>
        <w:rPr>
          <w:rFonts w:hint="eastAsia" w:ascii="宋体" w:hAnsi="宋体"/>
          <w:color w:val="auto"/>
          <w:sz w:val="24"/>
          <w:szCs w:val="24"/>
          <w:highlight w:val="none"/>
          <w:u w:val="single"/>
          <w:lang w:eastAsia="zh-CN"/>
        </w:rPr>
        <w:t>。</w:t>
      </w:r>
    </w:p>
    <w:p>
      <w:pPr>
        <w:spacing w:line="360" w:lineRule="auto"/>
        <w:ind w:left="439" w:leftChars="0" w:hanging="439" w:hangingChars="183"/>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乙方提供产品并承担运输过程中发生的一切费用。在产品交付给甲方之前，相关的毁损、灭失等风险均由乙方自行承担。</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第三条 </w:t>
      </w:r>
      <w:r>
        <w:rPr>
          <w:rFonts w:hint="eastAsia" w:asciiTheme="majorEastAsia" w:hAnsiTheme="majorEastAsia" w:eastAsiaTheme="majorEastAsia"/>
          <w:b/>
          <w:bCs/>
          <w:sz w:val="24"/>
          <w:lang w:eastAsia="zh-CN"/>
        </w:rPr>
        <w:t>付款方式与条件</w:t>
      </w:r>
    </w:p>
    <w:p>
      <w:pPr>
        <w:spacing w:line="360" w:lineRule="auto"/>
        <w:ind w:left="434" w:leftChars="0" w:hanging="434" w:hangingChars="181"/>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13"/>
        <w:spacing w:line="360" w:lineRule="auto"/>
        <w:ind w:left="434" w:leftChars="0" w:hanging="434" w:hangingChars="181"/>
        <w:rPr>
          <w:rFonts w:hint="default" w:ascii="Times New Roman" w:hAnsi="Times New Roman" w:eastAsia="宋体" w:cs="Times New Roman"/>
          <w:sz w:val="24"/>
          <w:lang w:eastAsia="zh-CN"/>
        </w:rPr>
      </w:pPr>
      <w:r>
        <w:rPr>
          <w:rFonts w:hint="default" w:cs="宋体" w:asciiTheme="majorEastAsia" w:hAnsiTheme="majorEastAsia" w:eastAsiaTheme="majorEastAsia"/>
          <w:sz w:val="24"/>
          <w:szCs w:val="22"/>
          <w:lang w:val="en-US" w:eastAsia="zh-CN" w:bidi="ar-SA"/>
        </w:rPr>
        <w:t>3.2</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到货</w:t>
      </w:r>
      <w:r>
        <w:rPr>
          <w:rFonts w:hint="default" w:ascii="Times New Roman" w:hAnsi="Times New Roman" w:eastAsia="宋体" w:cs="Times New Roman"/>
          <w:sz w:val="24"/>
        </w:rPr>
        <w:t>验收款：货到现场，按合同约定标准经甲方验收合格，</w:t>
      </w:r>
      <w:r>
        <w:rPr>
          <w:rFonts w:hint="default" w:ascii="Times New Roman" w:hAnsi="Times New Roman" w:eastAsia="宋体" w:cs="Times New Roman"/>
          <w:sz w:val="24"/>
          <w:lang w:eastAsia="zh-CN"/>
        </w:rPr>
        <w:t>乙方开具</w:t>
      </w:r>
      <w:r>
        <w:rPr>
          <w:rFonts w:hint="default" w:ascii="Times New Roman" w:hAnsi="Times New Roman" w:eastAsia="宋体" w:cs="Times New Roman"/>
          <w:sz w:val="24"/>
          <w:lang w:val="en-US" w:eastAsia="zh-CN"/>
        </w:rPr>
        <w:t>合同全额</w:t>
      </w:r>
      <w:r>
        <w:rPr>
          <w:rFonts w:hint="default" w:ascii="Times New Roman" w:hAnsi="Times New Roman" w:eastAsia="宋体" w:cs="Times New Roman"/>
          <w:sz w:val="24"/>
          <w:lang w:eastAsia="zh-CN"/>
        </w:rPr>
        <w:t>增值税专用发票，甲方收到相应发票原件后</w:t>
      </w:r>
      <w:r>
        <w:rPr>
          <w:rFonts w:hint="default" w:ascii="Times New Roman" w:hAnsi="Times New Roman" w:eastAsia="宋体" w:cs="Times New Roman"/>
          <w:sz w:val="24"/>
          <w:lang w:val="en-US" w:eastAsia="zh-CN"/>
        </w:rPr>
        <w:t>60</w:t>
      </w:r>
      <w:r>
        <w:rPr>
          <w:rFonts w:hint="default" w:ascii="Times New Roman" w:hAnsi="Times New Roman" w:eastAsia="宋体" w:cs="Times New Roman"/>
          <w:sz w:val="24"/>
          <w:lang w:eastAsia="zh-CN"/>
        </w:rPr>
        <w:t>日内付清</w:t>
      </w:r>
      <w:r>
        <w:rPr>
          <w:rFonts w:hint="default" w:ascii="Times New Roman" w:hAnsi="Times New Roman" w:eastAsia="宋体" w:cs="Times New Roman"/>
          <w:sz w:val="24"/>
          <w:lang w:val="en-US" w:eastAsia="zh-CN"/>
        </w:rPr>
        <w:t>货款</w:t>
      </w:r>
      <w:r>
        <w:rPr>
          <w:rFonts w:hint="default" w:ascii="Times New Roman" w:hAnsi="Times New Roman" w:eastAsia="宋体" w:cs="Times New Roman"/>
          <w:sz w:val="24"/>
          <w:lang w:eastAsia="zh-CN"/>
        </w:rPr>
        <w:t>。</w:t>
      </w:r>
    </w:p>
    <w:p>
      <w:pPr>
        <w:pStyle w:val="13"/>
        <w:spacing w:line="360" w:lineRule="auto"/>
        <w:ind w:left="434" w:leftChars="0" w:hanging="434" w:hangingChars="181"/>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第四条 </w:t>
      </w:r>
      <w:r>
        <w:rPr>
          <w:rFonts w:hint="eastAsia" w:asciiTheme="majorEastAsia" w:hAnsiTheme="majorEastAsia" w:eastAsiaTheme="majorEastAsia"/>
          <w:b/>
          <w:bCs/>
          <w:sz w:val="24"/>
          <w:lang w:eastAsia="zh-CN"/>
        </w:rPr>
        <w:t>质量要求和技术标准</w:t>
      </w:r>
    </w:p>
    <w:p>
      <w:pPr>
        <w:spacing w:line="360" w:lineRule="auto"/>
        <w:ind w:left="480" w:leftChars="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left="480" w:leftChars="0" w:hanging="480" w:hangingChars="200"/>
        <w:rPr>
          <w:rFonts w:hint="eastAsia" w:asciiTheme="majorEastAsia" w:hAnsiTheme="majorEastAsia" w:eastAsiaTheme="majorEastAsia"/>
          <w:sz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w:t>
      </w:r>
      <w:r>
        <w:rPr>
          <w:rFonts w:hint="eastAsia" w:asciiTheme="majorEastAsia" w:hAnsiTheme="majorEastAsia" w:eastAsiaTheme="majorEastAsia"/>
          <w:sz w:val="24"/>
        </w:rPr>
        <w:t>月）内，乙方应当对其交付的产品承担质量保证责任，所需费用由乙方承担。</w:t>
      </w:r>
    </w:p>
    <w:p>
      <w:pPr>
        <w:spacing w:line="360" w:lineRule="auto"/>
        <w:ind w:left="480" w:leftChars="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ind w:left="480" w:leftChars="0" w:hanging="480" w:hanging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4.4 乙方不按本合同约定交付产品所产生的任何费用由乙方自己承担。</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第五条 </w:t>
      </w:r>
      <w:r>
        <w:rPr>
          <w:rFonts w:hint="eastAsia" w:asciiTheme="majorEastAsia" w:hAnsiTheme="majorEastAsia" w:eastAsiaTheme="majorEastAsia"/>
          <w:b/>
          <w:bCs/>
          <w:sz w:val="24"/>
          <w:lang w:eastAsia="zh-CN"/>
        </w:rPr>
        <w:t>安装调试、技术服务、人员培训及技术资料</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left="0" w:leftChars="0" w:firstLine="158" w:firstLineChars="66"/>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hint="eastAsia" w:asciiTheme="majorEastAsia" w:hAnsiTheme="majorEastAsia" w:eastAsiaTheme="majorEastAsia"/>
          <w:sz w:val="24"/>
          <w:u w:val="single"/>
          <w:lang w:eastAsia="zh-CN"/>
        </w:rPr>
        <w:t xml:space="preserve"> </w:t>
      </w:r>
    </w:p>
    <w:p>
      <w:pPr>
        <w:spacing w:line="360" w:lineRule="auto"/>
        <w:ind w:left="0" w:leftChars="0" w:firstLine="158" w:firstLineChars="66"/>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pPr>
        <w:spacing w:line="360" w:lineRule="auto"/>
        <w:ind w:left="0" w:leftChars="0" w:firstLine="158" w:firstLineChars="66"/>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pPr>
        <w:spacing w:line="288" w:lineRule="auto"/>
        <w:ind w:left="0" w:leftChars="0" w:firstLine="158" w:firstLineChars="66"/>
        <w:jc w:val="left"/>
        <w:rPr>
          <w:rFonts w:hint="eastAsia"/>
          <w:sz w:val="24"/>
          <w:szCs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hint="eastAsia" w:asciiTheme="majorEastAsia" w:hAnsiTheme="majorEastAsia" w:eastAsiaTheme="majorEastAsia"/>
          <w:sz w:val="24"/>
          <w:lang w:val="en-US"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none"/>
          <w:lang w:eastAsia="zh-CN"/>
        </w:rPr>
        <w:t>（</w:t>
      </w:r>
      <w:r>
        <w:rPr>
          <w:rFonts w:hint="eastAsia" w:ascii="宋体" w:hAnsi="宋体"/>
          <w:sz w:val="24"/>
          <w:szCs w:val="24"/>
          <w:lang w:eastAsia="zh-CN"/>
        </w:rPr>
        <w:t>必须提供</w:t>
      </w:r>
      <w:r>
        <w:rPr>
          <w:rFonts w:hint="eastAsia"/>
          <w:sz w:val="24"/>
          <w:szCs w:val="24"/>
          <w:lang w:val="en-US" w:eastAsia="zh-CN"/>
        </w:rPr>
        <w:t>产品质量合格证明书</w:t>
      </w:r>
      <w:r>
        <w:rPr>
          <w:rFonts w:hint="eastAsia" w:ascii="宋体" w:hAnsi="宋体"/>
          <w:sz w:val="24"/>
          <w:szCs w:val="24"/>
          <w:lang w:eastAsia="zh-CN"/>
        </w:rPr>
        <w:t>。</w:t>
      </w:r>
      <w:r>
        <w:rPr>
          <w:rFonts w:hint="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第六条 </w:t>
      </w:r>
      <w:r>
        <w:rPr>
          <w:rFonts w:hint="eastAsia" w:asciiTheme="majorEastAsia" w:hAnsiTheme="majorEastAsia" w:eastAsiaTheme="majorEastAsia"/>
          <w:b/>
          <w:bCs/>
          <w:sz w:val="24"/>
          <w:lang w:eastAsia="zh-CN"/>
        </w:rPr>
        <w:t>验收</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6.1 到货验收包括：检查</w:t>
      </w:r>
      <w:r>
        <w:rPr>
          <w:rFonts w:hint="default" w:ascii="Times New Roman" w:hAnsi="Times New Roman" w:eastAsia="宋体" w:cs="Times New Roman"/>
          <w:sz w:val="24"/>
          <w:lang w:val="en-US" w:eastAsia="zh-CN"/>
        </w:rPr>
        <w:t>产品</w:t>
      </w:r>
      <w:r>
        <w:rPr>
          <w:rFonts w:hint="default" w:ascii="Times New Roman" w:hAnsi="Times New Roman" w:eastAsia="宋体" w:cs="Times New Roman"/>
          <w:sz w:val="24"/>
          <w:lang w:eastAsia="zh-CN"/>
        </w:rPr>
        <w:t>型号、规格、数量、外观质量、及货物包装是否完好。</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6.2 乙方对一次开箱不合格（产品有质量故障）的产品予以换新，承担一切与之有关的费用。</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6.3 乙方应将所提供货物的装箱清单、</w:t>
      </w:r>
      <w:r>
        <w:rPr>
          <w:rFonts w:hint="default" w:ascii="Times New Roman" w:hAnsi="Times New Roman" w:eastAsia="宋体" w:cs="Times New Roman"/>
          <w:sz w:val="24"/>
          <w:lang w:val="en-US" w:eastAsia="zh-CN"/>
        </w:rPr>
        <w:t>材质报告、质量合格证明材料</w:t>
      </w:r>
      <w:r>
        <w:rPr>
          <w:rFonts w:hint="default" w:ascii="Times New Roman" w:hAnsi="Times New Roman" w:eastAsia="宋体" w:cs="Times New Roman"/>
          <w:sz w:val="24"/>
          <w:lang w:eastAsia="zh-CN"/>
        </w:rPr>
        <w:t>交付给甲方；乙方不能完整交付货物及本款规定</w:t>
      </w:r>
      <w:r>
        <w:rPr>
          <w:rFonts w:hint="default" w:ascii="Times New Roman" w:hAnsi="Times New Roman" w:eastAsia="宋体" w:cs="Times New Roman"/>
          <w:sz w:val="24"/>
          <w:lang w:val="en-US" w:eastAsia="zh-CN"/>
        </w:rPr>
        <w:t>的材料</w:t>
      </w:r>
      <w:r>
        <w:rPr>
          <w:rFonts w:hint="default" w:ascii="Times New Roman" w:hAnsi="Times New Roman" w:eastAsia="宋体" w:cs="Times New Roman"/>
          <w:sz w:val="24"/>
          <w:lang w:eastAsia="zh-CN"/>
        </w:rPr>
        <w:t>，视为未按合同约定交货，乙方负责补齐，因此导致逾期交付的，由乙方承担相关的违约责任。</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sz w:val="24"/>
          <w:lang w:val="en-US" w:eastAsia="zh-CN"/>
        </w:rPr>
        <w:t xml:space="preserve">6.5 </w:t>
      </w:r>
      <w:r>
        <w:rPr>
          <w:rFonts w:hint="default" w:ascii="Times New Roman" w:hAnsi="Times New Roman" w:eastAsia="宋体" w:cs="Times New Roman"/>
          <w:bCs/>
          <w:sz w:val="24"/>
          <w:szCs w:val="24"/>
        </w:rPr>
        <w:t>本条款规定了合同设备的供货范围，卖方保证所提供设备为全新的、先进的、成熟的、完整的和安全可靠的，且设备的技术性能、功能符合技术条件的要求。</w:t>
      </w:r>
    </w:p>
    <w:p>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 xml:space="preserve">6.6 </w:t>
      </w:r>
      <w:r>
        <w:rPr>
          <w:rFonts w:hint="default" w:ascii="Times New Roman" w:hAnsi="Times New Roman" w:eastAsia="宋体" w:cs="Times New Roman"/>
          <w:bCs/>
          <w:sz w:val="24"/>
          <w:szCs w:val="24"/>
        </w:rPr>
        <w:t>卖方确保货物完整，能满足用户安装、运行要求为原则，在技术规范中涉及的供货要求也作为本供货范围的补充，即使未列入供货表中，若在安装、调试、运行中发现缺项也应由卖方无偿补充。</w:t>
      </w:r>
    </w:p>
    <w:p>
      <w:pPr>
        <w:pStyle w:val="2"/>
        <w:keepNext w:val="0"/>
        <w:keepLines w:val="0"/>
        <w:pageBreakBefore w:val="0"/>
        <w:widowControl w:val="0"/>
        <w:kinsoku/>
        <w:wordWrap/>
        <w:overflowPunct/>
        <w:topLinePunct w:val="0"/>
        <w:autoSpaceDE/>
        <w:autoSpaceDN/>
        <w:bidi w:val="0"/>
        <w:adjustRightInd w:val="0"/>
        <w:snapToGrid/>
        <w:spacing w:before="157" w:beforeLines="50" w:line="360" w:lineRule="auto"/>
        <w:ind w:left="501" w:leftChars="0" w:right="0" w:rightChars="0" w:hanging="501" w:hangingChars="208"/>
        <w:jc w:val="both"/>
        <w:textAlignment w:val="baseline"/>
        <w:outlineLvl w:val="9"/>
        <w:rPr>
          <w:rFonts w:hint="eastAsia" w:ascii="Times New Roman" w:hAnsi="Times New Roman" w:cs="Times New Roman"/>
          <w:b/>
          <w:bCs w:val="0"/>
          <w:sz w:val="24"/>
          <w:szCs w:val="24"/>
          <w:lang w:val="en-US" w:eastAsia="zh-CN"/>
        </w:rPr>
      </w:pPr>
      <w:r>
        <w:rPr>
          <w:rFonts w:hint="eastAsia" w:hAnsi="宋体" w:cs="宋体"/>
          <w:b/>
          <w:bCs w:val="0"/>
          <w:sz w:val="24"/>
          <w:szCs w:val="22"/>
          <w:lang w:val="en-US" w:eastAsia="zh-CN" w:bidi="ar-SA"/>
        </w:rPr>
        <w:t xml:space="preserve">第七条 </w:t>
      </w:r>
      <w:r>
        <w:rPr>
          <w:rFonts w:hint="eastAsia" w:ascii="Times New Roman" w:hAnsi="Times New Roman" w:cs="Times New Roman"/>
          <w:b/>
          <w:bCs w:val="0"/>
          <w:sz w:val="24"/>
          <w:szCs w:val="24"/>
          <w:lang w:val="en-US" w:eastAsia="zh-CN"/>
        </w:rPr>
        <w:t>履约保证</w:t>
      </w:r>
      <w:r>
        <w:rPr>
          <w:rFonts w:hint="eastAsia" w:hAnsi="宋体" w:cs="宋体"/>
          <w:b/>
          <w:bCs w:val="0"/>
          <w:sz w:val="24"/>
          <w:szCs w:val="22"/>
          <w:lang w:val="en-US" w:eastAsia="zh-CN" w:bidi="ar-SA"/>
        </w:rPr>
        <w:t>金</w:t>
      </w:r>
    </w:p>
    <w:p>
      <w:pPr>
        <w:keepNext w:val="0"/>
        <w:keepLines w:val="0"/>
        <w:pageBreakBefore w:val="0"/>
        <w:kinsoku/>
        <w:wordWrap/>
        <w:overflowPunct/>
        <w:topLinePunct w:val="0"/>
        <w:bidi w:val="0"/>
        <w:snapToGrid/>
        <w:spacing w:line="360" w:lineRule="auto"/>
        <w:ind w:left="499" w:leftChars="0" w:hanging="499" w:hangingChars="208"/>
        <w:outlineLvl w:val="9"/>
        <w:rPr>
          <w:rFonts w:hint="eastAsia"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 xml:space="preserve">7.1 </w:t>
      </w:r>
      <w:r>
        <w:rPr>
          <w:rFonts w:hint="default" w:ascii="Times New Roman" w:hAnsi="Times New Roman" w:eastAsia="宋体" w:cs="Times New Roman"/>
          <w:sz w:val="24"/>
          <w:szCs w:val="24"/>
          <w:lang w:eastAsia="zh-CN"/>
        </w:rPr>
        <w:t>合同签订后，乙方的参选保证金</w:t>
      </w:r>
      <w:r>
        <w:rPr>
          <w:rFonts w:hint="eastAsia" w:ascii="Times New Roman" w:hAnsi="Times New Roman" w:eastAsia="宋体" w:cs="Times New Roman"/>
          <w:sz w:val="24"/>
          <w:szCs w:val="24"/>
          <w:lang w:val="en-US" w:eastAsia="zh-CN"/>
        </w:rPr>
        <w:t>人民币</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3</w:t>
      </w:r>
      <w:r>
        <w:rPr>
          <w:rFonts w:hint="eastAsia" w:ascii="Times New Roman" w:hAnsi="Times New Roman" w:cs="Times New Roman"/>
          <w:b w:val="0"/>
          <w:bCs w:val="0"/>
          <w:sz w:val="24"/>
          <w:szCs w:val="24"/>
          <w:u w:val="single"/>
          <w:lang w:val="en-US" w:eastAsia="zh-CN"/>
        </w:rPr>
        <w:t>,12</w:t>
      </w:r>
      <w:r>
        <w:rPr>
          <w:rFonts w:hint="default" w:ascii="Times New Roman" w:hAnsi="Times New Roman" w:eastAsia="宋体" w:cs="Times New Roman"/>
          <w:b w:val="0"/>
          <w:bCs w:val="0"/>
          <w:sz w:val="24"/>
          <w:szCs w:val="24"/>
          <w:u w:val="single"/>
          <w:lang w:eastAsia="zh-CN"/>
        </w:rPr>
        <w:t>0</w:t>
      </w:r>
      <w:r>
        <w:rPr>
          <w:rFonts w:hint="eastAsia" w:ascii="Times New Roman" w:hAnsi="Times New Roman" w:eastAsia="宋体" w:cs="Times New Roman"/>
          <w:b w:val="0"/>
          <w:bCs w:val="0"/>
          <w:sz w:val="24"/>
          <w:szCs w:val="24"/>
          <w:u w:val="single"/>
          <w:lang w:val="en-US" w:eastAsia="zh-CN"/>
        </w:rPr>
        <w:t xml:space="preserve">.00 </w:t>
      </w:r>
      <w:r>
        <w:rPr>
          <w:rFonts w:hint="default" w:ascii="Times New Roman" w:hAnsi="Times New Roman" w:eastAsia="宋体" w:cs="Times New Roman"/>
          <w:sz w:val="24"/>
          <w:szCs w:val="24"/>
          <w:lang w:eastAsia="zh-CN"/>
        </w:rPr>
        <w:t>元将直接转为本合同的履约保证金，</w:t>
      </w:r>
      <w:r>
        <w:rPr>
          <w:rFonts w:hint="eastAsia" w:ascii="Times New Roman" w:hAnsi="Times New Roman" w:cs="Times New Roman"/>
          <w:sz w:val="24"/>
          <w:szCs w:val="24"/>
          <w:lang w:val="en-US" w:eastAsia="zh-CN"/>
        </w:rPr>
        <w:t>若乙方违约或发生本合同约定的其他事由的，甲方有权从履约保证金中优先扣除乙方违约金及其他应付款项；由此造成履约保证金不足的，乙方应在5日内补足，逾期每日按照应缴金额的千分之一支付违约金。</w:t>
      </w:r>
    </w:p>
    <w:p>
      <w:pPr>
        <w:keepNext w:val="0"/>
        <w:keepLines w:val="0"/>
        <w:pageBreakBefore w:val="0"/>
        <w:kinsoku/>
        <w:wordWrap/>
        <w:overflowPunct/>
        <w:topLinePunct w:val="0"/>
        <w:bidi w:val="0"/>
        <w:snapToGrid/>
        <w:spacing w:line="360" w:lineRule="auto"/>
        <w:ind w:left="499" w:leftChars="0" w:hanging="499" w:hangingChars="208"/>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7.2  </w:t>
      </w:r>
      <w:r>
        <w:rPr>
          <w:rFonts w:hint="default" w:ascii="Times New Roman" w:hAnsi="Times New Roman" w:cs="Times New Roman"/>
          <w:sz w:val="24"/>
          <w:szCs w:val="24"/>
          <w:lang w:val="en-US" w:eastAsia="zh-CN"/>
        </w:rPr>
        <w:t>该履约保证金</w:t>
      </w:r>
      <w:r>
        <w:rPr>
          <w:rFonts w:hint="eastAsia" w:ascii="Times New Roman" w:hAnsi="Times New Roman" w:cs="Times New Roman"/>
          <w:sz w:val="24"/>
          <w:szCs w:val="24"/>
          <w:lang w:val="en-US" w:eastAsia="zh-CN"/>
        </w:rPr>
        <w:t>在乙方全面履行完毕本</w:t>
      </w:r>
      <w:r>
        <w:rPr>
          <w:rFonts w:hint="default" w:ascii="Times New Roman" w:hAnsi="Times New Roman" w:cs="Times New Roman"/>
          <w:sz w:val="24"/>
          <w:szCs w:val="24"/>
          <w:lang w:val="en-US" w:eastAsia="zh-CN"/>
        </w:rPr>
        <w:t>合同</w:t>
      </w:r>
      <w:r>
        <w:rPr>
          <w:rFonts w:hint="eastAsia" w:ascii="Times New Roman" w:hAnsi="Times New Roman" w:cs="Times New Roman"/>
          <w:sz w:val="24"/>
          <w:szCs w:val="24"/>
          <w:lang w:val="en-US" w:eastAsia="zh-CN"/>
        </w:rPr>
        <w:t>义务后30天</w:t>
      </w:r>
      <w:r>
        <w:rPr>
          <w:rFonts w:hint="default" w:ascii="Times New Roman" w:hAnsi="Times New Roman" w:cs="Times New Roman"/>
          <w:sz w:val="24"/>
          <w:szCs w:val="24"/>
          <w:lang w:val="en-US" w:eastAsia="zh-CN"/>
        </w:rPr>
        <w:t>内</w:t>
      </w:r>
      <w:r>
        <w:rPr>
          <w:rFonts w:hint="eastAsia" w:ascii="Times New Roman" w:hAnsi="Times New Roman" w:cs="Times New Roman"/>
          <w:sz w:val="24"/>
          <w:szCs w:val="24"/>
          <w:lang w:val="en-US" w:eastAsia="zh-CN"/>
        </w:rPr>
        <w:t>无息退还。但履约保证金退还后发现任何应由乙方承担责任的行为或事件，乙方仍应承担责任。</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第八条 </w:t>
      </w:r>
      <w:r>
        <w:rPr>
          <w:rFonts w:hint="eastAsia" w:asciiTheme="majorEastAsia" w:hAnsiTheme="majorEastAsia" w:eastAsiaTheme="majorEastAsia"/>
          <w:b/>
          <w:bCs/>
          <w:sz w:val="24"/>
          <w:lang w:eastAsia="zh-CN"/>
        </w:rPr>
        <w:t>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 xml:space="preserve">第九条 </w:t>
      </w:r>
      <w:r>
        <w:rPr>
          <w:rFonts w:hint="eastAsia" w:asciiTheme="majorEastAsia" w:hAnsiTheme="majorEastAsia" w:eastAsiaTheme="majorEastAsia"/>
          <w:b/>
          <w:bCs/>
          <w:sz w:val="24"/>
          <w:lang w:eastAsia="zh-CN"/>
        </w:rPr>
        <w:t>违约责任</w:t>
      </w:r>
    </w:p>
    <w:p>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ind w:left="494" w:leftChars="0" w:hanging="494" w:hangingChars="206"/>
        <w:rPr>
          <w:rFonts w:asciiTheme="majorEastAsia" w:hAnsiTheme="majorEastAsia" w:eastAsiaTheme="majorEastAsia"/>
          <w:sz w:val="24"/>
          <w:highlight w:val="yellow"/>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 xml:space="preserve">.3 </w:t>
      </w:r>
      <w:r>
        <w:rPr>
          <w:rFonts w:hint="eastAsia"/>
          <w:sz w:val="24"/>
          <w:szCs w:val="24"/>
          <w:highlight w:val="none"/>
          <w:lang w:eastAsia="zh-CN"/>
        </w:rPr>
        <w:t>如甲方逾期付款，应按全国银行间同业拆借中心公布的贷款市场报价利率向乙方支付利息</w:t>
      </w:r>
      <w:r>
        <w:rPr>
          <w:rFonts w:hint="eastAsia"/>
          <w:sz w:val="24"/>
          <w:highlight w:val="none"/>
          <w:lang w:eastAsia="zh-CN"/>
        </w:rPr>
        <w:t>。</w:t>
      </w:r>
    </w:p>
    <w:p>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.4 一方的违约行为给对方造成的损失超过本合同约定的违约金数额的，超出部分，违约方应予以赔偿。</w:t>
      </w:r>
    </w:p>
    <w:p>
      <w:pPr>
        <w:pStyle w:val="2"/>
        <w:spacing w:line="360" w:lineRule="auto"/>
        <w:ind w:left="494" w:leftChars="0" w:hanging="494" w:hangingChars="206"/>
        <w:rPr>
          <w:sz w:val="24"/>
          <w:szCs w:val="24"/>
        </w:rPr>
      </w:pPr>
      <w:r>
        <w:rPr>
          <w:rFonts w:hint="eastAsia"/>
          <w:sz w:val="24"/>
          <w:szCs w:val="24"/>
          <w:lang w:val="en-US" w:eastAsia="zh-CN"/>
        </w:rPr>
        <w:t>9</w:t>
      </w:r>
      <w:r>
        <w:rPr>
          <w:rFonts w:hint="eastAsia"/>
          <w:sz w:val="24"/>
          <w:szCs w:val="24"/>
        </w:rPr>
        <w:t>.5甲方已就本合同项下涉及乙方重大利害关系的条款向乙方作出详细说明，乙方充分理解上述条款含义，并自愿签订本合同。</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right="0" w:rightChars="0"/>
        <w:jc w:val="left"/>
        <w:textAlignment w:val="auto"/>
        <w:outlineLvl w:val="9"/>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 xml:space="preserve">第十条  </w:t>
      </w:r>
      <w:r>
        <w:rPr>
          <w:rFonts w:hint="eastAsia" w:asciiTheme="majorEastAsia" w:hAnsiTheme="majorEastAsia" w:eastAsiaTheme="majorEastAsia"/>
          <w:b/>
          <w:bCs/>
          <w:sz w:val="24"/>
          <w:lang w:eastAsia="zh-CN"/>
        </w:rPr>
        <w:t>法律的适用及争议解决方式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lang w:eastAsia="zh-CN"/>
        </w:rPr>
        <w:t>.1</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本合同的效力、解释及履行均适用中华人民共和国法律。</w:t>
      </w:r>
    </w:p>
    <w:p>
      <w:pPr>
        <w:spacing w:line="360" w:lineRule="auto"/>
        <w:ind w:left="48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lang w:eastAsia="zh-CN"/>
        </w:rPr>
        <w:t>.2</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第十一条</w:t>
      </w:r>
      <w:r>
        <w:rPr>
          <w:rFonts w:hint="eastAsia" w:asciiTheme="majorEastAsia" w:hAnsiTheme="majorEastAsia" w:eastAsiaTheme="majorEastAsia"/>
          <w:b/>
          <w:bCs/>
          <w:sz w:val="24"/>
          <w:lang w:eastAsia="zh-CN"/>
        </w:rPr>
        <w:t xml:space="preserve">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第十二条 </w:t>
      </w:r>
      <w:r>
        <w:rPr>
          <w:rFonts w:hint="eastAsia" w:asciiTheme="majorEastAsia" w:hAnsiTheme="majorEastAsia" w:eastAsiaTheme="majorEastAsia"/>
          <w:b/>
          <w:bCs/>
          <w:sz w:val="24"/>
          <w:lang w:eastAsia="zh-CN"/>
        </w:rPr>
        <w:t>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第十三条</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本合同一式陆份，经双方盖章后生效，甲方执肆份、乙方执贰份，合同与附件具有同等效力。</w:t>
      </w:r>
    </w:p>
    <w:p>
      <w:pPr>
        <w:pStyle w:val="2"/>
        <w:spacing w:line="360" w:lineRule="auto"/>
        <w:rPr>
          <w:sz w:val="24"/>
          <w:szCs w:val="24"/>
        </w:rPr>
      </w:pPr>
    </w:p>
    <w:p>
      <w:pPr>
        <w:spacing w:line="360" w:lineRule="auto"/>
        <w:rPr>
          <w:rFonts w:cs="Arial"/>
          <w:b/>
          <w:sz w:val="24"/>
          <w:lang w:eastAsia="zh-CN"/>
        </w:rPr>
      </w:pPr>
      <w:r>
        <w:rPr>
          <w:rFonts w:hint="eastAsia" w:cs="Arial"/>
          <w:b/>
          <w:sz w:val="24"/>
          <w:lang w:eastAsia="zh-CN"/>
        </w:rPr>
        <w:t>（本页为签署栏，无正文）</w:t>
      </w: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tbl>
      <w:tblPr>
        <w:tblStyle w:val="35"/>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w:t>
            </w:r>
            <w:r>
              <w:rPr>
                <w:rFonts w:hint="eastAsia"/>
                <w:b/>
                <w:bCs/>
                <w:sz w:val="24"/>
                <w:lang w:eastAsia="zh-CN"/>
              </w:rPr>
              <w:t>翔鹭码头投资管理（漳州）有限公司</w:t>
            </w:r>
          </w:p>
        </w:tc>
        <w:tc>
          <w:tcPr>
            <w:tcW w:w="4821"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imes New Roman" w:hAnsi="Times New Roman" w:cs="Times New Roman"/>
                <w:sz w:val="24"/>
                <w:szCs w:val="24"/>
                <w:lang w:eastAsia="zh-CN"/>
              </w:rPr>
              <w:t>福建省漳州市古雷开发区腾龙路</w:t>
            </w:r>
            <w:r>
              <w:rPr>
                <w:rFonts w:hint="eastAsia" w:ascii="Times New Roman" w:hAnsi="Times New Roman" w:cs="Times New Roman"/>
                <w:sz w:val="24"/>
                <w:szCs w:val="24"/>
                <w:lang w:eastAsia="zh-CN"/>
              </w:rPr>
              <w:t>86</w:t>
            </w:r>
            <w:r>
              <w:rPr>
                <w:rFonts w:ascii="Times New Roman" w:hAnsi="Times New Roman" w:cs="Times New Roman"/>
                <w:sz w:val="24"/>
                <w:szCs w:val="24"/>
                <w:lang w:eastAsia="zh-CN"/>
              </w:rPr>
              <w:t>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开户银行：</w:t>
            </w:r>
            <w:r>
              <w:rPr>
                <w:rFonts w:hint="eastAsia" w:asciiTheme="majorEastAsia" w:hAnsiTheme="majorEastAsia" w:eastAsiaTheme="majorEastAsia"/>
                <w:sz w:val="24"/>
              </w:rPr>
              <w:t>中国银行漳浦支行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账号：</w:t>
            </w:r>
            <w:r>
              <w:rPr>
                <w:rFonts w:hint="eastAsia" w:asciiTheme="majorEastAsia" w:hAnsiTheme="majorEastAsia" w:eastAsiaTheme="majorEastAsia"/>
                <w:sz w:val="24"/>
              </w:rPr>
              <w:t>423467650735</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w:t>
            </w:r>
            <w:r>
              <w:rPr>
                <w:sz w:val="24"/>
                <w:szCs w:val="24"/>
                <w:lang w:eastAsia="zh-CN"/>
              </w:rPr>
              <w:t>91350623098275001C</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bookmarkEnd w:id="9"/>
    </w:tbl>
    <w:p>
      <w:pPr>
        <w:rPr>
          <w:rFonts w:hAnsi="Calibri" w:cs="Times New Roman"/>
          <w:b/>
          <w:bCs/>
          <w:sz w:val="32"/>
          <w:szCs w:val="32"/>
          <w:lang w:eastAsia="zh-CN"/>
        </w:rPr>
      </w:pPr>
    </w:p>
    <w:p>
      <w:pPr>
        <w:pStyle w:val="2"/>
        <w:rPr>
          <w:b/>
          <w:sz w:val="28"/>
          <w:szCs w:val="28"/>
        </w:rPr>
      </w:pPr>
    </w:p>
    <w:p>
      <w:pPr>
        <w:pStyle w:val="2"/>
        <w:rPr>
          <w:b/>
          <w:sz w:val="28"/>
          <w:szCs w:val="28"/>
        </w:rPr>
      </w:pPr>
    </w:p>
    <w:p>
      <w:pPr>
        <w:pStyle w:val="2"/>
        <w:rPr>
          <w:b/>
          <w:sz w:val="28"/>
          <w:szCs w:val="28"/>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u w:val="single"/>
          <w:lang w:val="en-US" w:eastAsia="zh-CN"/>
        </w:rPr>
        <w:t>PE篷布及彩条布</w:t>
      </w:r>
      <w:r>
        <w:rPr>
          <w:rFonts w:hint="eastAsia" w:ascii="Times New Roman" w:hAnsi="Times New Roman" w:cs="Times New Roman"/>
          <w:b/>
          <w:bCs/>
          <w:sz w:val="44"/>
          <w:szCs w:val="44"/>
          <w:lang w:val="en-US"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val="en-US" w:eastAsia="zh-CN"/>
        </w:rPr>
        <w:t>10</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9"/>
        <w:spacing w:beforeLines="0" w:afterLines="0" w:line="240" w:lineRule="auto"/>
        <w:ind w:firstLine="618" w:firstLineChars="221"/>
        <w:rPr>
          <w:rFonts w:ascii="Times New Roman" w:hAnsi="Times New Roman" w:cs="Times New Roman"/>
          <w:bCs w:val="0"/>
          <w:color w:val="C00000"/>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pStyle w:val="2"/>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b/>
          <w:bCs/>
          <w:sz w:val="24"/>
          <w:szCs w:val="24"/>
          <w:u w:val="single"/>
          <w:lang w:val="en-US" w:eastAsia="zh-CN"/>
        </w:rPr>
        <w:t>PE篷布及彩条布</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b/>
          <w:bCs/>
          <w:sz w:val="28"/>
          <w:szCs w:val="28"/>
          <w:lang w:eastAsia="zh-CN"/>
        </w:rPr>
      </w:pPr>
      <w:r>
        <w:rPr>
          <w:rFonts w:hint="eastAsia"/>
          <w:b/>
          <w:bCs/>
          <w:sz w:val="28"/>
          <w:szCs w:val="28"/>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PE篷布及彩条布采购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9"/>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b/>
          <w:bCs/>
          <w:color w:val="auto"/>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u w:val="single"/>
          <w:lang w:val="en-US" w:eastAsia="zh-CN"/>
        </w:rPr>
        <w:t xml:space="preserve">PE篷布及彩条布采购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b/>
          <w:bCs/>
          <w:sz w:val="24"/>
          <w:u w:val="single"/>
          <w:lang w:val="en-US" w:eastAsia="zh-CN"/>
        </w:rPr>
        <w:t>PE篷布</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/张，</w:t>
      </w:r>
      <w:r>
        <w:rPr>
          <w:rFonts w:hint="eastAsia"/>
          <w:b/>
          <w:bCs/>
          <w:sz w:val="24"/>
          <w:u w:val="single"/>
          <w:lang w:val="en-US" w:eastAsia="zh-CN"/>
        </w:rPr>
        <w:t xml:space="preserve">彩条布    </w:t>
      </w:r>
      <w:r>
        <w:rPr>
          <w:rFonts w:hint="eastAsia"/>
          <w:b/>
          <w:bCs/>
          <w:sz w:val="24"/>
          <w:u w:val="none"/>
          <w:lang w:val="en-US" w:eastAsia="zh-CN"/>
        </w:rPr>
        <w:t>元/张；</w:t>
      </w:r>
      <w:r>
        <w:rPr>
          <w:rFonts w:hint="eastAsia"/>
          <w:sz w:val="24"/>
          <w:szCs w:val="24"/>
          <w:lang w:val="en-US" w:eastAsia="zh-CN"/>
        </w:rPr>
        <w:t>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13"/>
        <w:spacing w:line="360" w:lineRule="auto"/>
        <w:ind w:left="2824" w:leftChars="0" w:hanging="2824" w:hangingChars="1177"/>
        <w:rPr>
          <w:rFonts w:hint="default" w:ascii="Times New Roman" w:hAnsi="Times New Roman" w:eastAsia="宋体" w:cs="Times New Roman"/>
          <w:sz w:val="24"/>
          <w:lang w:eastAsia="zh-CN"/>
        </w:rPr>
      </w:pPr>
      <w:r>
        <w:rPr>
          <w:rFonts w:hint="eastAsia"/>
          <w:sz w:val="24"/>
          <w:szCs w:val="24"/>
        </w:rPr>
        <w:t xml:space="preserve">                     </w:t>
      </w:r>
      <w:r>
        <w:rPr>
          <w:rFonts w:hint="eastAsia"/>
          <w:sz w:val="24"/>
          <w:szCs w:val="24"/>
          <w:highlight w:val="none"/>
        </w:rPr>
        <w:t xml:space="preserve">   2）货到现场，</w:t>
      </w:r>
      <w:r>
        <w:rPr>
          <w:rFonts w:hint="default" w:ascii="Times New Roman" w:hAnsi="Times New Roman" w:eastAsia="宋体" w:cs="Times New Roman"/>
          <w:sz w:val="24"/>
        </w:rPr>
        <w:t>按合同约定标准经甲方验收合格，</w:t>
      </w:r>
      <w:r>
        <w:rPr>
          <w:rFonts w:hint="default" w:ascii="Times New Roman" w:hAnsi="Times New Roman" w:eastAsia="宋体" w:cs="Times New Roman"/>
          <w:sz w:val="24"/>
          <w:lang w:eastAsia="zh-CN"/>
        </w:rPr>
        <w:t>乙方开具</w:t>
      </w:r>
      <w:r>
        <w:rPr>
          <w:rFonts w:hint="default" w:ascii="Times New Roman" w:hAnsi="Times New Roman" w:eastAsia="宋体" w:cs="Times New Roman"/>
          <w:sz w:val="24"/>
          <w:lang w:val="en-US" w:eastAsia="zh-CN"/>
        </w:rPr>
        <w:t>合同全额</w:t>
      </w:r>
      <w:r>
        <w:rPr>
          <w:rFonts w:hint="default" w:ascii="Times New Roman" w:hAnsi="Times New Roman" w:eastAsia="宋体" w:cs="Times New Roman"/>
          <w:sz w:val="24"/>
          <w:lang w:eastAsia="zh-CN"/>
        </w:rPr>
        <w:t>增值税专用发票，甲方收到相应发票原件后</w:t>
      </w:r>
      <w:r>
        <w:rPr>
          <w:rFonts w:hint="default" w:ascii="Times New Roman" w:hAnsi="Times New Roman" w:eastAsia="宋体" w:cs="Times New Roman"/>
          <w:sz w:val="24"/>
          <w:lang w:val="en-US" w:eastAsia="zh-CN"/>
        </w:rPr>
        <w:t>60</w:t>
      </w:r>
      <w:r>
        <w:rPr>
          <w:rFonts w:hint="default" w:ascii="Times New Roman" w:hAnsi="Times New Roman" w:eastAsia="宋体" w:cs="Times New Roman"/>
          <w:sz w:val="24"/>
          <w:lang w:eastAsia="zh-CN"/>
        </w:rPr>
        <w:t>日内付清</w:t>
      </w:r>
      <w:r>
        <w:rPr>
          <w:rFonts w:hint="default" w:ascii="Times New Roman" w:hAnsi="Times New Roman" w:eastAsia="宋体" w:cs="Times New Roman"/>
          <w:sz w:val="24"/>
          <w:lang w:val="en-US" w:eastAsia="zh-CN"/>
        </w:rPr>
        <w:t>货款</w:t>
      </w:r>
      <w:r>
        <w:rPr>
          <w:rFonts w:hint="default" w:ascii="Times New Roman" w:hAnsi="Times New Roman" w:eastAsia="宋体" w:cs="Times New Roman"/>
          <w:sz w:val="24"/>
          <w:lang w:eastAsia="zh-CN"/>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9"/>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3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693"/>
        <w:gridCol w:w="1368"/>
        <w:gridCol w:w="2385"/>
        <w:gridCol w:w="915"/>
        <w:gridCol w:w="762"/>
        <w:gridCol w:w="1158"/>
        <w:gridCol w:w="1020"/>
        <w:gridCol w:w="1305"/>
      </w:tblGrid>
      <w:tr>
        <w:tblPrEx>
          <w:tblLayout w:type="fixed"/>
          <w:tblCellMar>
            <w:top w:w="0" w:type="dxa"/>
            <w:left w:w="108" w:type="dxa"/>
            <w:bottom w:w="0" w:type="dxa"/>
            <w:right w:w="108" w:type="dxa"/>
          </w:tblCellMar>
        </w:tblPrEx>
        <w:trPr>
          <w:trHeight w:val="675" w:hRule="atLeast"/>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序号</w:t>
            </w:r>
          </w:p>
        </w:tc>
        <w:tc>
          <w:tcPr>
            <w:tcW w:w="13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名称</w:t>
            </w:r>
          </w:p>
        </w:tc>
        <w:tc>
          <w:tcPr>
            <w:tcW w:w="23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规格与型号</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单位</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数量</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含税</w:t>
            </w:r>
          </w:p>
          <w:p>
            <w:pPr>
              <w:widowControl/>
              <w:autoSpaceDE/>
              <w:autoSpaceDN/>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到厂单价</w:t>
            </w:r>
          </w:p>
          <w:p>
            <w:pPr>
              <w:pStyle w:val="2"/>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（元/张）</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合计</w:t>
            </w:r>
          </w:p>
          <w:p>
            <w:pPr>
              <w:pStyle w:val="2"/>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（元）</w:t>
            </w: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备注</w:t>
            </w:r>
          </w:p>
        </w:tc>
      </w:tr>
      <w:tr>
        <w:tblPrEx>
          <w:tblLayout w:type="fixed"/>
          <w:tblCellMar>
            <w:top w:w="0" w:type="dxa"/>
            <w:left w:w="108" w:type="dxa"/>
            <w:bottom w:w="0" w:type="dxa"/>
            <w:right w:w="108" w:type="dxa"/>
          </w:tblCellMar>
        </w:tblPrEx>
        <w:trPr>
          <w:trHeight w:val="675" w:hRule="atLeast"/>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1</w:t>
            </w:r>
          </w:p>
        </w:tc>
        <w:tc>
          <w:tcPr>
            <w:tcW w:w="13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PE篷布</w:t>
            </w:r>
          </w:p>
        </w:tc>
        <w:tc>
          <w:tcPr>
            <w:tcW w:w="23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28米*20米，</w:t>
            </w:r>
          </w:p>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eastAsia="zh-CN"/>
              </w:rPr>
              <w:t>每平方米不低于180g</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张</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50</w:t>
            </w:r>
          </w:p>
        </w:tc>
        <w:tc>
          <w:tcPr>
            <w:tcW w:w="1158" w:type="dxa"/>
            <w:tcBorders>
              <w:top w:val="single" w:color="auto" w:sz="4" w:space="0"/>
              <w:left w:val="nil"/>
              <w:bottom w:val="single" w:color="auto" w:sz="4" w:space="0"/>
              <w:right w:val="single" w:color="auto" w:sz="4" w:space="0"/>
            </w:tcBorders>
            <w:shd w:val="clear" w:color="auto" w:fill="auto"/>
            <w:vAlign w:val="center"/>
          </w:tcPr>
          <w:p>
            <w:pPr>
              <w:pStyle w:val="2"/>
              <w:ind w:left="-59" w:leftChars="-27" w:right="-114" w:rightChars="-52" w:firstLine="0" w:firstLineChars="0"/>
              <w:jc w:val="center"/>
              <w:rPr>
                <w:rFonts w:hint="eastAsia" w:cs="宋体" w:asciiTheme="majorEastAsia" w:hAnsiTheme="majorEastAsia" w:eastAsiaTheme="majorEastAsia"/>
                <w:b w:val="0"/>
                <w:bCs w:val="0"/>
                <w:sz w:val="18"/>
                <w:szCs w:val="18"/>
                <w:shd w:val="clear" w:color="auto" w:fill="FFFFFF"/>
                <w:lang w:val="en-US" w:eastAsia="zh-CN" w:bidi="ar-SA"/>
              </w:rPr>
            </w:pPr>
          </w:p>
        </w:tc>
        <w:tc>
          <w:tcPr>
            <w:tcW w:w="1020"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r>
      <w:tr>
        <w:tblPrEx>
          <w:tblLayout w:type="fixed"/>
          <w:tblCellMar>
            <w:top w:w="0" w:type="dxa"/>
            <w:left w:w="108" w:type="dxa"/>
            <w:bottom w:w="0" w:type="dxa"/>
            <w:right w:w="108" w:type="dxa"/>
          </w:tblCellMar>
        </w:tblPrEx>
        <w:trPr>
          <w:trHeight w:val="675" w:hRule="atLeast"/>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asciiTheme="majorEastAsia" w:hAnsiTheme="majorEastAsia" w:eastAsiaTheme="majorEastAsia"/>
                <w:sz w:val="21"/>
                <w:szCs w:val="21"/>
                <w:lang w:val="en-US" w:eastAsia="zh-CN"/>
              </w:rPr>
              <w:t>2</w:t>
            </w:r>
          </w:p>
        </w:tc>
        <w:tc>
          <w:tcPr>
            <w:tcW w:w="1368"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sz w:val="21"/>
                <w:szCs w:val="21"/>
                <w:lang w:val="en-US" w:eastAsia="zh-CN" w:bidi="ar-SA"/>
              </w:rPr>
              <w:t>彩条布</w:t>
            </w:r>
          </w:p>
        </w:tc>
        <w:tc>
          <w:tcPr>
            <w:tcW w:w="2385" w:type="dxa"/>
            <w:tcBorders>
              <w:top w:val="single" w:color="auto" w:sz="4" w:space="0"/>
              <w:left w:val="nil"/>
              <w:bottom w:val="single" w:color="auto" w:sz="4" w:space="0"/>
              <w:right w:val="single" w:color="auto" w:sz="4" w:space="0"/>
            </w:tcBorders>
            <w:shd w:val="clear" w:color="auto" w:fill="auto"/>
            <w:vAlign w:val="center"/>
          </w:tcPr>
          <w:p>
            <w:pPr>
              <w:pStyle w:val="4"/>
              <w:spacing w:line="360" w:lineRule="auto"/>
              <w:ind w:left="9" w:leftChars="0" w:firstLine="11" w:firstLineChars="0"/>
              <w:jc w:val="center"/>
              <w:rPr>
                <w:rFonts w:hint="eastAsia" w:cs="宋体" w:asciiTheme="majorEastAsia" w:hAnsiTheme="majorEastAsia" w:eastAsiaTheme="majorEastAsia"/>
                <w:b w:val="0"/>
                <w:bCs w:val="0"/>
                <w:sz w:val="21"/>
                <w:szCs w:val="21"/>
                <w:lang w:val="en-US" w:eastAsia="en-US" w:bidi="ar-SA"/>
              </w:rPr>
            </w:pPr>
            <w:r>
              <w:rPr>
                <w:rFonts w:hint="eastAsia" w:cs="宋体" w:asciiTheme="majorEastAsia" w:hAnsiTheme="majorEastAsia" w:eastAsiaTheme="majorEastAsia"/>
                <w:b w:val="0"/>
                <w:bCs w:val="0"/>
                <w:sz w:val="21"/>
                <w:szCs w:val="21"/>
                <w:lang w:val="en-US" w:eastAsia="en-US" w:bidi="ar-SA"/>
              </w:rPr>
              <w:t>25米*20米，</w:t>
            </w:r>
          </w:p>
          <w:p>
            <w:pPr>
              <w:pStyle w:val="4"/>
              <w:spacing w:line="360" w:lineRule="auto"/>
              <w:ind w:left="9" w:leftChars="0" w:firstLine="11"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lang w:val="en-US" w:eastAsia="en-US" w:bidi="ar-SA"/>
              </w:rPr>
              <w:t>每平方不低于100g</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张</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30</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r>
      <w:tr>
        <w:tblPrEx>
          <w:tblLayout w:type="fixed"/>
          <w:tblCellMar>
            <w:top w:w="0" w:type="dxa"/>
            <w:left w:w="108" w:type="dxa"/>
            <w:bottom w:w="0" w:type="dxa"/>
            <w:right w:w="108" w:type="dxa"/>
          </w:tblCellMar>
        </w:tblPrEx>
        <w:trPr>
          <w:trHeight w:val="720" w:hRule="atLeast"/>
        </w:trPr>
        <w:tc>
          <w:tcPr>
            <w:tcW w:w="53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计</w:t>
            </w:r>
            <w:r>
              <w:rPr>
                <w:rFonts w:hint="eastAsia" w:asciiTheme="majorEastAsia" w:hAnsiTheme="majorEastAsia" w:eastAsiaTheme="majorEastAsia"/>
                <w:sz w:val="21"/>
                <w:szCs w:val="21"/>
                <w:lang w:val="en-US" w:eastAsia="zh-CN"/>
              </w:rPr>
              <w:t>(人民币：元，</w:t>
            </w:r>
            <w:r>
              <w:rPr>
                <w:rFonts w:hint="eastAsia" w:asciiTheme="majorEastAsia" w:hAnsiTheme="majorEastAsia" w:eastAsiaTheme="majorEastAsia"/>
                <w:b/>
                <w:bCs/>
                <w:sz w:val="21"/>
                <w:szCs w:val="21"/>
                <w:u w:val="single"/>
                <w:lang w:val="en-US" w:eastAsia="zh-CN"/>
              </w:rPr>
              <w:t>含   %专票</w:t>
            </w:r>
            <w:r>
              <w:rPr>
                <w:rFonts w:hint="eastAsia" w:asciiTheme="majorEastAsia" w:hAnsiTheme="majorEastAsia" w:eastAsiaTheme="majorEastAsia"/>
                <w:sz w:val="21"/>
                <w:szCs w:val="21"/>
                <w:lang w:val="en-US" w:eastAsia="zh-CN"/>
              </w:rPr>
              <w:t>）</w:t>
            </w:r>
          </w:p>
        </w:tc>
        <w:tc>
          <w:tcPr>
            <w:tcW w:w="42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rPr>
                <w:rFonts w:hint="eastAsia" w:ascii="宋体" w:hAnsi="宋体" w:eastAsia="宋体" w:cs="宋体"/>
                <w:b/>
                <w:bCs/>
                <w:sz w:val="24"/>
                <w:szCs w:val="24"/>
                <w:lang w:eastAsia="zh-CN"/>
              </w:rPr>
            </w:pPr>
          </w:p>
        </w:tc>
      </w:tr>
    </w:tbl>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pPr>
    </w:p>
    <w:sectPr>
      <w:headerReference r:id="rId4" w:type="default"/>
      <w:pgSz w:w="11910" w:h="16840"/>
      <w:pgMar w:top="1280" w:right="77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0000000000000000000"/>
    <w:charset w:val="86"/>
    <w:family w:val="script"/>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12D41F4"/>
    <w:rsid w:val="029D7B85"/>
    <w:rsid w:val="0367315B"/>
    <w:rsid w:val="03863E76"/>
    <w:rsid w:val="056972C3"/>
    <w:rsid w:val="061139E5"/>
    <w:rsid w:val="06F50B00"/>
    <w:rsid w:val="076E1278"/>
    <w:rsid w:val="08D1141D"/>
    <w:rsid w:val="0AD1137F"/>
    <w:rsid w:val="0B296DE2"/>
    <w:rsid w:val="0CEC2637"/>
    <w:rsid w:val="0D704EEE"/>
    <w:rsid w:val="0EEC5213"/>
    <w:rsid w:val="0FBB2AA9"/>
    <w:rsid w:val="10294AA3"/>
    <w:rsid w:val="10E40CA0"/>
    <w:rsid w:val="12AE4BCD"/>
    <w:rsid w:val="136130D9"/>
    <w:rsid w:val="15342061"/>
    <w:rsid w:val="1571589E"/>
    <w:rsid w:val="164500FE"/>
    <w:rsid w:val="1736707A"/>
    <w:rsid w:val="18D85DB9"/>
    <w:rsid w:val="18DD4F7E"/>
    <w:rsid w:val="195B58A2"/>
    <w:rsid w:val="1BA85F41"/>
    <w:rsid w:val="1D5C1EEB"/>
    <w:rsid w:val="1E085A14"/>
    <w:rsid w:val="1E6B768F"/>
    <w:rsid w:val="1EB71B1C"/>
    <w:rsid w:val="1EE21CAD"/>
    <w:rsid w:val="1FA4685B"/>
    <w:rsid w:val="1FF43DDB"/>
    <w:rsid w:val="20E43EB1"/>
    <w:rsid w:val="21933AA2"/>
    <w:rsid w:val="22AA7317"/>
    <w:rsid w:val="25B378AE"/>
    <w:rsid w:val="25BF356F"/>
    <w:rsid w:val="25DB0C2D"/>
    <w:rsid w:val="269469E7"/>
    <w:rsid w:val="29FC3B14"/>
    <w:rsid w:val="2B11792E"/>
    <w:rsid w:val="2CA57894"/>
    <w:rsid w:val="2F5842F5"/>
    <w:rsid w:val="306C6CAE"/>
    <w:rsid w:val="31C54755"/>
    <w:rsid w:val="3216608C"/>
    <w:rsid w:val="34CE14C6"/>
    <w:rsid w:val="34D84CEC"/>
    <w:rsid w:val="37AF5AB7"/>
    <w:rsid w:val="3B1C3371"/>
    <w:rsid w:val="3B9226EA"/>
    <w:rsid w:val="3CC23198"/>
    <w:rsid w:val="3D350415"/>
    <w:rsid w:val="3DDF4815"/>
    <w:rsid w:val="3FE669E5"/>
    <w:rsid w:val="401874FC"/>
    <w:rsid w:val="45E318B1"/>
    <w:rsid w:val="46146261"/>
    <w:rsid w:val="49A31EDC"/>
    <w:rsid w:val="4EF44FD3"/>
    <w:rsid w:val="500F48EF"/>
    <w:rsid w:val="50F63E28"/>
    <w:rsid w:val="52105747"/>
    <w:rsid w:val="5221007F"/>
    <w:rsid w:val="52926B5A"/>
    <w:rsid w:val="545C5E51"/>
    <w:rsid w:val="5486175B"/>
    <w:rsid w:val="57667D24"/>
    <w:rsid w:val="57CE5BC3"/>
    <w:rsid w:val="58F36D41"/>
    <w:rsid w:val="59F5351B"/>
    <w:rsid w:val="5AE1516A"/>
    <w:rsid w:val="5B6A3A79"/>
    <w:rsid w:val="5C1A5F7B"/>
    <w:rsid w:val="5C8277EA"/>
    <w:rsid w:val="5E88034A"/>
    <w:rsid w:val="5F80189A"/>
    <w:rsid w:val="627C4924"/>
    <w:rsid w:val="62911DF7"/>
    <w:rsid w:val="645771F8"/>
    <w:rsid w:val="67045C09"/>
    <w:rsid w:val="680B7EFF"/>
    <w:rsid w:val="68B757AA"/>
    <w:rsid w:val="6925554D"/>
    <w:rsid w:val="69953F6F"/>
    <w:rsid w:val="6A0E285C"/>
    <w:rsid w:val="6A54112D"/>
    <w:rsid w:val="6AA035AE"/>
    <w:rsid w:val="6D670C8B"/>
    <w:rsid w:val="6E0F2E14"/>
    <w:rsid w:val="6E1A1323"/>
    <w:rsid w:val="6F1E141D"/>
    <w:rsid w:val="6F5354F8"/>
    <w:rsid w:val="739A7787"/>
    <w:rsid w:val="740A2BDE"/>
    <w:rsid w:val="751839E0"/>
    <w:rsid w:val="76274F93"/>
    <w:rsid w:val="771E0858"/>
    <w:rsid w:val="778B1930"/>
    <w:rsid w:val="78DC4EE3"/>
    <w:rsid w:val="79EB3F2F"/>
    <w:rsid w:val="7B11789E"/>
    <w:rsid w:val="7B4B2798"/>
    <w:rsid w:val="7DC94A0A"/>
    <w:rsid w:val="7E9A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99"/>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8"/>
    <w:qFormat/>
    <w:uiPriority w:val="1"/>
    <w:rPr>
      <w:sz w:val="24"/>
      <w:szCs w:val="24"/>
    </w:rPr>
  </w:style>
  <w:style w:type="paragraph" w:styleId="11">
    <w:name w:val="Body Text Indent"/>
    <w:basedOn w:val="1"/>
    <w:link w:val="62"/>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4"/>
    <w:qFormat/>
    <w:uiPriority w:val="99"/>
    <w:rPr>
      <w:rFonts w:hAnsi="Courier New" w:cs="Courier New"/>
      <w:szCs w:val="21"/>
    </w:rPr>
  </w:style>
  <w:style w:type="paragraph" w:styleId="14">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3"/>
    <w:qFormat/>
    <w:uiPriority w:val="0"/>
    <w:pPr>
      <w:spacing w:after="120" w:line="480" w:lineRule="auto"/>
      <w:ind w:left="420" w:leftChars="200"/>
    </w:p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pPr>
    <w:rPr>
      <w:sz w:val="18"/>
      <w:szCs w:val="18"/>
    </w:rPr>
  </w:style>
  <w:style w:type="paragraph" w:styleId="18">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2"/>
    <w:qFormat/>
    <w:uiPriority w:val="0"/>
    <w:pPr>
      <w:spacing w:after="120" w:line="480" w:lineRule="auto"/>
    </w:pPr>
  </w:style>
  <w:style w:type="paragraph" w:styleId="23">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TML Definition"/>
    <w:basedOn w:val="24"/>
    <w:qFormat/>
    <w:uiPriority w:val="0"/>
  </w:style>
  <w:style w:type="character" w:styleId="30">
    <w:name w:val="HTML Variable"/>
    <w:basedOn w:val="24"/>
    <w:qFormat/>
    <w:uiPriority w:val="0"/>
  </w:style>
  <w:style w:type="character" w:styleId="31">
    <w:name w:val="Hyperlink"/>
    <w:basedOn w:val="24"/>
    <w:qFormat/>
    <w:uiPriority w:val="99"/>
    <w:rPr>
      <w:color w:val="0000FF"/>
      <w:u w:val="single"/>
    </w:rPr>
  </w:style>
  <w:style w:type="character" w:styleId="32">
    <w:name w:val="HTML Code"/>
    <w:basedOn w:val="24"/>
    <w:qFormat/>
    <w:uiPriority w:val="0"/>
    <w:rPr>
      <w:rFonts w:ascii="Courier New" w:hAnsi="Courier New"/>
      <w:sz w:val="20"/>
    </w:rPr>
  </w:style>
  <w:style w:type="character" w:styleId="33">
    <w:name w:val="HTML Cite"/>
    <w:basedOn w:val="24"/>
    <w:qFormat/>
    <w:uiPriority w:val="0"/>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
    <w:name w:val="Table Normal"/>
    <w:unhideWhenUsed/>
    <w:qFormat/>
    <w:uiPriority w:val="2"/>
    <w:tblPr>
      <w:tblLayout w:type="fixed"/>
      <w:tblCellMar>
        <w:top w:w="0" w:type="dxa"/>
        <w:left w:w="0" w:type="dxa"/>
        <w:bottom w:w="0" w:type="dxa"/>
        <w:right w:w="0" w:type="dxa"/>
      </w:tblCellMar>
    </w:tblPr>
  </w:style>
  <w:style w:type="paragraph" w:customStyle="1" w:styleId="37">
    <w:name w:val="List Paragraph"/>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4"/>
    <w:link w:val="14"/>
    <w:qFormat/>
    <w:uiPriority w:val="99"/>
    <w:rPr>
      <w:rFonts w:asciiTheme="minorHAnsi" w:hAnsiTheme="minorHAnsi" w:eastAsiaTheme="minorEastAsia" w:cstheme="minorBidi"/>
      <w:kern w:val="2"/>
      <w:sz w:val="21"/>
      <w:szCs w:val="22"/>
    </w:rPr>
  </w:style>
  <w:style w:type="paragraph" w:customStyle="1" w:styleId="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4"/>
    <w:qFormat/>
    <w:uiPriority w:val="0"/>
    <w:rPr>
      <w:color w:val="0000FF"/>
      <w:sz w:val="18"/>
      <w:szCs w:val="18"/>
      <w:u w:val="none"/>
      <w:bdr w:val="single" w:color="DCDCDC" w:sz="8" w:space="0"/>
      <w:shd w:val="clear" w:color="auto" w:fill="FFFFFF"/>
    </w:rPr>
  </w:style>
  <w:style w:type="character" w:customStyle="1" w:styleId="44">
    <w:name w:val="批注框文本 Char"/>
    <w:basedOn w:val="24"/>
    <w:link w:val="16"/>
    <w:qFormat/>
    <w:uiPriority w:val="99"/>
    <w:rPr>
      <w:rFonts w:ascii="宋体" w:hAnsi="宋体" w:cs="宋体"/>
      <w:sz w:val="18"/>
      <w:szCs w:val="18"/>
      <w:lang w:eastAsia="en-US"/>
    </w:rPr>
  </w:style>
  <w:style w:type="character" w:customStyle="1" w:styleId="45">
    <w:name w:val="页脚 Char"/>
    <w:basedOn w:val="24"/>
    <w:link w:val="17"/>
    <w:qFormat/>
    <w:uiPriority w:val="99"/>
    <w:rPr>
      <w:rFonts w:ascii="宋体" w:hAnsi="宋体" w:cs="宋体"/>
      <w:sz w:val="18"/>
      <w:szCs w:val="18"/>
      <w:lang w:eastAsia="en-US"/>
    </w:rPr>
  </w:style>
  <w:style w:type="paragraph" w:customStyle="1" w:styleId="4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4"/>
    <w:qFormat/>
    <w:uiPriority w:val="0"/>
  </w:style>
  <w:style w:type="paragraph" w:customStyle="1" w:styleId="4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4"/>
    <w:link w:val="5"/>
    <w:qFormat/>
    <w:uiPriority w:val="0"/>
    <w:rPr>
      <w:rFonts w:ascii="宋体" w:hAnsi="宋体" w:cs="宋体"/>
      <w:b/>
      <w:bCs/>
      <w:sz w:val="32"/>
      <w:szCs w:val="32"/>
      <w:lang w:eastAsia="en-US"/>
    </w:rPr>
  </w:style>
  <w:style w:type="character" w:customStyle="1" w:styleId="50">
    <w:name w:val="批注文字 Char"/>
    <w:basedOn w:val="24"/>
    <w:link w:val="9"/>
    <w:qFormat/>
    <w:uiPriority w:val="99"/>
    <w:rPr>
      <w:kern w:val="2"/>
      <w:sz w:val="21"/>
    </w:rPr>
  </w:style>
  <w:style w:type="paragraph" w:customStyle="1" w:styleId="51">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4"/>
    <w:link w:val="22"/>
    <w:qFormat/>
    <w:uiPriority w:val="0"/>
    <w:rPr>
      <w:rFonts w:ascii="宋体" w:hAnsi="宋体" w:cs="宋体"/>
      <w:sz w:val="22"/>
      <w:szCs w:val="22"/>
      <w:lang w:eastAsia="en-US"/>
    </w:rPr>
  </w:style>
  <w:style w:type="character" w:customStyle="1" w:styleId="53">
    <w:name w:val="正文文本缩进 2 Char"/>
    <w:basedOn w:val="24"/>
    <w:link w:val="15"/>
    <w:qFormat/>
    <w:uiPriority w:val="0"/>
    <w:rPr>
      <w:rFonts w:ascii="宋体" w:hAnsi="宋体" w:cs="宋体"/>
      <w:sz w:val="22"/>
      <w:szCs w:val="22"/>
      <w:lang w:eastAsia="en-US"/>
    </w:rPr>
  </w:style>
  <w:style w:type="character" w:customStyle="1" w:styleId="54">
    <w:name w:val="纯文本 Char1"/>
    <w:basedOn w:val="24"/>
    <w:link w:val="13"/>
    <w:qFormat/>
    <w:uiPriority w:val="0"/>
    <w:rPr>
      <w:rFonts w:ascii="宋体" w:hAnsi="Courier New" w:cs="Courier New"/>
      <w:sz w:val="22"/>
      <w:szCs w:val="21"/>
      <w:lang w:eastAsia="en-US"/>
    </w:rPr>
  </w:style>
  <w:style w:type="paragraph" w:customStyle="1" w:styleId="55">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4"/>
    <w:link w:val="4"/>
    <w:qFormat/>
    <w:uiPriority w:val="0"/>
    <w:rPr>
      <w:rFonts w:ascii="宋体" w:hAnsi="宋体" w:cs="宋体"/>
      <w:b/>
      <w:bCs/>
      <w:sz w:val="24"/>
      <w:szCs w:val="24"/>
      <w:lang w:eastAsia="en-US"/>
    </w:rPr>
  </w:style>
  <w:style w:type="character" w:customStyle="1" w:styleId="57">
    <w:name w:val="正文缩进 Char"/>
    <w:link w:val="7"/>
    <w:qFormat/>
    <w:uiPriority w:val="0"/>
    <w:rPr>
      <w:sz w:val="24"/>
    </w:rPr>
  </w:style>
  <w:style w:type="character" w:customStyle="1" w:styleId="58">
    <w:name w:val="正文文本 Char"/>
    <w:basedOn w:val="24"/>
    <w:link w:val="10"/>
    <w:qFormat/>
    <w:uiPriority w:val="0"/>
    <w:rPr>
      <w:rFonts w:ascii="宋体" w:hAnsi="宋体" w:cs="宋体"/>
      <w:sz w:val="24"/>
      <w:szCs w:val="24"/>
      <w:lang w:eastAsia="en-US"/>
    </w:rPr>
  </w:style>
  <w:style w:type="character" w:customStyle="1" w:styleId="59">
    <w:name w:val="普通文字 Char2"/>
    <w:basedOn w:val="24"/>
    <w:qFormat/>
    <w:uiPriority w:val="0"/>
    <w:rPr>
      <w:rFonts w:ascii="宋体" w:hAnsi="Courier New" w:cs="Courier New"/>
      <w:sz w:val="22"/>
      <w:szCs w:val="21"/>
      <w:lang w:eastAsia="en-US"/>
    </w:rPr>
  </w:style>
  <w:style w:type="character" w:customStyle="1" w:styleId="60">
    <w:name w:val="标题 1 Char"/>
    <w:link w:val="3"/>
    <w:qFormat/>
    <w:uiPriority w:val="99"/>
    <w:rPr>
      <w:rFonts w:ascii="宋体" w:hAnsi="宋体" w:cs="宋体"/>
      <w:b/>
      <w:bCs/>
      <w:sz w:val="28"/>
      <w:szCs w:val="28"/>
      <w:lang w:eastAsia="en-US"/>
    </w:rPr>
  </w:style>
  <w:style w:type="character" w:customStyle="1" w:styleId="61">
    <w:name w:val="正文1 Char"/>
    <w:basedOn w:val="24"/>
    <w:link w:val="2"/>
    <w:qFormat/>
    <w:locked/>
    <w:uiPriority w:val="0"/>
    <w:rPr>
      <w:rFonts w:ascii="宋体" w:hAnsi="Calibri"/>
      <w:sz w:val="34"/>
      <w:szCs w:val="22"/>
    </w:rPr>
  </w:style>
  <w:style w:type="character" w:customStyle="1" w:styleId="62">
    <w:name w:val="正文文本缩进 Char"/>
    <w:basedOn w:val="24"/>
    <w:link w:val="11"/>
    <w:qFormat/>
    <w:uiPriority w:val="0"/>
    <w:rPr>
      <w:rFonts w:ascii="宋体" w:hAnsi="宋体" w:cs="宋体"/>
      <w:sz w:val="22"/>
      <w:szCs w:val="22"/>
      <w:lang w:eastAsia="en-US"/>
    </w:rPr>
  </w:style>
  <w:style w:type="paragraph" w:customStyle="1" w:styleId="63">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4"/>
    <w:link w:val="6"/>
    <w:qFormat/>
    <w:uiPriority w:val="99"/>
    <w:rPr>
      <w:rFonts w:ascii="Arial" w:hAnsi="Arial" w:eastAsia="黑体"/>
      <w:b/>
      <w:bCs/>
      <w:kern w:val="2"/>
      <w:sz w:val="28"/>
      <w:szCs w:val="28"/>
    </w:rPr>
  </w:style>
  <w:style w:type="character" w:customStyle="1" w:styleId="65">
    <w:name w:val="文档结构图 Char"/>
    <w:basedOn w:val="24"/>
    <w:link w:val="8"/>
    <w:qFormat/>
    <w:uiPriority w:val="99"/>
    <w:rPr>
      <w:rFonts w:ascii="宋体"/>
      <w:kern w:val="2"/>
      <w:sz w:val="18"/>
      <w:szCs w:val="18"/>
    </w:rPr>
  </w:style>
  <w:style w:type="character" w:customStyle="1" w:styleId="66">
    <w:name w:val="副标题 Char"/>
    <w:basedOn w:val="24"/>
    <w:link w:val="20"/>
    <w:qFormat/>
    <w:uiPriority w:val="99"/>
    <w:rPr>
      <w:rFonts w:ascii="Cambria" w:hAnsi="Cambria"/>
      <w:b/>
      <w:bCs/>
      <w:kern w:val="28"/>
      <w:sz w:val="32"/>
      <w:szCs w:val="32"/>
    </w:rPr>
  </w:style>
  <w:style w:type="character" w:customStyle="1" w:styleId="67">
    <w:name w:val="标题 Char"/>
    <w:basedOn w:val="24"/>
    <w:link w:val="23"/>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4"/>
    <w:link w:val="18"/>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6">
    <w:name w:val="choosename"/>
    <w:basedOn w:val="24"/>
    <w:qFormat/>
    <w:uiPriority w:val="0"/>
  </w:style>
  <w:style w:type="character" w:customStyle="1" w:styleId="77">
    <w:name w:val="edit_class"/>
    <w:basedOn w:val="24"/>
    <w:qFormat/>
    <w:uiPriority w:val="0"/>
  </w:style>
  <w:style w:type="character" w:customStyle="1" w:styleId="78">
    <w:name w:val="hover4"/>
    <w:basedOn w:val="24"/>
    <w:qFormat/>
    <w:uiPriority w:val="0"/>
    <w:rPr>
      <w:color w:val="FFFFFF"/>
    </w:rPr>
  </w:style>
  <w:style w:type="character" w:customStyle="1" w:styleId="79">
    <w:name w:val="active"/>
    <w:basedOn w:val="24"/>
    <w:qFormat/>
    <w:uiPriority w:val="0"/>
    <w:rPr>
      <w:shd w:val="clear" w:fill="EC3535"/>
    </w:rPr>
  </w:style>
  <w:style w:type="character" w:customStyle="1" w:styleId="80">
    <w:name w:val="xdrichtextbox4"/>
    <w:basedOn w:val="24"/>
    <w:qFormat/>
    <w:uiPriority w:val="0"/>
  </w:style>
  <w:style w:type="character" w:customStyle="1" w:styleId="81">
    <w:name w:val="design_class"/>
    <w:basedOn w:val="24"/>
    <w:qFormat/>
    <w:uiPriority w:val="0"/>
  </w:style>
  <w:style w:type="character" w:customStyle="1" w:styleId="82">
    <w:name w:val="biggerthanmax"/>
    <w:basedOn w:val="24"/>
    <w:qFormat/>
    <w:uiPriority w:val="0"/>
    <w:rPr>
      <w:shd w:val="clear" w:fill="FFFF00"/>
    </w:rPr>
  </w:style>
  <w:style w:type="character" w:customStyle="1" w:styleId="83">
    <w:name w:val="w32"/>
    <w:basedOn w:val="24"/>
    <w:qFormat/>
    <w:uiPriority w:val="0"/>
  </w:style>
  <w:style w:type="character" w:customStyle="1" w:styleId="84">
    <w:name w:val="cdropleft"/>
    <w:basedOn w:val="24"/>
    <w:qFormat/>
    <w:uiPriority w:val="0"/>
  </w:style>
  <w:style w:type="character" w:customStyle="1" w:styleId="85">
    <w:name w:val="button"/>
    <w:basedOn w:val="24"/>
    <w:qFormat/>
    <w:uiPriority w:val="0"/>
  </w:style>
  <w:style w:type="character" w:customStyle="1" w:styleId="86">
    <w:name w:val="first-child"/>
    <w:basedOn w:val="24"/>
    <w:qFormat/>
    <w:uiPriority w:val="0"/>
  </w:style>
  <w:style w:type="character" w:customStyle="1" w:styleId="87">
    <w:name w:val="cdropright"/>
    <w:basedOn w:val="24"/>
    <w:qFormat/>
    <w:uiPriority w:val="0"/>
  </w:style>
  <w:style w:type="character" w:customStyle="1" w:styleId="88">
    <w:name w:val="drapbtn"/>
    <w:basedOn w:val="24"/>
    <w:qFormat/>
    <w:uiPriority w:val="0"/>
  </w:style>
  <w:style w:type="character" w:customStyle="1" w:styleId="89">
    <w:name w:val="active5"/>
    <w:basedOn w:val="24"/>
    <w:qFormat/>
    <w:uiPriority w:val="0"/>
    <w:rPr>
      <w:color w:val="00FF00"/>
      <w:shd w:val="clear" w:fill="111111"/>
    </w:rPr>
  </w:style>
  <w:style w:type="character" w:customStyle="1" w:styleId="90">
    <w:name w:val="active6"/>
    <w:basedOn w:val="24"/>
    <w:qFormat/>
    <w:uiPriority w:val="0"/>
    <w:rPr>
      <w:shd w:val="clear" w:fill="EC3535"/>
    </w:rPr>
  </w:style>
  <w:style w:type="character" w:customStyle="1" w:styleId="91">
    <w:name w:val="hilite6"/>
    <w:basedOn w:val="24"/>
    <w:qFormat/>
    <w:uiPriority w:val="0"/>
    <w:rPr>
      <w:color w:val="FFFFFF"/>
      <w:shd w:val="clear" w:fill="666666"/>
    </w:rPr>
  </w:style>
  <w:style w:type="character" w:customStyle="1" w:styleId="92">
    <w:name w:val="layui-layer-tabnow"/>
    <w:basedOn w:val="24"/>
    <w:qFormat/>
    <w:uiPriority w:val="0"/>
    <w:rPr>
      <w:bdr w:val="single" w:color="CCCCCC" w:sz="6" w:space="0"/>
      <w:shd w:val="clear" w:fill="FFFFFF"/>
    </w:rPr>
  </w:style>
  <w:style w:type="character" w:customStyle="1" w:styleId="93">
    <w:name w:val="hover11"/>
    <w:basedOn w:val="24"/>
    <w:qFormat/>
    <w:uiPriority w:val="0"/>
    <w:rPr>
      <w:color w:val="FFFFFF"/>
    </w:rPr>
  </w:style>
  <w:style w:type="character" w:customStyle="1" w:styleId="94">
    <w:name w:val="associateddata"/>
    <w:basedOn w:val="24"/>
    <w:qFormat/>
    <w:uiPriority w:val="0"/>
    <w:rPr>
      <w:shd w:val="clear" w:fill="50A6F9"/>
    </w:rPr>
  </w:style>
  <w:style w:type="character" w:customStyle="1" w:styleId="95">
    <w:name w:val="icontext1"/>
    <w:basedOn w:val="24"/>
    <w:qFormat/>
    <w:uiPriority w:val="0"/>
  </w:style>
  <w:style w:type="character" w:customStyle="1" w:styleId="96">
    <w:name w:val="icontext11"/>
    <w:basedOn w:val="24"/>
    <w:qFormat/>
    <w:uiPriority w:val="0"/>
  </w:style>
  <w:style w:type="character" w:customStyle="1" w:styleId="97">
    <w:name w:val="after"/>
    <w:basedOn w:val="24"/>
    <w:qFormat/>
    <w:uiPriority w:val="0"/>
    <w:rPr>
      <w:sz w:val="0"/>
      <w:szCs w:val="0"/>
    </w:rPr>
  </w:style>
  <w:style w:type="character" w:customStyle="1" w:styleId="98">
    <w:name w:val="hover41"/>
    <w:basedOn w:val="24"/>
    <w:qFormat/>
    <w:uiPriority w:val="0"/>
    <w:rPr>
      <w:color w:val="FFFFFF"/>
    </w:rPr>
  </w:style>
  <w:style w:type="character" w:customStyle="1" w:styleId="99">
    <w:name w:val="icontext3"/>
    <w:basedOn w:val="24"/>
    <w:qFormat/>
    <w:uiPriority w:val="0"/>
  </w:style>
  <w:style w:type="character" w:customStyle="1" w:styleId="100">
    <w:name w:val="iconline2"/>
    <w:basedOn w:val="24"/>
    <w:qFormat/>
    <w:uiPriority w:val="0"/>
  </w:style>
  <w:style w:type="character" w:customStyle="1" w:styleId="101">
    <w:name w:val="iconline21"/>
    <w:basedOn w:val="24"/>
    <w:qFormat/>
    <w:uiPriority w:val="0"/>
  </w:style>
  <w:style w:type="character" w:customStyle="1" w:styleId="102">
    <w:name w:val="ico1654"/>
    <w:basedOn w:val="24"/>
    <w:qFormat/>
    <w:uiPriority w:val="0"/>
  </w:style>
  <w:style w:type="character" w:customStyle="1" w:styleId="103">
    <w:name w:val="ico1655"/>
    <w:basedOn w:val="24"/>
    <w:qFormat/>
    <w:uiPriority w:val="0"/>
  </w:style>
  <w:style w:type="character" w:customStyle="1" w:styleId="104">
    <w:name w:val="tmpztreemove_arrow"/>
    <w:basedOn w:val="24"/>
    <w:qFormat/>
    <w:uiPriority w:val="0"/>
  </w:style>
  <w:style w:type="character" w:customStyle="1" w:styleId="105">
    <w:name w:val="pagechatarealistclose_box"/>
    <w:basedOn w:val="24"/>
    <w:qFormat/>
    <w:uiPriority w:val="0"/>
  </w:style>
  <w:style w:type="character" w:customStyle="1" w:styleId="106">
    <w:name w:val="pagechatarealistclose_box1"/>
    <w:basedOn w:val="24"/>
    <w:qFormat/>
    <w:uiPriority w:val="0"/>
  </w:style>
  <w:style w:type="character" w:customStyle="1" w:styleId="107">
    <w:name w:val="cy"/>
    <w:basedOn w:val="24"/>
    <w:qFormat/>
    <w:uiPriority w:val="0"/>
  </w:style>
  <w:style w:type="character" w:customStyle="1" w:styleId="108">
    <w:name w:val="icontext2"/>
    <w:basedOn w:val="24"/>
    <w:qFormat/>
    <w:uiPriority w:val="0"/>
  </w:style>
  <w:style w:type="character" w:customStyle="1" w:styleId="109">
    <w:name w:val="active7"/>
    <w:basedOn w:val="24"/>
    <w:qFormat/>
    <w:uiPriority w:val="0"/>
    <w:rPr>
      <w:color w:val="00FF00"/>
      <w:shd w:val="clear" w:fill="111111"/>
    </w:rPr>
  </w:style>
  <w:style w:type="character" w:customStyle="1" w:styleId="110">
    <w:name w:val="active8"/>
    <w:basedOn w:val="24"/>
    <w:qFormat/>
    <w:uiPriority w:val="0"/>
    <w:rPr>
      <w:shd w:val="clear" w:fill="EC3535"/>
    </w:rPr>
  </w:style>
  <w:style w:type="character" w:customStyle="1" w:styleId="111">
    <w:name w:val="button4"/>
    <w:basedOn w:val="24"/>
    <w:qFormat/>
    <w:uiPriority w:val="0"/>
  </w:style>
  <w:style w:type="character" w:customStyle="1" w:styleId="112">
    <w:name w:val="hilite"/>
    <w:basedOn w:val="24"/>
    <w:qFormat/>
    <w:uiPriority w:val="0"/>
    <w:rPr>
      <w:color w:val="FFFFFF"/>
      <w:shd w:val="clear" w:fill="666666"/>
    </w:rPr>
  </w:style>
  <w:style w:type="character" w:customStyle="1" w:styleId="113">
    <w:name w:val="icontext12"/>
    <w:basedOn w:val="24"/>
    <w:qFormat/>
    <w:uiPriority w:val="0"/>
  </w:style>
  <w:style w:type="character" w:customStyle="1" w:styleId="114">
    <w:name w:val="hover40"/>
    <w:basedOn w:val="24"/>
    <w:qFormat/>
    <w:uiPriority w:val="0"/>
    <w:rPr>
      <w:color w:val="FFFFFF"/>
    </w:rPr>
  </w:style>
  <w:style w:type="character" w:customStyle="1" w:styleId="115">
    <w:name w:val="ico16"/>
    <w:basedOn w:val="24"/>
    <w:qFormat/>
    <w:uiPriority w:val="0"/>
  </w:style>
  <w:style w:type="character" w:customStyle="1" w:styleId="116">
    <w:name w:val="ico161"/>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0</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2022-10-21T02:03:26Z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