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napToGrid w:val="0"/>
          <w:sz w:val="28"/>
          <w:szCs w:val="28"/>
          <w:lang w:eastAsia="zh-CN"/>
        </w:rPr>
      </w:pPr>
      <w:r>
        <w:rPr>
          <w:rFonts w:hint="eastAsia"/>
          <w:b/>
          <w:snapToGrid w:val="0"/>
          <w:sz w:val="28"/>
          <w:szCs w:val="28"/>
          <w:lang w:eastAsia="zh-CN"/>
        </w:rPr>
        <w:t>P</w:t>
      </w:r>
      <w:r>
        <w:rPr>
          <w:b/>
          <w:snapToGrid w:val="0"/>
          <w:sz w:val="28"/>
          <w:szCs w:val="28"/>
          <w:lang w:eastAsia="zh-CN"/>
        </w:rPr>
        <w:t>TA团队氧化装置锅炉</w:t>
      </w:r>
      <w:r>
        <w:rPr>
          <w:rFonts w:hint="eastAsia"/>
          <w:b/>
          <w:snapToGrid w:val="0"/>
          <w:sz w:val="28"/>
          <w:szCs w:val="28"/>
          <w:lang w:eastAsia="zh-CN"/>
        </w:rPr>
        <w:t>水处理药剂供应及服务</w:t>
      </w:r>
    </w:p>
    <w:p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  <w:lang w:eastAsia="zh-CN"/>
        </w:rPr>
        <w:t>招标</w:t>
      </w:r>
      <w:r>
        <w:rPr>
          <w:rFonts w:hint="eastAsia"/>
          <w:b/>
          <w:snapToGrid w:val="0"/>
          <w:sz w:val="28"/>
          <w:szCs w:val="28"/>
          <w:lang w:eastAsia="zh-CN"/>
        </w:rPr>
        <w:t>比</w:t>
      </w:r>
      <w:r>
        <w:rPr>
          <w:rFonts w:hint="eastAsia"/>
          <w:b/>
          <w:snapToGrid w:val="0"/>
          <w:sz w:val="28"/>
          <w:szCs w:val="28"/>
        </w:rPr>
        <w:t>选方案</w:t>
      </w:r>
    </w:p>
    <w:p>
      <w:pPr>
        <w:pStyle w:val="27"/>
        <w:numPr>
          <w:ilvl w:val="0"/>
          <w:numId w:val="2"/>
        </w:numPr>
        <w:spacing w:before="15" w:line="460" w:lineRule="exact"/>
        <w:rPr>
          <w:rFonts w:asciiTheme="minorEastAsia" w:hAnsiTheme="minorEastAsia" w:eastAsiaTheme="minorEastAsia"/>
          <w:b/>
          <w:w w:val="95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b/>
          <w:w w:val="95"/>
          <w:sz w:val="24"/>
          <w:szCs w:val="24"/>
          <w:lang w:eastAsia="zh-CN"/>
        </w:rPr>
        <w:t>规则</w:t>
      </w:r>
    </w:p>
    <w:p>
      <w:pPr>
        <w:spacing w:line="360" w:lineRule="auto"/>
        <w:ind w:firstLine="480" w:firstLineChars="200"/>
        <w:rPr>
          <w:b/>
          <w:bCs/>
          <w:snapToGrid w:val="0"/>
          <w:sz w:val="24"/>
          <w:highlight w:val="yellow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1.评比方法：采用</w:t>
      </w:r>
      <w:r>
        <w:rPr>
          <w:rFonts w:hint="eastAsia"/>
          <w:lang w:val="zh-CN" w:eastAsia="zh-CN"/>
        </w:rPr>
        <w:t>综合评分法，</w:t>
      </w:r>
      <w:r>
        <w:rPr>
          <w:rFonts w:hint="eastAsia"/>
          <w:color w:val="000000"/>
          <w:spacing w:val="-2"/>
          <w:sz w:val="24"/>
        </w:rPr>
        <w:t>商务部分（PB）</w:t>
      </w:r>
      <w:r>
        <w:rPr>
          <w:rFonts w:hint="eastAsia"/>
          <w:bCs/>
          <w:snapToGrid w:val="0"/>
          <w:sz w:val="24"/>
          <w:lang w:eastAsia="zh-CN"/>
        </w:rPr>
        <w:t>+</w:t>
      </w:r>
      <w:r>
        <w:rPr>
          <w:rFonts w:hint="eastAsia"/>
          <w:color w:val="000000"/>
          <w:spacing w:val="-2"/>
          <w:sz w:val="24"/>
        </w:rPr>
        <w:t>技术部分（PT）</w:t>
      </w:r>
      <w:r>
        <w:rPr>
          <w:rFonts w:hint="eastAsia"/>
          <w:bCs/>
          <w:snapToGrid w:val="0"/>
          <w:sz w:val="24"/>
          <w:lang w:eastAsia="zh-CN"/>
        </w:rPr>
        <w:t>得分累加后最高者作为第一中标人，若第一候选人放弃签约，得分次高者为第一候补中选人，以此类推。</w:t>
      </w:r>
    </w:p>
    <w:p>
      <w:pPr>
        <w:spacing w:line="460" w:lineRule="exact"/>
        <w:ind w:firstLine="480" w:firstLineChars="2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2.在合同签订前，比选人发现中选人的参选报价或服务存在重大偏离，或参选文件存在欺诈行为时，或中选人因为不可抗力或者其自身原因不能履行合同的，比选人有资格取消中选人资格，并将依法将排名第二的候选中选人确定为本项目的中选人。</w:t>
      </w:r>
    </w:p>
    <w:p>
      <w:pPr>
        <w:pStyle w:val="27"/>
        <w:numPr>
          <w:ilvl w:val="0"/>
          <w:numId w:val="2"/>
        </w:numPr>
        <w:spacing w:before="15" w:line="460" w:lineRule="exact"/>
        <w:rPr>
          <w:rFonts w:asciiTheme="minorEastAsia" w:hAnsiTheme="minorEastAsia" w:eastAsiaTheme="minorEastAsia"/>
          <w:b/>
          <w:w w:val="9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w w:val="95"/>
          <w:sz w:val="24"/>
          <w:szCs w:val="24"/>
          <w:lang w:eastAsia="zh-CN"/>
        </w:rPr>
        <w:t>资格审查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由比选人组建的比选小组将按照“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锅炉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水处理药剂供应及服务技方协议”招标文件要求对参选人进行资格审查，以确定是否为符合招标文件要求的合格参选人。同时，将综合考虑参选人提交的资格、营业范围、业绩、技术服务方案等材料，判断是否满足比选文件全部实质性要求。资格审查合格的参选人的报价为有效报价，资格审查不合格的报价将被确认为无效报价。</w:t>
      </w:r>
    </w:p>
    <w:p>
      <w:pPr>
        <w:pStyle w:val="27"/>
        <w:numPr>
          <w:ilvl w:val="0"/>
          <w:numId w:val="2"/>
        </w:numPr>
        <w:spacing w:before="15" w:line="460" w:lineRule="exact"/>
        <w:rPr>
          <w:rFonts w:asciiTheme="minorEastAsia" w:hAnsiTheme="minorEastAsia" w:eastAsiaTheme="minorEastAsia"/>
          <w:b/>
          <w:w w:val="9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w w:val="95"/>
          <w:sz w:val="24"/>
          <w:szCs w:val="24"/>
          <w:lang w:eastAsia="zh-CN"/>
        </w:rPr>
        <w:t>控制价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本项目</w:t>
      </w:r>
      <w:r>
        <w:rPr>
          <w:rFonts w:hint="eastAsia"/>
        </w:rPr>
        <w:t>采用总包形式，合同期为合同期限：202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年11月18日至202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年11月17日</w:t>
      </w:r>
      <w:r>
        <w:rPr>
          <w:rFonts w:hint="eastAsia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最高限价为人民币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/>
          <w:sz w:val="24"/>
          <w:szCs w:val="24"/>
        </w:rPr>
        <w:t>万元，参选人在比选文件中填报的投标总价高于最高限价的，视为未实质性响应招标文件要求，其报价将被视为无效报价。</w:t>
      </w:r>
    </w:p>
    <w:p>
      <w:pPr>
        <w:pStyle w:val="27"/>
        <w:numPr>
          <w:ilvl w:val="0"/>
          <w:numId w:val="2"/>
        </w:numPr>
        <w:spacing w:before="15" w:line="460" w:lineRule="exact"/>
        <w:rPr>
          <w:rFonts w:asciiTheme="minorEastAsia" w:hAnsiTheme="minorEastAsia" w:eastAsiaTheme="minorEastAsia"/>
          <w:b/>
          <w:w w:val="9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w w:val="95"/>
          <w:sz w:val="24"/>
          <w:szCs w:val="24"/>
          <w:lang w:eastAsia="zh-CN"/>
        </w:rPr>
        <w:t>评分细则</w:t>
      </w:r>
    </w:p>
    <w:p>
      <w:pPr>
        <w:spacing w:line="360" w:lineRule="auto"/>
        <w:ind w:firstLine="470" w:firstLineChars="196"/>
        <w:rPr>
          <w:snapToGrid w:val="0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1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.</w:t>
      </w:r>
      <w:r>
        <w:rPr>
          <w:rFonts w:hint="eastAsia"/>
          <w:color w:val="000000"/>
          <w:spacing w:val="-2"/>
          <w:sz w:val="24"/>
        </w:rPr>
        <w:t xml:space="preserve"> 按公司“招标及自主比选管理规定”要求，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参选方案的综合评分分为</w:t>
      </w:r>
      <w:r>
        <w:rPr>
          <w:rFonts w:hint="eastAsia"/>
          <w:color w:val="000000"/>
          <w:spacing w:val="-2"/>
          <w:sz w:val="24"/>
        </w:rPr>
        <w:t>商务</w:t>
      </w:r>
      <w:r>
        <w:rPr>
          <w:rFonts w:hint="eastAsia"/>
          <w:color w:val="000000"/>
          <w:spacing w:val="-2"/>
          <w:sz w:val="24"/>
          <w:lang w:eastAsia="zh-CN"/>
        </w:rPr>
        <w:t>、</w:t>
      </w:r>
      <w:r>
        <w:rPr>
          <w:rFonts w:hint="eastAsia"/>
          <w:color w:val="000000"/>
          <w:spacing w:val="-2"/>
          <w:sz w:val="24"/>
        </w:rPr>
        <w:t>技术两部分，总分值为</w:t>
      </w:r>
      <w:r>
        <w:rPr>
          <w:rFonts w:hint="eastAsia"/>
          <w:color w:val="000000"/>
          <w:spacing w:val="-2"/>
          <w:sz w:val="24"/>
          <w:lang w:eastAsia="zh-CN"/>
        </w:rPr>
        <w:t>1</w:t>
      </w:r>
      <w:r>
        <w:rPr>
          <w:color w:val="000000"/>
          <w:spacing w:val="-2"/>
          <w:sz w:val="24"/>
          <w:lang w:eastAsia="zh-CN"/>
        </w:rPr>
        <w:t>00分，</w:t>
      </w:r>
      <w:r>
        <w:rPr>
          <w:rFonts w:hint="eastAsia"/>
          <w:snapToGrid w:val="0"/>
          <w:sz w:val="24"/>
          <w:lang w:eastAsia="zh-CN"/>
        </w:rPr>
        <w:t>其中商务部份分值比重（即权值）为6</w:t>
      </w:r>
      <w:r>
        <w:rPr>
          <w:snapToGrid w:val="0"/>
          <w:sz w:val="24"/>
          <w:lang w:eastAsia="zh-CN"/>
        </w:rPr>
        <w:t>0%，</w:t>
      </w:r>
      <w:r>
        <w:rPr>
          <w:rFonts w:hint="eastAsia"/>
          <w:snapToGrid w:val="0"/>
          <w:sz w:val="24"/>
          <w:lang w:eastAsia="zh-CN"/>
        </w:rPr>
        <w:t>技术部份分值比重（即权值）为</w:t>
      </w:r>
      <w:r>
        <w:rPr>
          <w:snapToGrid w:val="0"/>
          <w:sz w:val="24"/>
          <w:lang w:eastAsia="zh-CN"/>
        </w:rPr>
        <w:t>40%</w:t>
      </w:r>
      <w:r>
        <w:rPr>
          <w:rFonts w:hint="eastAsia"/>
          <w:snapToGrid w:val="0"/>
          <w:sz w:val="24"/>
          <w:lang w:eastAsia="zh-CN"/>
        </w:rPr>
        <w:t>。</w:t>
      </w:r>
    </w:p>
    <w:p>
      <w:pPr>
        <w:pStyle w:val="2"/>
        <w:ind w:firstLine="480" w:firstLineChars="200"/>
        <w:rPr>
          <w:rFonts w:hAnsi="宋体" w:cs="宋体"/>
          <w:color w:val="000000"/>
          <w:spacing w:val="-2"/>
          <w:sz w:val="24"/>
          <w:lang w:eastAsia="en-US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参选方案的</w:t>
      </w:r>
      <w:r>
        <w:rPr>
          <w:rFonts w:hAnsi="宋体" w:cs="宋体"/>
          <w:color w:val="000000"/>
          <w:spacing w:val="-2"/>
          <w:sz w:val="24"/>
          <w:lang w:eastAsia="en-US"/>
        </w:rPr>
        <w:t>综合评分计算公式</w:t>
      </w:r>
      <w:r>
        <w:rPr>
          <w:rFonts w:hint="eastAsia" w:hAnsi="宋体" w:cs="宋体"/>
          <w:color w:val="000000"/>
          <w:spacing w:val="-2"/>
          <w:sz w:val="24"/>
          <w:lang w:eastAsia="en-US"/>
        </w:rPr>
        <w:t>为：</w:t>
      </w:r>
    </w:p>
    <w:p>
      <w:pPr>
        <w:spacing w:line="460" w:lineRule="exact"/>
        <w:jc w:val="center"/>
        <w:rPr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综合评分=商务分值＋技术分值</w:t>
      </w:r>
    </w:p>
    <w:p>
      <w:pPr>
        <w:spacing w:line="460" w:lineRule="exact"/>
        <w:ind w:firstLine="540" w:firstLineChars="225"/>
        <w:rPr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注：综合评分计算结果按四舍五入取小数点后2位数。</w:t>
      </w:r>
    </w:p>
    <w:p>
      <w:pPr>
        <w:spacing w:line="460" w:lineRule="exact"/>
        <w:ind w:firstLine="540" w:firstLineChars="225"/>
        <w:rPr>
          <w:snapToGrid w:val="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2</w:t>
      </w:r>
      <w:r>
        <w:rPr>
          <w:color w:val="000000"/>
          <w:sz w:val="24"/>
          <w:lang w:eastAsia="zh-CN"/>
        </w:rPr>
        <w:t>.商务评分细则由企业部根据</w:t>
      </w:r>
      <w:r>
        <w:rPr>
          <w:rFonts w:hint="eastAsia"/>
          <w:snapToGrid w:val="0"/>
          <w:sz w:val="24"/>
          <w:lang w:eastAsia="zh-CN"/>
        </w:rPr>
        <w:t>公司相关文件、管理制度规定制定。</w:t>
      </w:r>
    </w:p>
    <w:p>
      <w:pPr>
        <w:spacing w:line="460" w:lineRule="exact"/>
        <w:ind w:firstLine="540" w:firstLineChars="225"/>
        <w:rPr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3</w:t>
      </w:r>
      <w:r>
        <w:rPr>
          <w:color w:val="000000"/>
          <w:sz w:val="24"/>
          <w:lang w:eastAsia="zh-CN"/>
        </w:rPr>
        <w:t>.技术评分细则如下：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861"/>
        <w:gridCol w:w="1015"/>
        <w:gridCol w:w="419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1" w:type="dxa"/>
            <w:vAlign w:val="center"/>
          </w:tcPr>
          <w:p>
            <w:pPr>
              <w:pStyle w:val="46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861" w:type="dxa"/>
            <w:vAlign w:val="center"/>
          </w:tcPr>
          <w:p>
            <w:pPr>
              <w:pStyle w:val="46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评审因素</w:t>
            </w:r>
          </w:p>
        </w:tc>
        <w:tc>
          <w:tcPr>
            <w:tcW w:w="1015" w:type="dxa"/>
            <w:vAlign w:val="center"/>
          </w:tcPr>
          <w:p>
            <w:pPr>
              <w:pStyle w:val="46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分值</w:t>
            </w:r>
          </w:p>
        </w:tc>
        <w:tc>
          <w:tcPr>
            <w:tcW w:w="4190" w:type="dxa"/>
            <w:vAlign w:val="center"/>
          </w:tcPr>
          <w:p>
            <w:pPr>
              <w:pStyle w:val="46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评分办法</w:t>
            </w:r>
          </w:p>
        </w:tc>
        <w:tc>
          <w:tcPr>
            <w:tcW w:w="1349" w:type="dxa"/>
            <w:vAlign w:val="center"/>
          </w:tcPr>
          <w:p>
            <w:pPr>
              <w:pStyle w:val="46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1" w:type="dxa"/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61" w:type="dxa"/>
            <w:tcBorders>
              <w:top w:val="single" w:color="auto" w:sz="4" w:space="0"/>
            </w:tcBorders>
            <w:vAlign w:val="center"/>
          </w:tcPr>
          <w:p>
            <w:pPr>
              <w:pStyle w:val="4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对PTA行业废热锅炉系统的处理经验</w:t>
            </w:r>
          </w:p>
        </w:tc>
        <w:tc>
          <w:tcPr>
            <w:tcW w:w="1015" w:type="dxa"/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190" w:type="dxa"/>
            <w:vAlign w:val="center"/>
          </w:tcPr>
          <w:p>
            <w:pPr>
              <w:pStyle w:val="4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1、在国内处理的PTA厂废热锅炉水单系统蒸汽量≥500</w:t>
            </w:r>
            <w:r>
              <w:rPr>
                <w:szCs w:val="21"/>
              </w:rPr>
              <w:t>t/h</w:t>
            </w:r>
            <w:r>
              <w:rPr>
                <w:rFonts w:hint="eastAsia"/>
                <w:szCs w:val="21"/>
              </w:rPr>
              <w:t>的业绩一项得2分；</w:t>
            </w:r>
          </w:p>
          <w:p>
            <w:pPr>
              <w:pStyle w:val="46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、在国内处理的PTA厂废热锅炉水单系统蒸汽量为100-500</w:t>
            </w:r>
            <w:r>
              <w:rPr>
                <w:szCs w:val="21"/>
              </w:rPr>
              <w:t>t/h</w:t>
            </w:r>
            <w:r>
              <w:rPr>
                <w:rFonts w:hint="eastAsia"/>
                <w:szCs w:val="21"/>
              </w:rPr>
              <w:t>的业绩一项得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</w:t>
            </w:r>
          </w:p>
        </w:tc>
        <w:tc>
          <w:tcPr>
            <w:tcW w:w="1349" w:type="dxa"/>
            <w:vAlign w:val="center"/>
          </w:tcPr>
          <w:p>
            <w:pPr>
              <w:pStyle w:val="4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提供相关业绩证明材料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1" w:type="dxa"/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61" w:type="dxa"/>
            <w:tcBorders>
              <w:top w:val="single" w:color="auto" w:sz="4" w:space="0"/>
            </w:tcBorders>
            <w:vAlign w:val="center"/>
          </w:tcPr>
          <w:p>
            <w:pPr>
              <w:pStyle w:val="4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对PTA废热锅炉水处理技术方案可实施性</w:t>
            </w:r>
          </w:p>
        </w:tc>
        <w:tc>
          <w:tcPr>
            <w:tcW w:w="1015" w:type="dxa"/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190" w:type="dxa"/>
            <w:vAlign w:val="center"/>
          </w:tcPr>
          <w:p>
            <w:pPr>
              <w:pStyle w:val="4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根据参选人提供的技术处理方案以及交流澄清的技术水平，判定方案的可行性：</w:t>
            </w:r>
          </w:p>
          <w:p>
            <w:pPr>
              <w:pStyle w:val="4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1、PTA</w:t>
            </w:r>
            <w:r>
              <w:rPr>
                <w:rFonts w:hint="eastAsia"/>
                <w:szCs w:val="21"/>
              </w:rPr>
              <w:t>废热锅炉水处理技术方案可行性、</w:t>
            </w:r>
            <w:r>
              <w:rPr>
                <w:rFonts w:hint="eastAsia" w:ascii="宋体" w:hAnsi="宋体" w:cs="宋体"/>
                <w:szCs w:val="21"/>
              </w:rPr>
              <w:t>有效性强：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0分；</w:t>
            </w:r>
          </w:p>
          <w:p>
            <w:pPr>
              <w:pStyle w:val="4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2、PTA</w:t>
            </w:r>
            <w:r>
              <w:rPr>
                <w:rFonts w:hint="eastAsia"/>
                <w:szCs w:val="21"/>
              </w:rPr>
              <w:t>废热锅炉水处理技术方案可行性、</w:t>
            </w:r>
            <w:r>
              <w:rPr>
                <w:rFonts w:hint="eastAsia" w:ascii="宋体" w:hAnsi="宋体" w:cs="宋体"/>
                <w:szCs w:val="21"/>
              </w:rPr>
              <w:t>有效性较好：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  <w:p>
            <w:pPr>
              <w:pStyle w:val="4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3、PTA</w:t>
            </w:r>
            <w:r>
              <w:rPr>
                <w:rFonts w:hint="eastAsia"/>
                <w:szCs w:val="21"/>
              </w:rPr>
              <w:t>废热锅炉水处理技术方案可行性、</w:t>
            </w:r>
            <w:r>
              <w:rPr>
                <w:rFonts w:hint="eastAsia" w:ascii="宋体" w:hAnsi="宋体" w:cs="宋体"/>
                <w:szCs w:val="21"/>
              </w:rPr>
              <w:t>有效性略差：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  <w:p>
            <w:pPr>
              <w:pStyle w:val="46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4、PTA</w:t>
            </w:r>
            <w:r>
              <w:rPr>
                <w:rFonts w:hint="eastAsia"/>
                <w:szCs w:val="21"/>
              </w:rPr>
              <w:t>废热锅炉水处理技术方案可行性、</w:t>
            </w:r>
            <w:r>
              <w:rPr>
                <w:rFonts w:hint="eastAsia" w:ascii="宋体" w:hAnsi="宋体" w:cs="宋体"/>
                <w:szCs w:val="21"/>
              </w:rPr>
              <w:t>有效性较差：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</w:tc>
        <w:tc>
          <w:tcPr>
            <w:tcW w:w="1349" w:type="dxa"/>
            <w:vAlign w:val="center"/>
          </w:tcPr>
          <w:p>
            <w:pPr>
              <w:pStyle w:val="46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1" w:type="dxa"/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61" w:type="dxa"/>
            <w:tcBorders>
              <w:top w:val="single" w:color="auto" w:sz="4" w:space="0"/>
            </w:tcBorders>
            <w:vAlign w:val="center"/>
          </w:tcPr>
          <w:p>
            <w:pPr>
              <w:pStyle w:val="4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对PTA废热锅炉水处理异常事故的应急处理能力</w:t>
            </w:r>
          </w:p>
        </w:tc>
        <w:tc>
          <w:tcPr>
            <w:tcW w:w="1015" w:type="dxa"/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190" w:type="dxa"/>
            <w:vAlign w:val="center"/>
          </w:tcPr>
          <w:p>
            <w:pPr>
              <w:pStyle w:val="4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根据参选人提供的</w:t>
            </w:r>
            <w:r>
              <w:rPr>
                <w:rFonts w:hint="eastAsia"/>
                <w:szCs w:val="21"/>
              </w:rPr>
              <w:t>PTA废热锅炉水处理异常事故的处置方案</w:t>
            </w:r>
            <w:r>
              <w:rPr>
                <w:rFonts w:hint="eastAsia" w:ascii="宋体" w:hAnsi="宋体" w:cs="宋体"/>
                <w:szCs w:val="21"/>
              </w:rPr>
              <w:t>，判定方案的可行性：</w:t>
            </w:r>
          </w:p>
          <w:p>
            <w:pPr>
              <w:pStyle w:val="4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1、PTA</w:t>
            </w:r>
            <w:r>
              <w:rPr>
                <w:rFonts w:hint="eastAsia"/>
                <w:szCs w:val="21"/>
              </w:rPr>
              <w:t>废热锅炉水处理异常事故应急处置方案可行性、</w:t>
            </w:r>
            <w:r>
              <w:rPr>
                <w:rFonts w:hint="eastAsia" w:ascii="宋体" w:hAnsi="宋体" w:cs="宋体"/>
                <w:szCs w:val="21"/>
              </w:rPr>
              <w:t>有效性强：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0分；</w:t>
            </w:r>
          </w:p>
          <w:p>
            <w:pPr>
              <w:pStyle w:val="4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2、PTA</w:t>
            </w:r>
            <w:r>
              <w:rPr>
                <w:rFonts w:hint="eastAsia"/>
                <w:szCs w:val="21"/>
              </w:rPr>
              <w:t>废热锅炉水处理异常事故应急处置方案可行性、</w:t>
            </w:r>
            <w:r>
              <w:rPr>
                <w:rFonts w:hint="eastAsia" w:ascii="宋体" w:hAnsi="宋体" w:cs="宋体"/>
                <w:szCs w:val="21"/>
              </w:rPr>
              <w:t>有效性较好：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  <w:p>
            <w:pPr>
              <w:pStyle w:val="4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3、PTA</w:t>
            </w:r>
            <w:r>
              <w:rPr>
                <w:rFonts w:hint="eastAsia"/>
                <w:szCs w:val="21"/>
              </w:rPr>
              <w:t>废热锅炉水处理异常事故应急处置方案可行性、</w:t>
            </w:r>
            <w:r>
              <w:rPr>
                <w:rFonts w:hint="eastAsia" w:ascii="宋体" w:hAnsi="宋体" w:cs="宋体"/>
                <w:szCs w:val="21"/>
              </w:rPr>
              <w:t>有效性略差：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  <w:p>
            <w:pPr>
              <w:pStyle w:val="46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4、PTA</w:t>
            </w:r>
            <w:r>
              <w:rPr>
                <w:rFonts w:hint="eastAsia"/>
                <w:szCs w:val="21"/>
              </w:rPr>
              <w:t>废热锅炉水处理异常事故应急处置方案可行性、</w:t>
            </w:r>
            <w:r>
              <w:rPr>
                <w:rFonts w:hint="eastAsia" w:ascii="宋体" w:hAnsi="宋体" w:cs="宋体"/>
                <w:szCs w:val="21"/>
              </w:rPr>
              <w:t>有效性较差：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</w:tc>
        <w:tc>
          <w:tcPr>
            <w:tcW w:w="1349" w:type="dxa"/>
            <w:vAlign w:val="center"/>
          </w:tcPr>
          <w:p>
            <w:pPr>
              <w:pStyle w:val="46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1" w:type="dxa"/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61" w:type="dxa"/>
            <w:tcBorders>
              <w:top w:val="single" w:color="auto" w:sz="4" w:space="0"/>
            </w:tcBorders>
            <w:vAlign w:val="center"/>
          </w:tcPr>
          <w:p>
            <w:pPr>
              <w:pStyle w:val="46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技术服务人员能力评定</w:t>
            </w:r>
          </w:p>
        </w:tc>
        <w:tc>
          <w:tcPr>
            <w:tcW w:w="1015" w:type="dxa"/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190" w:type="dxa"/>
            <w:vAlign w:val="center"/>
          </w:tcPr>
          <w:p>
            <w:pPr>
              <w:pStyle w:val="4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1、古雷地区常驻有技术服务人员，且承诺常驻我司现场的服务人员具有3年以上的P</w:t>
            </w:r>
            <w:r>
              <w:rPr>
                <w:rFonts w:ascii="宋体" w:hAnsi="宋体" w:cs="宋体"/>
                <w:szCs w:val="21"/>
              </w:rPr>
              <w:t>TA装置锅炉水处理</w:t>
            </w:r>
            <w:r>
              <w:rPr>
                <w:rFonts w:hint="eastAsia" w:ascii="宋体" w:hAnsi="宋体" w:cs="宋体"/>
                <w:szCs w:val="21"/>
              </w:rPr>
              <w:t>经验的：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  <w:p>
            <w:pPr>
              <w:pStyle w:val="4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2、古雷地区无常驻技术服务人员，但2小时内能达到我司，且承诺常驻我司现场的服务人员具有3年以上的P</w:t>
            </w:r>
            <w:r>
              <w:rPr>
                <w:rFonts w:ascii="宋体" w:hAnsi="宋体" w:cs="宋体"/>
                <w:szCs w:val="21"/>
              </w:rPr>
              <w:t>TA装置锅炉水处理</w:t>
            </w:r>
            <w:r>
              <w:rPr>
                <w:rFonts w:hint="eastAsia" w:ascii="宋体" w:hAnsi="宋体" w:cs="宋体"/>
                <w:szCs w:val="21"/>
              </w:rPr>
              <w:t>经验的：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  <w:p>
            <w:pPr>
              <w:pStyle w:val="4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3、古雷及周边地区无常驻技术服务人员，承诺常驻我司现场的服务人员具有3年以上的P</w:t>
            </w:r>
            <w:r>
              <w:rPr>
                <w:rFonts w:ascii="宋体" w:hAnsi="宋体" w:cs="宋体"/>
                <w:szCs w:val="21"/>
              </w:rPr>
              <w:t>TA装置锅炉水处理</w:t>
            </w:r>
            <w:r>
              <w:rPr>
                <w:rFonts w:hint="eastAsia" w:ascii="宋体" w:hAnsi="宋体" w:cs="宋体"/>
                <w:szCs w:val="21"/>
              </w:rPr>
              <w:t>经验的：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  <w:p>
            <w:pPr>
              <w:pStyle w:val="4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、古雷及周边地区无常驻有技术服务人员，且无法承诺日后常驻我司现场的服务人员具有已有3年以上的P</w:t>
            </w:r>
            <w:r>
              <w:rPr>
                <w:rFonts w:ascii="宋体" w:hAnsi="宋体" w:cs="宋体"/>
                <w:szCs w:val="21"/>
              </w:rPr>
              <w:t>TA装置锅炉水处理</w:t>
            </w:r>
            <w:r>
              <w:rPr>
                <w:rFonts w:hint="eastAsia" w:ascii="宋体" w:hAnsi="宋体" w:cs="宋体"/>
                <w:szCs w:val="21"/>
              </w:rPr>
              <w:t>经验的：0分；</w:t>
            </w:r>
          </w:p>
        </w:tc>
        <w:tc>
          <w:tcPr>
            <w:tcW w:w="1349" w:type="dxa"/>
            <w:vAlign w:val="center"/>
          </w:tcPr>
          <w:p>
            <w:pPr>
              <w:pStyle w:val="46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1" w:type="dxa"/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61" w:type="dxa"/>
            <w:tcBorders>
              <w:top w:val="single" w:color="auto" w:sz="4" w:space="0"/>
            </w:tcBorders>
            <w:vAlign w:val="center"/>
          </w:tcPr>
          <w:p>
            <w:pPr>
              <w:pStyle w:val="46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行业中获得的奖项或专利技术</w:t>
            </w:r>
          </w:p>
        </w:tc>
        <w:tc>
          <w:tcPr>
            <w:tcW w:w="1015" w:type="dxa"/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190" w:type="dxa"/>
            <w:vAlign w:val="center"/>
          </w:tcPr>
          <w:p>
            <w:pPr>
              <w:pStyle w:val="4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在锅炉水</w:t>
            </w:r>
            <w:bookmarkStart w:id="0" w:name="_GoBack"/>
            <w:r>
              <w:rPr>
                <w:rFonts w:hint="eastAsia"/>
                <w:szCs w:val="21"/>
              </w:rPr>
              <w:t>处理行业</w:t>
            </w:r>
            <w:r>
              <w:rPr>
                <w:rFonts w:hint="eastAsia"/>
                <w:szCs w:val="21"/>
                <w:lang w:val="en-US" w:eastAsia="zh-CN"/>
              </w:rPr>
              <w:t>近5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年内</w:t>
            </w:r>
            <w:r>
              <w:rPr>
                <w:rFonts w:hint="eastAsia"/>
                <w:szCs w:val="21"/>
              </w:rPr>
              <w:t>，每提供一项荣誉、奖项或技术专利证明得1分。</w:t>
            </w:r>
          </w:p>
        </w:tc>
        <w:tc>
          <w:tcPr>
            <w:tcW w:w="1349" w:type="dxa"/>
            <w:vAlign w:val="center"/>
          </w:tcPr>
          <w:p>
            <w:pPr>
              <w:pStyle w:val="4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02" w:type="dxa"/>
            <w:gridSpan w:val="2"/>
            <w:vAlign w:val="center"/>
          </w:tcPr>
          <w:p>
            <w:pPr>
              <w:pStyle w:val="46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5205" w:type="dxa"/>
            <w:gridSpan w:val="2"/>
            <w:vAlign w:val="center"/>
          </w:tcPr>
          <w:p>
            <w:pPr>
              <w:pStyle w:val="46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40分</w:t>
            </w:r>
          </w:p>
        </w:tc>
        <w:tc>
          <w:tcPr>
            <w:tcW w:w="1349" w:type="dxa"/>
            <w:vAlign w:val="center"/>
          </w:tcPr>
          <w:p>
            <w:pPr>
              <w:pStyle w:val="46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60" w:lineRule="auto"/>
        <w:rPr>
          <w:sz w:val="24"/>
          <w:lang w:eastAsia="zh-CN"/>
        </w:rPr>
      </w:pPr>
    </w:p>
    <w:p>
      <w:pPr>
        <w:pStyle w:val="27"/>
        <w:numPr>
          <w:ilvl w:val="0"/>
          <w:numId w:val="2"/>
        </w:numPr>
        <w:spacing w:before="15" w:line="460" w:lineRule="exact"/>
        <w:rPr>
          <w:rFonts w:asciiTheme="minorEastAsia" w:hAnsiTheme="minorEastAsia" w:eastAsiaTheme="minorEastAsia"/>
          <w:b/>
          <w:w w:val="9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w w:val="95"/>
          <w:sz w:val="24"/>
          <w:szCs w:val="24"/>
          <w:lang w:eastAsia="zh-CN"/>
        </w:rPr>
        <w:t>以下情况作废标处理：</w:t>
      </w:r>
    </w:p>
    <w:p>
      <w:pPr>
        <w:spacing w:line="360" w:lineRule="auto"/>
        <w:ind w:firstLine="470" w:firstLineChars="196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1.对比选文件提出的实质性要求和条件，参选文件未能在实质上响应的。</w:t>
      </w:r>
    </w:p>
    <w:p>
      <w:pPr>
        <w:spacing w:line="360" w:lineRule="auto"/>
        <w:ind w:firstLine="470" w:firstLineChars="196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2.参选文件存在重大偏差的。</w:t>
      </w:r>
    </w:p>
    <w:p>
      <w:pPr>
        <w:spacing w:line="360" w:lineRule="auto"/>
        <w:ind w:firstLine="470" w:firstLineChars="196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3.未按规定格式要求编制参选文件的。</w:t>
      </w:r>
    </w:p>
    <w:p>
      <w:pPr>
        <w:spacing w:line="360" w:lineRule="auto"/>
        <w:ind w:firstLine="470" w:firstLineChars="196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4.违反规定影响开选评选工作或采取其他方式对比选人施加影响的。</w:t>
      </w:r>
    </w:p>
    <w:p>
      <w:pPr>
        <w:spacing w:line="360" w:lineRule="auto"/>
        <w:ind w:firstLine="470" w:firstLineChars="196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5.参选人串标、相互勾结故意压低标价以排挤竞争对手的公平竞争的，其参选无效。</w:t>
      </w:r>
    </w:p>
    <w:sectPr>
      <w:footerReference r:id="rId3" w:type="default"/>
      <w:pgSz w:w="11910" w:h="16840"/>
      <w:pgMar w:top="1500" w:right="1020" w:bottom="740" w:left="1300" w:header="0" w:footer="551" w:gutter="0"/>
      <w:pgNumType w:start="1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4098" o:spid="_x0000_s2049" o:spt="202" type="#_x0000_t202" style="position:absolute;left:0pt;margin-left:305.95pt;margin-top:803.4pt;height:12pt;width:3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19" w:lineRule="exact"/>
                  <w:ind w:left="2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Thousand"/>
      <w:pStyle w:val="14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C83116F"/>
    <w:multiLevelType w:val="multilevel"/>
    <w:tmpl w:val="7C83116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w w:val="100"/>
        <w:sz w:val="26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ZGRmMzU5MzU0ZGIwM2NmYjE1M2I3ZjU1NGQ1ZDllYzEifQ=="/>
  </w:docVars>
  <w:rsids>
    <w:rsidRoot w:val="008414A5"/>
    <w:rsid w:val="0002694F"/>
    <w:rsid w:val="000C44EB"/>
    <w:rsid w:val="000E24F0"/>
    <w:rsid w:val="000F3929"/>
    <w:rsid w:val="00105077"/>
    <w:rsid w:val="00177ECE"/>
    <w:rsid w:val="001A2013"/>
    <w:rsid w:val="002003E7"/>
    <w:rsid w:val="00221464"/>
    <w:rsid w:val="00244BB6"/>
    <w:rsid w:val="00260792"/>
    <w:rsid w:val="00271051"/>
    <w:rsid w:val="002906C3"/>
    <w:rsid w:val="002F3BC6"/>
    <w:rsid w:val="0039685E"/>
    <w:rsid w:val="003A5122"/>
    <w:rsid w:val="003E28EF"/>
    <w:rsid w:val="003E3029"/>
    <w:rsid w:val="003F61C3"/>
    <w:rsid w:val="00462942"/>
    <w:rsid w:val="00572253"/>
    <w:rsid w:val="00577534"/>
    <w:rsid w:val="005E7BAF"/>
    <w:rsid w:val="00600948"/>
    <w:rsid w:val="006D43F2"/>
    <w:rsid w:val="006D7276"/>
    <w:rsid w:val="00782FB3"/>
    <w:rsid w:val="007B4A28"/>
    <w:rsid w:val="007D6FB4"/>
    <w:rsid w:val="008414A5"/>
    <w:rsid w:val="00856639"/>
    <w:rsid w:val="008A2C1C"/>
    <w:rsid w:val="00937DA1"/>
    <w:rsid w:val="00956D6E"/>
    <w:rsid w:val="009B0A85"/>
    <w:rsid w:val="009E4239"/>
    <w:rsid w:val="00A521B8"/>
    <w:rsid w:val="00A96364"/>
    <w:rsid w:val="00AC581A"/>
    <w:rsid w:val="00AF4318"/>
    <w:rsid w:val="00BD19A9"/>
    <w:rsid w:val="00C63CB3"/>
    <w:rsid w:val="00DB3724"/>
    <w:rsid w:val="00DD1DE7"/>
    <w:rsid w:val="00DE4C48"/>
    <w:rsid w:val="00E414BD"/>
    <w:rsid w:val="00EF4019"/>
    <w:rsid w:val="00F23C40"/>
    <w:rsid w:val="00F32750"/>
    <w:rsid w:val="00F32CE8"/>
    <w:rsid w:val="00F51E48"/>
    <w:rsid w:val="00F86F06"/>
    <w:rsid w:val="00F92BE6"/>
    <w:rsid w:val="50277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538"/>
      <w:outlineLvl w:val="0"/>
    </w:pPr>
    <w:rPr>
      <w:b/>
      <w:bCs/>
      <w:sz w:val="28"/>
      <w:szCs w:val="28"/>
    </w:rPr>
  </w:style>
  <w:style w:type="paragraph" w:styleId="4">
    <w:name w:val="heading 2"/>
    <w:basedOn w:val="1"/>
    <w:next w:val="1"/>
    <w:link w:val="37"/>
    <w:qFormat/>
    <w:uiPriority w:val="1"/>
    <w:pPr>
      <w:ind w:left="629"/>
      <w:outlineLvl w:val="1"/>
    </w:pPr>
    <w:rPr>
      <w:b/>
      <w:bCs/>
      <w:sz w:val="24"/>
      <w:szCs w:val="24"/>
    </w:rPr>
  </w:style>
  <w:style w:type="paragraph" w:styleId="5">
    <w:name w:val="heading 4"/>
    <w:basedOn w:val="1"/>
    <w:next w:val="1"/>
    <w:link w:val="38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styleId="6">
    <w:name w:val="Normal Indent"/>
    <w:basedOn w:val="1"/>
    <w:link w:val="30"/>
    <w:qFormat/>
    <w:uiPriority w:val="0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="Calibri" w:hAnsi="Calibri"/>
      <w:kern w:val="2"/>
      <w:sz w:val="21"/>
      <w:lang w:eastAsia="zh-CN"/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Plain Text"/>
    <w:basedOn w:val="1"/>
    <w:link w:val="45"/>
    <w:qFormat/>
    <w:uiPriority w:val="0"/>
    <w:rPr>
      <w:rFonts w:hAnsi="Courier New" w:cs="Courier New"/>
      <w:szCs w:val="21"/>
    </w:rPr>
  </w:style>
  <w:style w:type="paragraph" w:styleId="9">
    <w:name w:val="Date"/>
    <w:basedOn w:val="1"/>
    <w:next w:val="1"/>
    <w:link w:val="44"/>
    <w:uiPriority w:val="0"/>
    <w:pPr>
      <w:ind w:left="100" w:leftChars="2500"/>
    </w:pPr>
  </w:style>
  <w:style w:type="paragraph" w:styleId="10">
    <w:name w:val="Balloon Text"/>
    <w:basedOn w:val="1"/>
    <w:link w:val="31"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3">
    <w:name w:val="Normal (Web)"/>
    <w:basedOn w:val="1"/>
    <w:uiPriority w:val="0"/>
    <w:pPr>
      <w:widowControl/>
      <w:autoSpaceDE/>
      <w:autoSpaceDN/>
    </w:pPr>
    <w:rPr>
      <w:sz w:val="24"/>
      <w:szCs w:val="24"/>
      <w:lang w:eastAsia="zh-CN"/>
    </w:rPr>
  </w:style>
  <w:style w:type="paragraph" w:styleId="14">
    <w:name w:val="Title"/>
    <w:basedOn w:val="3"/>
    <w:link w:val="35"/>
    <w:qFormat/>
    <w:uiPriority w:val="0"/>
    <w:pPr>
      <w:widowControl/>
      <w:numPr>
        <w:ilvl w:val="0"/>
        <w:numId w:val="1"/>
      </w:numPr>
      <w:autoSpaceDE/>
      <w:autoSpaceDN/>
      <w:snapToGrid w:val="0"/>
      <w:spacing w:beforeLines="50"/>
    </w:pPr>
    <w:rPr>
      <w:rFonts w:ascii="华文楷体" w:hAnsi="华文楷体" w:eastAsia="华文楷体" w:cs="Times New Roman"/>
      <w:bCs w:val="0"/>
      <w:sz w:val="24"/>
      <w:szCs w:val="24"/>
      <w:lang w:eastAsia="zh-CN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Medium Grid 3"/>
    <w:basedOn w:val="1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8">
    <w:name w:val="Medium Grid 3 Accent 1"/>
    <w:basedOn w:val="1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9">
    <w:name w:val="Medium Grid 3 Accent 2"/>
    <w:basedOn w:val="1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0">
    <w:name w:val="Medium Grid 3 Accent 3"/>
    <w:basedOn w:val="1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">
    <w:name w:val="Medium Grid 3 Accent 4"/>
    <w:basedOn w:val="1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2">
    <w:name w:val="Medium Grid 3 Accent 5"/>
    <w:basedOn w:val="1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3">
    <w:name w:val="Medium Grid 3 Accent 6"/>
    <w:basedOn w:val="1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5">
    <w:name w:val="Hyperlink"/>
    <w:basedOn w:val="24"/>
    <w:uiPriority w:val="0"/>
    <w:rPr>
      <w:color w:val="0000FF"/>
      <w:u w:val="single"/>
    </w:rPr>
  </w:style>
  <w:style w:type="table" w:customStyle="1" w:styleId="26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List Paragraph"/>
    <w:basedOn w:val="1"/>
    <w:qFormat/>
    <w:uiPriority w:val="1"/>
    <w:pPr>
      <w:spacing w:before="206"/>
      <w:ind w:left="959" w:hanging="361"/>
    </w:pPr>
  </w:style>
  <w:style w:type="paragraph" w:customStyle="1" w:styleId="28">
    <w:name w:val="Table Paragraph"/>
    <w:basedOn w:val="1"/>
    <w:qFormat/>
    <w:uiPriority w:val="1"/>
  </w:style>
  <w:style w:type="paragraph" w:customStyle="1" w:styleId="29">
    <w:name w:val="文档正文"/>
    <w:basedOn w:val="1"/>
    <w:qFormat/>
    <w:uiPriority w:val="0"/>
    <w:pPr>
      <w:spacing w:beforeLines="50" w:afterLines="50" w:line="360" w:lineRule="auto"/>
      <w:ind w:firstLine="560" w:firstLineChars="200"/>
    </w:pPr>
    <w:rPr>
      <w:rFonts w:cs="Arial"/>
      <w:bCs/>
      <w:sz w:val="28"/>
      <w:szCs w:val="28"/>
    </w:rPr>
  </w:style>
  <w:style w:type="character" w:customStyle="1" w:styleId="30">
    <w:name w:val="正文缩进 Char"/>
    <w:link w:val="6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31">
    <w:name w:val="批注框文本 Char"/>
    <w:basedOn w:val="24"/>
    <w:link w:val="10"/>
    <w:uiPriority w:val="0"/>
    <w:rPr>
      <w:rFonts w:ascii="宋体" w:hAnsi="宋体" w:cs="宋体"/>
      <w:sz w:val="18"/>
      <w:szCs w:val="18"/>
      <w:lang w:eastAsia="en-US"/>
    </w:rPr>
  </w:style>
  <w:style w:type="paragraph" w:customStyle="1" w:styleId="32">
    <w:name w:val="xl27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zh-CN"/>
    </w:rPr>
  </w:style>
  <w:style w:type="character" w:customStyle="1" w:styleId="33">
    <w:name w:val="xdrichtextbox2"/>
    <w:basedOn w:val="24"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34">
    <w:name w:val="Default"/>
    <w:link w:val="36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5">
    <w:name w:val="标题 Char"/>
    <w:basedOn w:val="24"/>
    <w:link w:val="14"/>
    <w:uiPriority w:val="0"/>
    <w:rPr>
      <w:rFonts w:ascii="华文楷体" w:hAnsi="华文楷体" w:eastAsia="华文楷体"/>
      <w:b/>
      <w:sz w:val="24"/>
      <w:szCs w:val="24"/>
    </w:rPr>
  </w:style>
  <w:style w:type="character" w:customStyle="1" w:styleId="36">
    <w:name w:val="Default Char"/>
    <w:link w:val="34"/>
    <w:uiPriority w:val="0"/>
    <w:rPr>
      <w:color w:val="000000"/>
      <w:sz w:val="24"/>
      <w:szCs w:val="24"/>
    </w:rPr>
  </w:style>
  <w:style w:type="character" w:customStyle="1" w:styleId="37">
    <w:name w:val="标题 2 Char"/>
    <w:basedOn w:val="24"/>
    <w:link w:val="4"/>
    <w:uiPriority w:val="0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38">
    <w:name w:val="标题 4 Char"/>
    <w:basedOn w:val="24"/>
    <w:link w:val="5"/>
    <w:uiPriority w:val="0"/>
    <w:rPr>
      <w:rFonts w:ascii="Cambria" w:hAnsi="Cambria" w:eastAsia="宋体" w:cs="宋体"/>
      <w:b/>
      <w:bCs/>
      <w:sz w:val="28"/>
      <w:szCs w:val="28"/>
      <w:lang w:eastAsia="en-US"/>
    </w:rPr>
  </w:style>
  <w:style w:type="character" w:customStyle="1" w:styleId="39">
    <w:name w:val="apple-converted-space"/>
    <w:basedOn w:val="24"/>
    <w:qFormat/>
    <w:uiPriority w:val="0"/>
  </w:style>
  <w:style w:type="character" w:customStyle="1" w:styleId="40">
    <w:name w:val="font11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41">
    <w:name w:val="font8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2">
    <w:name w:val="font7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43">
    <w:name w:val="p0"/>
    <w:basedOn w:val="1"/>
    <w:uiPriority w:val="0"/>
    <w:pPr>
      <w:widowControl/>
      <w:autoSpaceDE/>
      <w:autoSpaceDN/>
      <w:jc w:val="both"/>
    </w:pPr>
    <w:rPr>
      <w:rFonts w:ascii="Calibri" w:hAnsi="Calibri" w:cs="Calibri"/>
      <w:sz w:val="21"/>
      <w:szCs w:val="21"/>
      <w:lang w:eastAsia="zh-CN"/>
    </w:rPr>
  </w:style>
  <w:style w:type="character" w:customStyle="1" w:styleId="44">
    <w:name w:val="日期 Char"/>
    <w:basedOn w:val="24"/>
    <w:link w:val="9"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45">
    <w:name w:val="纯文本 Char"/>
    <w:link w:val="8"/>
    <w:uiPriority w:val="0"/>
    <w:rPr>
      <w:rFonts w:ascii="宋体" w:hAnsi="Courier New" w:cs="Courier New"/>
      <w:sz w:val="22"/>
      <w:szCs w:val="21"/>
      <w:lang w:eastAsia="en-US"/>
    </w:rPr>
  </w:style>
  <w:style w:type="paragraph" w:customStyle="1" w:styleId="46">
    <w:name w:val="7表格(治)"/>
    <w:qFormat/>
    <w:uiPriority w:val="0"/>
    <w:pPr>
      <w:jc w:val="center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DD911E-72C1-4D80-808A-015FE0E3BF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福化环保</Company>
  <Pages>2</Pages>
  <Words>1547</Words>
  <Characters>1634</Characters>
  <Lines>12</Lines>
  <Paragraphs>3</Paragraphs>
  <TotalTime>603</TotalTime>
  <ScaleCrop>false</ScaleCrop>
  <LinksUpToDate>false</LinksUpToDate>
  <CharactersWithSpaces>1636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2020-08-06T12:47:00Z</dcterms:created>
  <dc:creator>CGC</dc:creator>
  <cp:lastModifiedBy>cqpeng</cp:lastModifiedBy>
  <dcterms:modified xsi:type="dcterms:W3CDTF">2022-09-02T08:52:40Z</dcterms:modified>
  <dc:title>公开招标文件（货物服务类）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CC93B2E9AD1E4B3AB9E547525D30AD27</vt:lpwstr>
  </property>
</Properties>
</file>