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tabs>
          <w:tab w:val="left" w:pos="1760"/>
        </w:tabs>
        <w:spacing w:line="360" w:lineRule="auto"/>
        <w:rPr>
          <w:rFonts w:ascii="Times New Roman" w:hAnsi="Times New Roman" w:cs="Times New Roman"/>
          <w:sz w:val="20"/>
          <w:lang w:eastAsia="zh-CN"/>
        </w:rPr>
      </w:pPr>
    </w:p>
    <w:p>
      <w:pPr>
        <w:pStyle w:val="18"/>
        <w:spacing w:line="360" w:lineRule="auto"/>
        <w:rPr>
          <w:rFonts w:ascii="Times New Roman" w:hAnsi="Times New Roman" w:cs="Times New Roman"/>
          <w:sz w:val="20"/>
        </w:rPr>
      </w:pPr>
    </w:p>
    <w:p>
      <w:pPr>
        <w:pStyle w:val="18"/>
        <w:spacing w:line="360" w:lineRule="auto"/>
        <w:rPr>
          <w:rFonts w:ascii="Times New Roman" w:hAnsi="Times New Roman" w:cs="Times New Roman"/>
          <w:sz w:val="20"/>
        </w:rPr>
      </w:pPr>
    </w:p>
    <w:p>
      <w:pPr>
        <w:pStyle w:val="18"/>
        <w:spacing w:before="5" w:line="360" w:lineRule="auto"/>
        <w:rPr>
          <w:rFonts w:ascii="Times New Roman" w:hAnsi="Times New Roman" w:cs="Times New Roman"/>
          <w:sz w:val="20"/>
        </w:rPr>
      </w:pPr>
    </w:p>
    <w:p>
      <w:pPr>
        <w:pStyle w:val="18"/>
        <w:spacing w:line="360" w:lineRule="auto"/>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360" w:lineRule="auto"/>
        <w:jc w:val="center"/>
        <w:rPr>
          <w:rFonts w:ascii="Times New Roman" w:hAnsi="Times New Roman" w:cs="Times New Roman"/>
          <w:b/>
          <w:bCs/>
          <w:sz w:val="36"/>
          <w:szCs w:val="36"/>
          <w:u w:val="single"/>
          <w:lang w:eastAsia="zh-CN"/>
        </w:rPr>
      </w:pPr>
    </w:p>
    <w:p>
      <w:pPr>
        <w:pStyle w:val="59"/>
        <w:spacing w:line="360" w:lineRule="auto"/>
        <w:rPr>
          <w:rFonts w:ascii="Times New Roman" w:hAnsi="Times New Roman"/>
        </w:rPr>
      </w:pPr>
    </w:p>
    <w:p>
      <w:pPr>
        <w:spacing w:line="360" w:lineRule="auto"/>
        <w:jc w:val="center"/>
        <w:rPr>
          <w:rFonts w:ascii="Times New Roman" w:hAnsi="Times New Roman" w:cs="Times New Roman"/>
          <w:b/>
          <w:sz w:val="32"/>
          <w:szCs w:val="32"/>
          <w:u w:val="single"/>
          <w:lang w:eastAsia="zh-CN"/>
        </w:rPr>
      </w:pPr>
      <w:r>
        <w:rPr>
          <w:rFonts w:hint="eastAsia" w:ascii="Times New Roman" w:hAnsi="Times New Roman" w:cs="Times New Roman"/>
          <w:b/>
          <w:sz w:val="32"/>
          <w:szCs w:val="32"/>
          <w:u w:val="single"/>
          <w:lang w:eastAsia="zh-CN"/>
        </w:rPr>
        <w:t>2022年度火灾高危单位PX厂区及PTA厂区消防安全</w:t>
      </w:r>
      <w:r>
        <w:rPr>
          <w:rFonts w:ascii="Times New Roman" w:hAnsi="Times New Roman" w:cs="Times New Roman"/>
          <w:b/>
          <w:sz w:val="32"/>
          <w:szCs w:val="32"/>
          <w:u w:val="single"/>
          <w:lang w:eastAsia="zh-CN"/>
        </w:rPr>
        <w:t>评估项目</w:t>
      </w:r>
    </w:p>
    <w:p>
      <w:pPr>
        <w:spacing w:line="360" w:lineRule="auto"/>
        <w:jc w:val="center"/>
        <w:rPr>
          <w:rFonts w:ascii="Times New Roman" w:hAnsi="Times New Roman" w:cs="Times New Roman"/>
          <w:b/>
          <w:sz w:val="32"/>
          <w:szCs w:val="32"/>
          <w:u w:val="single"/>
          <w:lang w:eastAsia="zh-CN"/>
        </w:rPr>
      </w:pPr>
      <w:r>
        <w:rPr>
          <w:rFonts w:ascii="Times New Roman" w:hAnsi="Times New Roman" w:cs="Times New Roman"/>
          <w:b/>
          <w:sz w:val="32"/>
          <w:szCs w:val="32"/>
          <w:u w:val="single"/>
          <w:lang w:eastAsia="zh-CN"/>
        </w:rPr>
        <w:t>比选文件</w:t>
      </w:r>
    </w:p>
    <w:p>
      <w:pPr>
        <w:pStyle w:val="18"/>
        <w:spacing w:line="360" w:lineRule="auto"/>
        <w:jc w:val="center"/>
        <w:rPr>
          <w:rFonts w:ascii="Times New Roman" w:hAnsi="Times New Roman" w:cs="Times New Roman"/>
          <w:b/>
          <w:sz w:val="48"/>
          <w:szCs w:val="48"/>
          <w:u w:val="single"/>
          <w:lang w:eastAsia="zh-CN"/>
        </w:rPr>
      </w:pPr>
    </w:p>
    <w:p>
      <w:pPr>
        <w:pStyle w:val="59"/>
        <w:spacing w:line="360" w:lineRule="auto"/>
        <w:jc w:val="center"/>
        <w:rPr>
          <w:rFonts w:ascii="Times New Roman" w:hAnsi="Times New Roman"/>
          <w:b/>
          <w:bCs/>
          <w:sz w:val="28"/>
          <w:szCs w:val="28"/>
        </w:rPr>
      </w:pPr>
      <w:r>
        <w:rPr>
          <w:rFonts w:ascii="Times New Roman" w:hAnsi="Times New Roman"/>
          <w:b/>
          <w:bCs/>
          <w:sz w:val="28"/>
          <w:szCs w:val="28"/>
        </w:rPr>
        <w:t>（</w:t>
      </w:r>
      <w:r>
        <w:rPr>
          <w:rFonts w:hint="eastAsia" w:ascii="Times New Roman" w:hAnsi="Times New Roman"/>
          <w:b/>
          <w:bCs/>
          <w:sz w:val="28"/>
          <w:szCs w:val="28"/>
        </w:rPr>
        <w:t>项目</w:t>
      </w:r>
      <w:r>
        <w:rPr>
          <w:rFonts w:ascii="Times New Roman" w:hAnsi="Times New Roman"/>
          <w:b/>
          <w:bCs/>
          <w:sz w:val="28"/>
          <w:szCs w:val="28"/>
        </w:rPr>
        <w:t>编号：</w:t>
      </w:r>
      <w:r>
        <w:rPr>
          <w:rFonts w:ascii="Times New Roman" w:hAnsi="Times New Roman"/>
          <w:b/>
          <w:bCs/>
          <w:sz w:val="28"/>
          <w:szCs w:val="28"/>
          <w:u w:val="single"/>
        </w:rPr>
        <w:t>FHC-PTCG20220</w:t>
      </w:r>
      <w:r>
        <w:rPr>
          <w:rFonts w:hint="eastAsia" w:ascii="Times New Roman" w:hAnsi="Times New Roman"/>
          <w:b/>
          <w:bCs/>
          <w:sz w:val="28"/>
          <w:szCs w:val="28"/>
          <w:u w:val="single"/>
        </w:rPr>
        <w:t>914</w:t>
      </w:r>
      <w:r>
        <w:rPr>
          <w:rFonts w:ascii="Times New Roman" w:hAnsi="Times New Roman"/>
          <w:b/>
          <w:bCs/>
          <w:sz w:val="28"/>
          <w:szCs w:val="28"/>
          <w:u w:val="single"/>
        </w:rPr>
        <w:t>00</w:t>
      </w:r>
      <w:r>
        <w:rPr>
          <w:rFonts w:hint="eastAsia" w:ascii="Times New Roman" w:hAnsi="Times New Roman"/>
          <w:b/>
          <w:bCs/>
          <w:sz w:val="28"/>
          <w:szCs w:val="28"/>
          <w:u w:val="single"/>
        </w:rPr>
        <w:t>1</w:t>
      </w:r>
      <w:r>
        <w:rPr>
          <w:rFonts w:ascii="Times New Roman" w:hAnsi="Times New Roman"/>
          <w:b/>
          <w:bCs/>
          <w:sz w:val="28"/>
          <w:szCs w:val="28"/>
        </w:rPr>
        <w:t>）</w:t>
      </w:r>
    </w:p>
    <w:p>
      <w:pPr>
        <w:pStyle w:val="18"/>
        <w:spacing w:line="360" w:lineRule="auto"/>
        <w:rPr>
          <w:rFonts w:ascii="Times New Roman" w:hAnsi="Times New Roman" w:cs="Times New Roman"/>
          <w:b/>
          <w:sz w:val="94"/>
          <w:lang w:eastAsia="zh-CN"/>
        </w:rPr>
      </w:pPr>
    </w:p>
    <w:p>
      <w:pPr>
        <w:pStyle w:val="18"/>
        <w:spacing w:line="360" w:lineRule="auto"/>
        <w:rPr>
          <w:rFonts w:ascii="Times New Roman" w:hAnsi="Times New Roman" w:cs="Times New Roman"/>
          <w:b/>
          <w:sz w:val="94"/>
          <w:lang w:eastAsia="zh-CN"/>
        </w:rPr>
      </w:pPr>
    </w:p>
    <w:p>
      <w:pPr>
        <w:pStyle w:val="18"/>
        <w:spacing w:line="360" w:lineRule="auto"/>
        <w:rPr>
          <w:rFonts w:ascii="Times New Roman" w:hAnsi="Times New Roman" w:cs="Times New Roman"/>
          <w:b/>
          <w:sz w:val="94"/>
          <w:lang w:eastAsia="zh-CN"/>
        </w:rPr>
      </w:pPr>
    </w:p>
    <w:p>
      <w:pPr>
        <w:pStyle w:val="18"/>
        <w:spacing w:line="360" w:lineRule="auto"/>
        <w:rPr>
          <w:rFonts w:ascii="Times New Roman" w:hAnsi="Times New Roman" w:cs="Times New Roman"/>
          <w:b/>
          <w:sz w:val="32"/>
          <w:szCs w:val="32"/>
          <w:lang w:eastAsia="zh-CN"/>
        </w:rPr>
      </w:pPr>
    </w:p>
    <w:p>
      <w:pPr>
        <w:pStyle w:val="59"/>
        <w:spacing w:line="360" w:lineRule="auto"/>
        <w:jc w:val="center"/>
        <w:rPr>
          <w:rFonts w:ascii="Times New Roman" w:hAnsi="Times New Roman"/>
          <w:b/>
          <w:sz w:val="36"/>
          <w:szCs w:val="36"/>
        </w:rPr>
      </w:pPr>
    </w:p>
    <w:p>
      <w:pPr>
        <w:pStyle w:val="59"/>
        <w:spacing w:line="360" w:lineRule="auto"/>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360"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二〇二二年</w:t>
      </w:r>
      <w:r>
        <w:rPr>
          <w:rFonts w:hint="eastAsia" w:ascii="Times New Roman" w:hAnsi="Times New Roman" w:cs="Times New Roman"/>
          <w:b/>
          <w:w w:val="95"/>
          <w:sz w:val="36"/>
          <w:szCs w:val="36"/>
          <w:lang w:val="en-US" w:eastAsia="zh-CN"/>
        </w:rPr>
        <w:t>十</w:t>
      </w:r>
      <w:r>
        <w:rPr>
          <w:rFonts w:ascii="Times New Roman" w:hAnsi="Times New Roman" w:cs="Times New Roman"/>
          <w:b/>
          <w:w w:val="95"/>
          <w:sz w:val="36"/>
          <w:szCs w:val="36"/>
          <w:lang w:eastAsia="zh-CN"/>
        </w:rPr>
        <w:t>月</w:t>
      </w:r>
    </w:p>
    <w:p>
      <w:pPr>
        <w:spacing w:line="360" w:lineRule="auto"/>
        <w:jc w:val="center"/>
        <w:rPr>
          <w:rFonts w:ascii="Times New Roman" w:hAnsi="Times New Roman" w:cs="Times New Roman"/>
          <w:sz w:val="32"/>
          <w:lang w:eastAsia="zh-CN"/>
        </w:rPr>
        <w:sectPr>
          <w:type w:val="continuous"/>
          <w:pgSz w:w="11910" w:h="16840"/>
          <w:pgMar w:top="1600" w:right="1680" w:bottom="280" w:left="1680" w:header="720" w:footer="720" w:gutter="0"/>
          <w:cols w:space="720" w:num="1"/>
        </w:sectPr>
      </w:pPr>
    </w:p>
    <w:p>
      <w:pPr>
        <w:tabs>
          <w:tab w:val="left" w:pos="959"/>
        </w:tabs>
        <w:spacing w:line="360" w:lineRule="auto"/>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18"/>
        <w:spacing w:line="360" w:lineRule="auto"/>
        <w:rPr>
          <w:rFonts w:ascii="Times New Roman" w:hAnsi="Times New Roman" w:cs="Times New Roman"/>
          <w:sz w:val="20"/>
          <w:lang w:eastAsia="zh-CN"/>
        </w:rPr>
      </w:pPr>
    </w:p>
    <w:p>
      <w:pPr>
        <w:pStyle w:val="18"/>
        <w:spacing w:line="360" w:lineRule="auto"/>
        <w:rPr>
          <w:rFonts w:ascii="Times New Roman" w:hAnsi="Times New Roman" w:cs="Times New Roman"/>
          <w:sz w:val="20"/>
          <w:lang w:eastAsia="zh-CN"/>
        </w:rPr>
      </w:pPr>
    </w:p>
    <w:p>
      <w:pPr>
        <w:pStyle w:val="18"/>
        <w:spacing w:before="9" w:line="360" w:lineRule="auto"/>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第一章  比选公告     </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  比选须知</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   评比规则</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   合同授予</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   中选后相关履约要求</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   其它</w:t>
      </w: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pStyle w:val="59"/>
        <w:spacing w:line="360" w:lineRule="auto"/>
        <w:rPr>
          <w:rFonts w:ascii="Times New Roman" w:hAnsi="Times New Roman"/>
          <w:sz w:val="24"/>
          <w:szCs w:val="24"/>
        </w:rPr>
      </w:pPr>
    </w:p>
    <w:p>
      <w:pPr>
        <w:pStyle w:val="59"/>
        <w:spacing w:line="360" w:lineRule="auto"/>
        <w:rPr>
          <w:rFonts w:ascii="Times New Roman" w:hAnsi="Times New Roman"/>
          <w:sz w:val="24"/>
          <w:szCs w:val="24"/>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022年度</w:t>
      </w:r>
      <w:r>
        <w:rPr>
          <w:rFonts w:hint="eastAsia" w:ascii="Times New Roman" w:hAnsi="Times New Roman" w:cs="Times New Roman"/>
          <w:sz w:val="24"/>
          <w:szCs w:val="24"/>
          <w:lang w:eastAsia="zh-CN"/>
        </w:rPr>
        <w:t>火灾高危单位消防安全评估项目发包说明书</w:t>
      </w:r>
      <w:r>
        <w:rPr>
          <w:rFonts w:ascii="Times New Roman" w:hAnsi="Times New Roman" w:cs="Times New Roman"/>
          <w:sz w:val="24"/>
          <w:szCs w:val="24"/>
          <w:lang w:eastAsia="zh-CN"/>
        </w:rPr>
        <w:t>》</w:t>
      </w:r>
    </w:p>
    <w:p>
      <w:pPr>
        <w:spacing w:line="360" w:lineRule="auto"/>
        <w:rPr>
          <w:rFonts w:ascii="Times New Roman" w:hAnsi="Times New Roman" w:cs="Times New Roman"/>
          <w:sz w:val="28"/>
          <w:lang w:eastAsia="zh-CN"/>
        </w:rPr>
      </w:pPr>
    </w:p>
    <w:p>
      <w:pPr>
        <w:pStyle w:val="59"/>
        <w:spacing w:line="360" w:lineRule="auto"/>
        <w:rPr>
          <w:rFonts w:ascii="Times New Roman" w:hAnsi="Times New Roman"/>
        </w:rPr>
        <w:sectPr>
          <w:footerReference r:id="rId3" w:type="default"/>
          <w:pgSz w:w="11910" w:h="16840"/>
          <w:pgMar w:top="1480" w:right="1340" w:bottom="740" w:left="1680" w:header="0" w:footer="551" w:gutter="0"/>
          <w:pgNumType w:start="1"/>
          <w:cols w:space="720" w:num="1"/>
        </w:sectPr>
      </w:pPr>
    </w:p>
    <w:p>
      <w:pPr>
        <w:tabs>
          <w:tab w:val="left" w:pos="1272"/>
        </w:tabs>
        <w:spacing w:line="336" w:lineRule="auto"/>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spacing w:line="360" w:lineRule="auto"/>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 xml:space="preserve">  </w:t>
      </w:r>
      <w:r>
        <w:rPr>
          <w:rFonts w:hint="eastAsia"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 xml:space="preserve">  福建福海创石油化工有限公司拟对本公司</w:t>
      </w:r>
      <w:r>
        <w:rPr>
          <w:rFonts w:ascii="Times New Roman" w:hAnsi="Times New Roman" w:cs="Times New Roman"/>
          <w:sz w:val="24"/>
          <w:szCs w:val="24"/>
          <w:lang w:eastAsia="zh-CN"/>
        </w:rPr>
        <w:t>：</w:t>
      </w:r>
      <w:r>
        <w:rPr>
          <w:rFonts w:hint="eastAsia" w:ascii="Times New Roman" w:hAnsi="Times New Roman" w:cs="Times New Roman"/>
          <w:snapToGrid w:val="0"/>
          <w:color w:val="000000" w:themeColor="text1"/>
          <w:sz w:val="24"/>
          <w:szCs w:val="24"/>
          <w:u w:val="single"/>
          <w:lang w:eastAsia="zh-CN"/>
        </w:rPr>
        <w:t>2022年度火灾高危单位</w:t>
      </w:r>
      <w:r>
        <w:rPr>
          <w:rFonts w:ascii="Times New Roman" w:hAnsi="Times New Roman" w:cs="Times New Roman"/>
          <w:snapToGrid w:val="0"/>
          <w:color w:val="000000" w:themeColor="text1"/>
          <w:sz w:val="24"/>
          <w:szCs w:val="24"/>
          <w:u w:val="single"/>
          <w:lang w:eastAsia="zh-CN"/>
        </w:rPr>
        <w:t>PX厂区及PTA厂区消防</w:t>
      </w:r>
      <w:r>
        <w:rPr>
          <w:rFonts w:hint="eastAsia" w:ascii="Times New Roman" w:hAnsi="Times New Roman" w:cs="Times New Roman"/>
          <w:snapToGrid w:val="0"/>
          <w:color w:val="000000" w:themeColor="text1"/>
          <w:sz w:val="24"/>
          <w:szCs w:val="24"/>
          <w:u w:val="single"/>
          <w:lang w:eastAsia="zh-CN"/>
        </w:rPr>
        <w:t>安全</w:t>
      </w:r>
      <w:r>
        <w:rPr>
          <w:rFonts w:ascii="Times New Roman" w:hAnsi="Times New Roman" w:cs="Times New Roman"/>
          <w:snapToGrid w:val="0"/>
          <w:color w:val="000000" w:themeColor="text1"/>
          <w:sz w:val="24"/>
          <w:szCs w:val="24"/>
          <w:u w:val="single"/>
          <w:lang w:eastAsia="zh-CN"/>
        </w:rPr>
        <w:t>评估项目</w:t>
      </w:r>
      <w:r>
        <w:rPr>
          <w:rFonts w:hint="eastAsia" w:ascii="Times New Roman" w:hAnsi="Times New Roman" w:cs="Times New Roman"/>
          <w:snapToGrid w:val="0"/>
          <w:color w:val="000000" w:themeColor="text1"/>
          <w:sz w:val="24"/>
          <w:szCs w:val="24"/>
          <w:u w:val="single"/>
          <w:lang w:eastAsia="zh-CN"/>
        </w:rPr>
        <w:t>（项目编号：FHC-PTCG20220729004）</w:t>
      </w:r>
      <w:r>
        <w:rPr>
          <w:rFonts w:ascii="Times New Roman" w:hAnsi="Times New Roman" w:cs="Times New Roman"/>
          <w:snapToGrid w:val="0"/>
          <w:color w:val="000000" w:themeColor="text1"/>
          <w:sz w:val="24"/>
          <w:szCs w:val="24"/>
          <w:lang w:eastAsia="zh-CN"/>
        </w:rPr>
        <w:t>进行公开比选。为了“公开、公平、公正、透明”，引导参选人进行正确参选，特制定本规定文件。</w:t>
      </w:r>
    </w:p>
    <w:p>
      <w:pPr>
        <w:spacing w:line="336" w:lineRule="auto"/>
        <w:ind w:firstLine="360" w:firstLineChars="15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line="360" w:lineRule="auto"/>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pPr>
        <w:pStyle w:val="78"/>
        <w:spacing w:line="360" w:lineRule="auto"/>
        <w:rPr>
          <w:rFonts w:ascii="Times New Roman" w:cs="Times New Roman"/>
        </w:rPr>
      </w:pPr>
      <w:r>
        <w:rPr>
          <w:rFonts w:ascii="Times New Roman" w:cs="Times New Roman"/>
        </w:rPr>
        <w:t>1.  项目名称：</w:t>
      </w:r>
      <w:r>
        <w:rPr>
          <w:rFonts w:hint="eastAsia" w:ascii="Times New Roman" w:cs="Times New Roman"/>
          <w:snapToGrid w:val="0"/>
          <w:color w:val="000000" w:themeColor="text1"/>
        </w:rPr>
        <w:t>2</w:t>
      </w:r>
      <w:r>
        <w:rPr>
          <w:rFonts w:ascii="Times New Roman" w:cs="Times New Roman"/>
          <w:snapToGrid w:val="0"/>
          <w:color w:val="000000" w:themeColor="text1"/>
        </w:rPr>
        <w:t>022年度</w:t>
      </w:r>
      <w:r>
        <w:rPr>
          <w:rFonts w:hint="eastAsia" w:ascii="Times New Roman" w:cs="Times New Roman"/>
          <w:snapToGrid w:val="0"/>
          <w:color w:val="000000" w:themeColor="text1"/>
        </w:rPr>
        <w:t>火灾高危单位</w:t>
      </w:r>
      <w:r>
        <w:rPr>
          <w:rFonts w:ascii="Times New Roman" w:cs="Times New Roman"/>
          <w:snapToGrid w:val="0"/>
          <w:color w:val="000000" w:themeColor="text1"/>
        </w:rPr>
        <w:t>PX及PTA厂区</w:t>
      </w:r>
      <w:r>
        <w:rPr>
          <w:rFonts w:hint="eastAsia" w:ascii="Times New Roman" w:cs="Times New Roman"/>
          <w:snapToGrid w:val="0"/>
          <w:color w:val="000000" w:themeColor="text1"/>
        </w:rPr>
        <w:t>消防安全评估项目。</w:t>
      </w:r>
    </w:p>
    <w:p>
      <w:pPr>
        <w:spacing w:line="336" w:lineRule="auto"/>
        <w:ind w:left="296" w:leftChars="-9" w:hanging="316" w:hangingChars="132"/>
        <w:rPr>
          <w:rFonts w:ascii="Times New Roman" w:hAnsi="Times New Roman" w:cs="Times New Roman"/>
          <w:snapToGrid w:val="0"/>
          <w:color w:val="000000" w:themeColor="text1"/>
          <w:sz w:val="24"/>
          <w:szCs w:val="24"/>
          <w:lang w:eastAsia="zh-CN"/>
        </w:rPr>
      </w:pPr>
      <w:r>
        <w:rPr>
          <w:rFonts w:hint="eastAsia" w:ascii="Times New Roman" w:hAnsi="Times New Roman" w:cs="Times New Roman"/>
          <w:snapToGrid w:val="0"/>
          <w:color w:val="000000" w:themeColor="text1"/>
          <w:sz w:val="24"/>
          <w:szCs w:val="24"/>
          <w:lang w:eastAsia="zh-CN"/>
        </w:rPr>
        <w:t xml:space="preserve">2. </w:t>
      </w:r>
      <w:r>
        <w:rPr>
          <w:rFonts w:ascii="Times New Roman" w:hAnsi="Times New Roman" w:cs="Times New Roman"/>
          <w:snapToGrid w:val="0"/>
          <w:color w:val="000000" w:themeColor="text1"/>
          <w:sz w:val="24"/>
          <w:szCs w:val="24"/>
          <w:lang w:eastAsia="zh-CN"/>
        </w:rPr>
        <w:t xml:space="preserve"> 比选控制价：</w:t>
      </w:r>
      <w:r>
        <w:rPr>
          <w:rFonts w:hint="eastAsia" w:ascii="Times New Roman" w:hAnsi="Times New Roman" w:cs="Times New Roman"/>
          <w:snapToGrid w:val="0"/>
          <w:color w:val="000000" w:themeColor="text1"/>
          <w:sz w:val="24"/>
          <w:szCs w:val="24"/>
          <w:lang w:eastAsia="zh-CN"/>
        </w:rPr>
        <w:t>人民币35万</w:t>
      </w:r>
      <w:r>
        <w:rPr>
          <w:rFonts w:ascii="Times New Roman" w:hAnsi="Times New Roman" w:cs="Times New Roman"/>
          <w:snapToGrid w:val="0"/>
          <w:color w:val="000000" w:themeColor="text1"/>
          <w:sz w:val="24"/>
          <w:szCs w:val="24"/>
          <w:lang w:eastAsia="zh-CN"/>
        </w:rPr>
        <w:t>元（含税价）。</w:t>
      </w:r>
      <w:r>
        <w:rPr>
          <w:rFonts w:hint="eastAsia"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PX厂区：</w:t>
      </w:r>
      <w:r>
        <w:rPr>
          <w:rFonts w:hint="eastAsia" w:ascii="Times New Roman" w:hAnsi="Times New Roman" w:cs="Times New Roman"/>
          <w:snapToGrid w:val="0"/>
          <w:color w:val="000000" w:themeColor="text1"/>
          <w:sz w:val="24"/>
          <w:szCs w:val="24"/>
          <w:lang w:eastAsia="zh-CN"/>
        </w:rPr>
        <w:t>25万</w:t>
      </w:r>
      <w:r>
        <w:rPr>
          <w:rFonts w:ascii="Times New Roman" w:hAnsi="Times New Roman" w:cs="Times New Roman"/>
          <w:snapToGrid w:val="0"/>
          <w:color w:val="000000" w:themeColor="text1"/>
          <w:sz w:val="24"/>
          <w:szCs w:val="24"/>
          <w:lang w:eastAsia="zh-CN"/>
        </w:rPr>
        <w:t>元；PTA</w:t>
      </w:r>
      <w:r>
        <w:rPr>
          <w:rFonts w:hint="eastAsia" w:ascii="Times New Roman" w:hAnsi="Times New Roman" w:cs="Times New Roman"/>
          <w:snapToGrid w:val="0"/>
          <w:color w:val="000000" w:themeColor="text1"/>
          <w:sz w:val="24"/>
          <w:szCs w:val="24"/>
          <w:lang w:eastAsia="zh-CN"/>
        </w:rPr>
        <w:t>厂区</w:t>
      </w:r>
      <w:r>
        <w:rPr>
          <w:rFonts w:ascii="Times New Roman" w:hAnsi="Times New Roman" w:cs="Times New Roman"/>
          <w:snapToGrid w:val="0"/>
          <w:color w:val="000000" w:themeColor="text1"/>
          <w:sz w:val="24"/>
          <w:szCs w:val="24"/>
          <w:lang w:eastAsia="zh-CN"/>
        </w:rPr>
        <w:t>：</w:t>
      </w:r>
      <w:r>
        <w:rPr>
          <w:rFonts w:hint="eastAsia" w:ascii="Times New Roman" w:hAnsi="Times New Roman" w:cs="Times New Roman"/>
          <w:snapToGrid w:val="0"/>
          <w:color w:val="000000" w:themeColor="text1"/>
          <w:sz w:val="24"/>
          <w:szCs w:val="24"/>
          <w:lang w:eastAsia="zh-CN"/>
        </w:rPr>
        <w:t>10万</w:t>
      </w:r>
      <w:r>
        <w:rPr>
          <w:rFonts w:ascii="Times New Roman" w:hAnsi="Times New Roman" w:cs="Times New Roman"/>
          <w:snapToGrid w:val="0"/>
          <w:color w:val="000000" w:themeColor="text1"/>
          <w:sz w:val="24"/>
          <w:szCs w:val="24"/>
          <w:lang w:eastAsia="zh-CN"/>
        </w:rPr>
        <w:t>元）</w:t>
      </w:r>
    </w:p>
    <w:p>
      <w:pPr>
        <w:spacing w:line="336" w:lineRule="auto"/>
        <w:ind w:left="296" w:leftChars="-9" w:hanging="316" w:hangingChars="132"/>
        <w:rPr>
          <w:rFonts w:ascii="Times New Roman" w:hAnsi="Times New Roman" w:cs="Times New Roman"/>
          <w:snapToGrid w:val="0"/>
          <w:color w:val="000000" w:themeColor="text1"/>
          <w:sz w:val="24"/>
          <w:szCs w:val="24"/>
          <w:lang w:eastAsia="zh-CN"/>
        </w:rPr>
      </w:pPr>
      <w:r>
        <w:rPr>
          <w:rFonts w:hint="eastAsia" w:ascii="Times New Roman" w:hAnsi="Times New Roman" w:cs="Times New Roman"/>
          <w:snapToGrid w:val="0"/>
          <w:color w:val="000000" w:themeColor="text1"/>
          <w:sz w:val="24"/>
          <w:szCs w:val="24"/>
          <w:lang w:eastAsia="zh-CN"/>
        </w:rPr>
        <w:t>3.  项目要求：腾龙芳烃（漳州）有限公司、翔鹭石化（漳州）有限公司两个厂区分别签订合同、出具评估报告。</w:t>
      </w:r>
    </w:p>
    <w:p>
      <w:pPr>
        <w:spacing w:line="336" w:lineRule="auto"/>
        <w:ind w:left="296" w:leftChars="-9" w:hanging="316" w:hangingChars="132"/>
        <w:rPr>
          <w:rFonts w:ascii="Times New Roman" w:hAnsi="Times New Roman" w:cs="Times New Roman"/>
          <w:snapToGrid w:val="0"/>
          <w:color w:val="000000" w:themeColor="text1"/>
          <w:sz w:val="24"/>
          <w:szCs w:val="24"/>
          <w:lang w:eastAsia="zh-CN"/>
        </w:rPr>
      </w:pPr>
      <w:r>
        <w:rPr>
          <w:rFonts w:hint="eastAsia" w:ascii="Times New Roman" w:hAnsi="Times New Roman" w:cs="Times New Roman"/>
          <w:snapToGrid w:val="0"/>
          <w:color w:val="000000" w:themeColor="text1"/>
          <w:sz w:val="24"/>
          <w:szCs w:val="24"/>
          <w:lang w:eastAsia="zh-CN"/>
        </w:rPr>
        <w:t>4</w:t>
      </w:r>
      <w:r>
        <w:rPr>
          <w:rFonts w:ascii="Times New Roman" w:hAnsi="Times New Roman" w:cs="Times New Roman"/>
          <w:snapToGrid w:val="0"/>
          <w:color w:val="000000" w:themeColor="text1"/>
          <w:sz w:val="24"/>
          <w:szCs w:val="24"/>
          <w:lang w:eastAsia="zh-CN"/>
        </w:rPr>
        <w:t>.  工期要求：</w:t>
      </w:r>
      <w:r>
        <w:rPr>
          <w:rFonts w:hint="eastAsia" w:ascii="Times New Roman" w:hAnsi="Times New Roman" w:cs="Times New Roman"/>
          <w:snapToGrid w:val="0"/>
          <w:color w:val="000000" w:themeColor="text1"/>
          <w:sz w:val="24"/>
          <w:szCs w:val="24"/>
          <w:lang w:eastAsia="zh-CN"/>
        </w:rPr>
        <w:t>合同签订后两个月内完成腾龙芳烃（漳州）有限公司、翔鹭石化（漳州）有限公司两个厂区的2022年度高危单位消防安全评估并需将评估报告成功上传消防服务平台。</w:t>
      </w:r>
    </w:p>
    <w:p>
      <w:pPr>
        <w:pStyle w:val="18"/>
        <w:spacing w:line="312" w:lineRule="auto"/>
        <w:ind w:right="121"/>
        <w:jc w:val="both"/>
        <w:rPr>
          <w:rFonts w:ascii="Times New Roman" w:hAnsi="Times New Roman" w:cs="Times New Roman"/>
          <w:b/>
          <w:bCs/>
          <w:lang w:eastAsia="zh-CN"/>
        </w:rPr>
      </w:pPr>
      <w:r>
        <w:rPr>
          <w:rFonts w:ascii="Times New Roman" w:hAnsi="Times New Roman" w:cs="Times New Roman"/>
          <w:b/>
          <w:bCs/>
          <w:lang w:eastAsia="zh-CN"/>
        </w:rPr>
        <w:t>二、参选人资格要求：</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1.  参选人必须具备有效的企业法人营业执照，具有在中华人民共和国注册的法人资格。</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2.  参选人需在福建省消防救援总队的“福建省消防技术服务信息平台”中服务水平评级消防安全评估项目为四星级的消防服务机构。</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3.  参选人项目技术负责人：项目技术负责人具有一级注册消防工程师资格，另外需要有（机电、电气、智能化、给排水、暖通等专业任意一项）的专业职称。</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4.  参选人的现场评估人员要求具备一级注册消防工程师，人员不少于四人，并提供相应人员至少6个月的执业单位社保证明。</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5. 参选人须提供近三年的评估业绩，至少包含一个石油化工行业项目的消防评估业绩（需提供业绩合同复印件加盖公章）；无石油化工企业消防评估业绩，未实质性响应招标文件要求，视为无效报价。</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6. 参选人检测设备要求：消防安全评估机构所配备专业的消防设施检查测试仪器、仪表和工具，应符合国家计量要求，并提供仪器仪表和工具的清单和合格证书。</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7. 参选人信誉良好，近三年无项目质量投诉事故或其它不良记录，并提供承诺书并加盖公章。</w:t>
      </w:r>
    </w:p>
    <w:p>
      <w:pPr>
        <w:pStyle w:val="78"/>
        <w:spacing w:line="312" w:lineRule="auto"/>
        <w:ind w:left="278" w:hanging="278" w:hangingChars="116"/>
        <w:rPr>
          <w:rFonts w:ascii="Times New Roman" w:cs="Times New Roman"/>
          <w:color w:val="000000" w:themeColor="text1"/>
        </w:rPr>
      </w:pPr>
      <w:r>
        <w:rPr>
          <w:rFonts w:hint="eastAsia" w:ascii="Times New Roman" w:cs="Times New Roman"/>
          <w:color w:val="auto"/>
        </w:rPr>
        <w:t xml:space="preserve">8.  </w:t>
      </w:r>
      <w:r>
        <w:rPr>
          <w:rFonts w:ascii="Times New Roman" w:cs="Times New Roman"/>
          <w:color w:val="000000" w:themeColor="text1"/>
        </w:rPr>
        <w:t>参选人没有失信黑名单记录（以最高院失信被执行人系统发布信息为准）。</w:t>
      </w:r>
    </w:p>
    <w:p>
      <w:pPr>
        <w:pStyle w:val="59"/>
        <w:spacing w:line="312" w:lineRule="auto"/>
        <w:ind w:left="278" w:hanging="278" w:hangingChars="116"/>
        <w:rPr>
          <w:rFonts w:ascii="Times New Roman" w:hAnsi="Times New Roman"/>
          <w:sz w:val="24"/>
          <w:szCs w:val="24"/>
        </w:rPr>
      </w:pPr>
      <w:r>
        <w:rPr>
          <w:rFonts w:hint="eastAsia" w:ascii="Times New Roman" w:hAnsi="Times New Roman"/>
          <w:sz w:val="24"/>
          <w:szCs w:val="24"/>
        </w:rPr>
        <w:t>9</w:t>
      </w:r>
      <w:r>
        <w:rPr>
          <w:rFonts w:ascii="Times New Roman" w:hAnsi="Times New Roman"/>
          <w:sz w:val="24"/>
          <w:szCs w:val="24"/>
        </w:rPr>
        <w:t>.</w:t>
      </w:r>
      <w:r>
        <w:rPr>
          <w:rFonts w:ascii="Times New Roman" w:hAnsi="Times New Roman"/>
          <w:color w:val="000000" w:themeColor="text1"/>
          <w:sz w:val="24"/>
          <w:szCs w:val="24"/>
        </w:rPr>
        <w:t xml:space="preserve">  与比选人无诉讼纠纷。</w:t>
      </w:r>
    </w:p>
    <w:p>
      <w:pPr>
        <w:spacing w:line="312" w:lineRule="auto"/>
        <w:ind w:left="278" w:hanging="278" w:hangingChars="116"/>
        <w:rPr>
          <w:rFonts w:ascii="Times New Roman" w:hAnsi="Times New Roman" w:cs="Times New Roman"/>
          <w:sz w:val="24"/>
          <w:szCs w:val="24"/>
          <w:lang w:eastAsia="zh-CN"/>
        </w:rPr>
      </w:pPr>
      <w:r>
        <w:rPr>
          <w:rFonts w:hint="eastAsia" w:ascii="Times New Roman" w:hAnsi="Times New Roman" w:cs="Times New Roman"/>
          <w:sz w:val="24"/>
          <w:szCs w:val="24"/>
          <w:lang w:eastAsia="zh-CN"/>
        </w:rPr>
        <w:t>10</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43"/>
        <w:spacing w:before="0" w:beforeAutospacing="0" w:after="0" w:afterAutospacing="0" w:line="336" w:lineRule="auto"/>
        <w:ind w:left="80" w:hanging="80" w:hangingChars="33"/>
        <w:textAlignment w:val="baseline"/>
        <w:rPr>
          <w:rFonts w:ascii="Times New Roman" w:hAnsi="Times New Roman" w:cs="Times New Roman"/>
          <w:b/>
          <w:iCs/>
          <w:color w:val="333333"/>
        </w:rPr>
      </w:pPr>
      <w:r>
        <w:rPr>
          <w:rFonts w:ascii="Times New Roman" w:hAnsi="Times New Roman" w:cs="Times New Roman"/>
          <w:b/>
          <w:iCs/>
          <w:color w:val="333333"/>
        </w:rPr>
        <w:t>三、获取比选文件：</w:t>
      </w:r>
    </w:p>
    <w:p>
      <w:pPr>
        <w:pStyle w:val="43"/>
        <w:spacing w:before="0" w:beforeAutospacing="0" w:after="0" w:afterAutospacing="0" w:line="336" w:lineRule="auto"/>
        <w:ind w:left="330" w:leftChars="150" w:firstLine="480" w:firstLineChars="200"/>
        <w:textAlignment w:val="baseline"/>
        <w:rPr>
          <w:rFonts w:ascii="Times New Roman" w:hAnsi="Times New Roman" w:cs="Times New Roman"/>
          <w:b/>
          <w:iCs/>
          <w:color w:val="333333"/>
        </w:rPr>
      </w:pPr>
      <w:r>
        <w:rPr>
          <w:rFonts w:ascii="Times New Roman" w:hAnsi="Times New Roman" w:cs="Times New Roman"/>
          <w:iCs/>
          <w:color w:val="333333"/>
        </w:rPr>
        <w:t>本项目比选文件详见公示附件，请有意向参选人</w:t>
      </w:r>
      <w:r>
        <w:rPr>
          <w:rFonts w:hint="eastAsia" w:ascii="Times New Roman" w:hAnsi="Times New Roman" w:cs="Times New Roman"/>
          <w:iCs/>
          <w:color w:val="333333"/>
        </w:rPr>
        <w:t>在公示期间进行报名并</w:t>
      </w:r>
      <w:r>
        <w:rPr>
          <w:rFonts w:ascii="Times New Roman" w:hAnsi="Times New Roman" w:cs="Times New Roman"/>
          <w:iCs/>
          <w:color w:val="333333"/>
        </w:rPr>
        <w:t>自行下载参选文件</w:t>
      </w:r>
      <w:r>
        <w:rPr>
          <w:rFonts w:hint="eastAsia" w:ascii="Times New Roman" w:hAnsi="Times New Roman" w:cs="Times New Roman"/>
          <w:iCs/>
          <w:color w:val="333333"/>
        </w:rPr>
        <w:t>，并请在</w:t>
      </w:r>
      <w:r>
        <w:rPr>
          <w:rFonts w:ascii="Times New Roman" w:hAnsi="Times New Roman" w:cs="Times New Roman"/>
          <w:iCs/>
          <w:color w:val="333333"/>
        </w:rPr>
        <w:t>公示期间根据参选文件要求进行交流澄清</w:t>
      </w:r>
      <w:r>
        <w:rPr>
          <w:rFonts w:hint="eastAsia" w:ascii="Times New Roman" w:hAnsi="Times New Roman" w:cs="Times New Roman"/>
          <w:iCs/>
          <w:color w:val="333333"/>
        </w:rPr>
        <w:t>和</w:t>
      </w:r>
      <w:r>
        <w:rPr>
          <w:rFonts w:ascii="Times New Roman" w:hAnsi="Times New Roman" w:cs="Times New Roman"/>
          <w:iCs/>
          <w:color w:val="333333"/>
        </w:rPr>
        <w:t>参选报价</w:t>
      </w:r>
      <w:r>
        <w:rPr>
          <w:rFonts w:hint="eastAsia" w:ascii="Times New Roman" w:hAnsi="Times New Roman" w:cs="Times New Roman"/>
          <w:iCs/>
          <w:color w:val="333333"/>
        </w:rPr>
        <w:t>，而且要求在公示之日起10天内将参选文件纸质原件密封送达比选人指定地点。</w:t>
      </w:r>
      <w:r>
        <w:rPr>
          <w:rFonts w:hint="eastAsia" w:ascii="Times New Roman" w:hAnsi="Times New Roman" w:cs="Times New Roman"/>
          <w:iCs/>
          <w:color w:val="333333"/>
        </w:rPr>
        <w:br w:type="textWrapping"/>
      </w:r>
      <w:r>
        <w:rPr>
          <w:rFonts w:ascii="Times New Roman" w:hAnsi="Times New Roman" w:cs="Times New Roman"/>
          <w:b/>
          <w:iCs/>
          <w:color w:val="333333"/>
        </w:rPr>
        <w:t>四、参选文件递交要求时间、地点：</w:t>
      </w:r>
    </w:p>
    <w:p>
      <w:pPr>
        <w:pStyle w:val="43"/>
        <w:spacing w:before="0" w:beforeAutospacing="0" w:after="0" w:afterAutospacing="0" w:line="336" w:lineRule="auto"/>
        <w:ind w:left="435" w:leftChars="45" w:hanging="336" w:hangingChars="140"/>
        <w:textAlignment w:val="baseline"/>
        <w:rPr>
          <w:rFonts w:ascii="Times New Roman" w:hAnsi="Times New Roman" w:cs="Times New Roman"/>
          <w:iCs/>
          <w:color w:val="333333"/>
        </w:rPr>
      </w:pPr>
      <w:r>
        <w:rPr>
          <w:rFonts w:ascii="Times New Roman" w:hAnsi="Times New Roman" w:cs="Times New Roman"/>
          <w:iCs/>
          <w:color w:val="333333"/>
        </w:rPr>
        <w:t>1.  参选文件递交地点：福建省漳州市漳浦县杜浔镇杜昌路9号福建福海创石油化工有限公司办公楼三楼设备及服务团队，联系人：黄梅钦 </w:t>
      </w:r>
      <w:r>
        <w:rPr>
          <w:rFonts w:hint="eastAsia" w:ascii="Times New Roman" w:hAnsi="Times New Roman" w:cs="Times New Roman"/>
          <w:iCs/>
          <w:color w:val="333333"/>
        </w:rPr>
        <w:t xml:space="preserve">   </w:t>
      </w:r>
      <w:r>
        <w:rPr>
          <w:rFonts w:ascii="Times New Roman" w:hAnsi="Times New Roman" w:cs="Times New Roman"/>
          <w:iCs/>
          <w:color w:val="333333"/>
        </w:rPr>
        <w:t>联系电话：0596-6311073。</w:t>
      </w:r>
    </w:p>
    <w:p>
      <w:pPr>
        <w:pStyle w:val="43"/>
        <w:spacing w:before="0" w:beforeAutospacing="0" w:after="0" w:afterAutospacing="0" w:line="336" w:lineRule="auto"/>
        <w:ind w:left="435" w:leftChars="45" w:hanging="336" w:hangingChars="140"/>
        <w:textAlignment w:val="baseline"/>
        <w:rPr>
          <w:rFonts w:ascii="Times New Roman" w:hAnsi="Times New Roman" w:cs="Times New Roman"/>
          <w:iCs/>
          <w:color w:val="333333"/>
        </w:rPr>
      </w:pPr>
      <w:r>
        <w:rPr>
          <w:rFonts w:ascii="Times New Roman" w:hAnsi="Times New Roman" w:cs="Times New Roman"/>
          <w:iCs/>
          <w:color w:val="333333"/>
        </w:rPr>
        <w:t xml:space="preserve">2.  </w:t>
      </w:r>
      <w:r>
        <w:rPr>
          <w:rFonts w:ascii="Times New Roman" w:hAnsi="Times New Roman" w:cs="Times New Roman"/>
          <w:color w:val="000000" w:themeColor="text1"/>
        </w:rPr>
        <w:t>参选文件递交截止时间（以送达时间为准）：2022年</w:t>
      </w:r>
      <w:r>
        <w:rPr>
          <w:rFonts w:hint="eastAsia" w:ascii="Times New Roman" w:hAnsi="Times New Roman" w:cs="Times New Roman"/>
          <w:color w:val="000000" w:themeColor="text1"/>
          <w:lang w:val="en-US" w:eastAsia="zh-CN"/>
        </w:rPr>
        <w:t>10</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月</w:t>
      </w:r>
      <w:r>
        <w:rPr>
          <w:rFonts w:hint="eastAsia" w:ascii="Times New Roman" w:hAnsi="Times New Roman" w:cs="Times New Roman"/>
          <w:color w:val="000000" w:themeColor="text1"/>
          <w:lang w:val="en-US" w:eastAsia="zh-CN"/>
        </w:rPr>
        <w:t>22</w:t>
      </w:r>
      <w:r>
        <w:rPr>
          <w:rFonts w:ascii="Times New Roman" w:hAnsi="Times New Roman" w:cs="Times New Roman"/>
          <w:color w:val="000000" w:themeColor="text1"/>
        </w:rPr>
        <w:t>日17时30分。</w:t>
      </w:r>
    </w:p>
    <w:p>
      <w:pPr>
        <w:pStyle w:val="59"/>
        <w:spacing w:line="336" w:lineRule="auto"/>
        <w:ind w:left="119" w:leftChars="54"/>
        <w:rPr>
          <w:rFonts w:ascii="Times New Roman" w:hAnsi="Times New Roman"/>
          <w:sz w:val="24"/>
          <w:szCs w:val="24"/>
        </w:rPr>
      </w:pPr>
      <w:r>
        <w:rPr>
          <w:rFonts w:ascii="Times New Roman" w:hAnsi="Times New Roman"/>
          <w:b/>
          <w:bCs/>
          <w:sz w:val="24"/>
          <w:szCs w:val="24"/>
        </w:rPr>
        <w:t>五、</w:t>
      </w:r>
      <w:r>
        <w:rPr>
          <w:rFonts w:ascii="Times New Roman" w:hAnsi="Times New Roman"/>
          <w:b/>
          <w:sz w:val="24"/>
          <w:szCs w:val="24"/>
        </w:rPr>
        <w:t>联系方式：</w:t>
      </w:r>
    </w:p>
    <w:p>
      <w:pPr>
        <w:pStyle w:val="11"/>
        <w:snapToGrid w:val="0"/>
        <w:spacing w:line="336" w:lineRule="auto"/>
        <w:ind w:firstLineChars="175"/>
        <w:rPr>
          <w:b/>
          <w:bCs/>
          <w:color w:val="000000" w:themeColor="text1"/>
          <w:szCs w:val="24"/>
          <w:u w:val="single"/>
        </w:rPr>
      </w:pPr>
      <w:r>
        <w:rPr>
          <w:bCs/>
          <w:color w:val="000000" w:themeColor="text1"/>
          <w:szCs w:val="24"/>
        </w:rPr>
        <w:t>商务联系人：黄梅钦  电话：0596-6311073 邮箱：</w:t>
      </w:r>
      <w:r>
        <w:rPr>
          <w:bCs/>
          <w:color w:val="000000" w:themeColor="text1"/>
          <w:szCs w:val="24"/>
          <w:u w:val="single"/>
        </w:rPr>
        <w:t>huangmq@fjpec.com.cn</w:t>
      </w:r>
    </w:p>
    <w:p>
      <w:pPr>
        <w:pStyle w:val="11"/>
        <w:snapToGrid w:val="0"/>
        <w:spacing w:line="336" w:lineRule="auto"/>
        <w:ind w:firstLineChars="175"/>
        <w:rPr>
          <w:bCs/>
          <w:color w:val="000000" w:themeColor="text1"/>
          <w:szCs w:val="24"/>
        </w:rPr>
      </w:pPr>
      <w:r>
        <w:rPr>
          <w:bCs/>
          <w:color w:val="000000" w:themeColor="text1"/>
          <w:szCs w:val="24"/>
        </w:rPr>
        <w:t>纪检监察室电话：0596-6311774</w:t>
      </w:r>
    </w:p>
    <w:p>
      <w:pPr>
        <w:pStyle w:val="11"/>
        <w:snapToGrid w:val="0"/>
        <w:spacing w:line="336" w:lineRule="auto"/>
        <w:ind w:firstLineChars="175"/>
        <w:rPr>
          <w:b/>
          <w:bCs/>
          <w:color w:val="000000" w:themeColor="text1"/>
          <w:szCs w:val="24"/>
        </w:rPr>
      </w:pPr>
      <w:r>
        <w:rPr>
          <w:bCs/>
          <w:color w:val="000000" w:themeColor="text1"/>
          <w:szCs w:val="24"/>
        </w:rPr>
        <w:t>联系地址：漳州市漳浦县杜浔镇杜昌路9号</w:t>
      </w:r>
      <w:r>
        <w:rPr>
          <w:b/>
          <w:bCs/>
          <w:color w:val="000000" w:themeColor="text1"/>
          <w:szCs w:val="24"/>
        </w:rPr>
        <w:t xml:space="preserve">   </w:t>
      </w:r>
      <w:r>
        <w:rPr>
          <w:bCs/>
          <w:color w:val="000000" w:themeColor="text1"/>
          <w:szCs w:val="24"/>
        </w:rPr>
        <w:t>邮    编：363216</w:t>
      </w:r>
    </w:p>
    <w:p>
      <w:pPr>
        <w:pStyle w:val="5"/>
        <w:tabs>
          <w:tab w:val="left" w:pos="1262"/>
        </w:tabs>
        <w:spacing w:line="336" w:lineRule="auto"/>
        <w:ind w:left="0" w:right="108"/>
        <w:jc w:val="center"/>
        <w:rPr>
          <w:rFonts w:ascii="Times New Roman" w:hAnsi="Times New Roman" w:cs="Times New Roman"/>
          <w:sz w:val="24"/>
          <w:szCs w:val="24"/>
          <w:lang w:eastAsia="zh-CN"/>
        </w:rPr>
        <w:sectPr>
          <w:pgSz w:w="11910" w:h="16840"/>
          <w:pgMar w:top="1060" w:right="1020" w:bottom="740" w:left="1300" w:header="0" w:footer="551" w:gutter="0"/>
          <w:cols w:space="720" w:num="1"/>
        </w:sectPr>
      </w:pPr>
    </w:p>
    <w:p>
      <w:pPr>
        <w:pStyle w:val="5"/>
        <w:tabs>
          <w:tab w:val="left" w:pos="1262"/>
        </w:tabs>
        <w:spacing w:line="336" w:lineRule="auto"/>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Lines="50" w:afterLines="50" w:line="336" w:lineRule="auto"/>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pPr>
        <w:pStyle w:val="78"/>
        <w:numPr>
          <w:ilvl w:val="0"/>
          <w:numId w:val="6"/>
        </w:numPr>
        <w:spacing w:line="520" w:lineRule="exact"/>
        <w:ind w:left="312" w:leftChars="34" w:hanging="237" w:hangingChars="99"/>
        <w:rPr>
          <w:rFonts w:ascii="Times New Roman" w:cs="Times New Roman"/>
        </w:rPr>
      </w:pPr>
      <w:r>
        <w:rPr>
          <w:rFonts w:hint="eastAsia" w:ascii="Times New Roman" w:cs="Times New Roman"/>
        </w:rPr>
        <w:t xml:space="preserve"> </w:t>
      </w:r>
      <w:r>
        <w:rPr>
          <w:rFonts w:ascii="Times New Roman" w:cs="Times New Roman"/>
        </w:rPr>
        <w:t>项目名称：</w:t>
      </w:r>
      <w:r>
        <w:rPr>
          <w:rFonts w:hint="eastAsia" w:ascii="Times New Roman" w:cs="Times New Roman"/>
        </w:rPr>
        <w:t>2</w:t>
      </w:r>
      <w:r>
        <w:rPr>
          <w:rFonts w:ascii="Times New Roman" w:cs="Times New Roman"/>
        </w:rPr>
        <w:t>022年度</w:t>
      </w:r>
      <w:r>
        <w:rPr>
          <w:rFonts w:hint="eastAsia" w:ascii="Times New Roman" w:cs="Times New Roman"/>
        </w:rPr>
        <w:t>火灾高危单位PX厂区及PTA厂区消防安全评估项目</w:t>
      </w:r>
      <w:r>
        <w:rPr>
          <w:rFonts w:ascii="Times New Roman" w:cs="Times New Roman"/>
        </w:rPr>
        <w:t>。</w:t>
      </w:r>
    </w:p>
    <w:p>
      <w:pPr>
        <w:pStyle w:val="78"/>
        <w:numPr>
          <w:ilvl w:val="0"/>
          <w:numId w:val="6"/>
        </w:numPr>
        <w:spacing w:line="520" w:lineRule="exact"/>
        <w:ind w:left="312" w:leftChars="34" w:hanging="237" w:hangingChars="99"/>
        <w:rPr>
          <w:rFonts w:ascii="Times New Roman" w:cs="Times New Roman"/>
        </w:rPr>
      </w:pPr>
      <w:r>
        <w:rPr>
          <w:rFonts w:ascii="Times New Roman" w:cs="Times New Roman"/>
        </w:rPr>
        <w:t>项目地点：</w:t>
      </w:r>
      <w:r>
        <w:rPr>
          <w:rFonts w:hint="eastAsia" w:ascii="Times New Roman" w:cs="Times New Roman"/>
        </w:rPr>
        <w:t>腾龙芳烃（漳州）有限公司、翔鹭石化（漳州）有限公司两个厂区。</w:t>
      </w:r>
    </w:p>
    <w:p>
      <w:pPr>
        <w:pStyle w:val="78"/>
        <w:numPr>
          <w:ilvl w:val="0"/>
          <w:numId w:val="6"/>
        </w:numPr>
        <w:spacing w:line="520" w:lineRule="exact"/>
        <w:ind w:left="312" w:leftChars="34" w:hanging="237" w:hangingChars="99"/>
        <w:rPr>
          <w:rFonts w:ascii="Times New Roman" w:cs="Times New Roman"/>
        </w:rPr>
      </w:pPr>
      <w:r>
        <w:rPr>
          <w:rFonts w:hint="eastAsia" w:ascii="Times New Roman" w:cs="Times New Roman"/>
        </w:rPr>
        <w:t xml:space="preserve">项目内容：本项目严格按照中华人民共和国应急管理部令（第7号）《社会消防技术服务管理规定》相关要求执行，具体发包内容详见发包比选文件。 </w:t>
      </w:r>
    </w:p>
    <w:p>
      <w:pPr>
        <w:pStyle w:val="78"/>
        <w:numPr>
          <w:ilvl w:val="0"/>
          <w:numId w:val="6"/>
        </w:numPr>
        <w:spacing w:line="520" w:lineRule="exact"/>
        <w:ind w:left="312" w:leftChars="34" w:hanging="237" w:hangingChars="99"/>
        <w:rPr>
          <w:rFonts w:ascii="Times New Roman" w:cs="Times New Roman"/>
        </w:rPr>
      </w:pPr>
      <w:r>
        <w:rPr>
          <w:rFonts w:hint="eastAsia" w:ascii="Times New Roman" w:cs="Times New Roman"/>
        </w:rPr>
        <w:t>项目要求： 腾龙芳烃（漳州）有限公司、翔鹭石化（漳州）有限公司两个厂区分别签订合同、出具评估报告。</w:t>
      </w:r>
    </w:p>
    <w:p>
      <w:pPr>
        <w:pStyle w:val="78"/>
        <w:numPr>
          <w:ilvl w:val="0"/>
          <w:numId w:val="6"/>
        </w:numPr>
        <w:spacing w:line="520" w:lineRule="exact"/>
        <w:ind w:left="312" w:leftChars="34" w:hanging="237" w:hangingChars="99"/>
        <w:rPr>
          <w:rFonts w:ascii="Times New Roman" w:cs="Times New Roman"/>
        </w:rPr>
      </w:pPr>
      <w:r>
        <w:rPr>
          <w:rFonts w:hint="eastAsia" w:ascii="Times New Roman" w:cs="Times New Roman"/>
        </w:rPr>
        <w:t>评标办法：综合评分法；总分100分，技术部分满分30分，商务部分满分70分（具体评分内容详见附件1《2022年度火灾高危单位消防安全评估项目发包说明书》。</w:t>
      </w:r>
    </w:p>
    <w:p>
      <w:pPr>
        <w:pStyle w:val="78"/>
        <w:numPr>
          <w:ilvl w:val="0"/>
          <w:numId w:val="6"/>
        </w:numPr>
        <w:spacing w:line="520" w:lineRule="exact"/>
        <w:ind w:left="312" w:leftChars="34" w:hanging="237" w:hangingChars="99"/>
        <w:rPr>
          <w:rFonts w:ascii="Times New Roman" w:cs="Times New Roman"/>
        </w:rPr>
      </w:pPr>
      <w:r>
        <w:rPr>
          <w:rFonts w:hint="eastAsia" w:ascii="Times New Roman" w:cs="Times New Roman"/>
          <w:color w:val="auto"/>
        </w:rPr>
        <w:t>承包方式：固定总价包干，</w:t>
      </w:r>
      <w:r>
        <w:rPr>
          <w:rFonts w:hint="eastAsia" w:ascii="Times New Roman" w:cs="Times New Roman"/>
        </w:rPr>
        <w:t>报价须包括研究费、评审费（含专家费、会务费等）、资料费、印刷费、管理费、调研差旅费及税费等所有费用。</w:t>
      </w:r>
    </w:p>
    <w:p>
      <w:pPr>
        <w:pStyle w:val="78"/>
        <w:numPr>
          <w:ilvl w:val="0"/>
          <w:numId w:val="6"/>
        </w:numPr>
        <w:spacing w:line="520" w:lineRule="exact"/>
        <w:ind w:left="312" w:leftChars="34" w:hanging="237" w:hangingChars="99"/>
        <w:rPr>
          <w:rFonts w:ascii="Times New Roman" w:cs="Times New Roman"/>
        </w:rPr>
      </w:pPr>
      <w:r>
        <w:rPr>
          <w:rFonts w:ascii="Times New Roman" w:cs="Times New Roman"/>
        </w:rPr>
        <w:t xml:space="preserve"> 项目工作范围及技术要求：</w:t>
      </w:r>
      <w:r>
        <w:rPr>
          <w:rFonts w:hint="eastAsia" w:ascii="Times New Roman" w:cs="Times New Roman"/>
        </w:rPr>
        <w:t>详</w:t>
      </w:r>
      <w:r>
        <w:rPr>
          <w:rFonts w:ascii="Times New Roman" w:cs="Times New Roman"/>
        </w:rPr>
        <w:t>见附件《发包说明》。</w:t>
      </w:r>
    </w:p>
    <w:p>
      <w:pPr>
        <w:pStyle w:val="78"/>
        <w:numPr>
          <w:ilvl w:val="0"/>
          <w:numId w:val="6"/>
        </w:numPr>
        <w:spacing w:line="520" w:lineRule="exact"/>
        <w:ind w:left="312" w:leftChars="34" w:hanging="237" w:hangingChars="99"/>
        <w:rPr>
          <w:rFonts w:ascii="Times New Roman" w:cs="Times New Roman"/>
        </w:rPr>
      </w:pPr>
      <w:r>
        <w:rPr>
          <w:rFonts w:ascii="Times New Roman" w:cs="Times New Roman"/>
        </w:rPr>
        <w:t xml:space="preserve"> 项目联系人</w:t>
      </w:r>
      <w:r>
        <w:rPr>
          <w:rFonts w:hint="eastAsia" w:ascii="Times New Roman" w:cs="Times New Roman"/>
        </w:rPr>
        <w:t>：邵云中</w:t>
      </w:r>
      <w:r>
        <w:rPr>
          <w:rFonts w:ascii="Times New Roman" w:cs="Times New Roman"/>
          <w:color w:val="000000" w:themeColor="text1"/>
          <w:shd w:val="clear" w:color="auto" w:fill="FFFFFF"/>
        </w:rPr>
        <w:t xml:space="preserve">   1</w:t>
      </w:r>
      <w:r>
        <w:rPr>
          <w:rFonts w:hint="eastAsia" w:ascii="Times New Roman" w:cs="Times New Roman"/>
          <w:color w:val="000000" w:themeColor="text1"/>
          <w:shd w:val="clear" w:color="auto" w:fill="FFFFFF"/>
        </w:rPr>
        <w:t xml:space="preserve">9959614087（技术）；  </w:t>
      </w:r>
      <w:r>
        <w:rPr>
          <w:rFonts w:ascii="Times New Roman" w:cs="Times New Roman"/>
        </w:rPr>
        <w:t>黄梅钦   0596-6311073</w:t>
      </w:r>
      <w:r>
        <w:rPr>
          <w:rFonts w:hint="eastAsia" w:ascii="Times New Roman" w:cs="Times New Roman"/>
        </w:rPr>
        <w:t>（商务）</w:t>
      </w:r>
    </w:p>
    <w:p>
      <w:pPr>
        <w:spacing w:beforeLines="50" w:afterLines="50"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pPr>
        <w:pStyle w:val="18"/>
        <w:spacing w:beforeLines="50" w:afterLines="50" w:line="336"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1. </w:t>
      </w:r>
      <w:r>
        <w:rPr>
          <w:rFonts w:hint="eastAsia" w:ascii="Times New Roman" w:hAnsi="Times New Roman" w:cs="Times New Roman"/>
          <w:lang w:eastAsia="zh-CN"/>
        </w:rPr>
        <w:t>“</w:t>
      </w:r>
      <w:r>
        <w:rPr>
          <w:rFonts w:ascii="Times New Roman" w:hAnsi="Times New Roman" w:cs="Times New Roman"/>
          <w:lang w:eastAsia="zh-CN"/>
        </w:rPr>
        <w:t>比选人</w:t>
      </w:r>
      <w:r>
        <w:rPr>
          <w:rFonts w:hint="eastAsia" w:ascii="Times New Roman" w:hAnsi="Times New Roman" w:cs="Times New Roman"/>
          <w:lang w:eastAsia="zh-CN"/>
        </w:rPr>
        <w:t>”</w:t>
      </w:r>
      <w:r>
        <w:rPr>
          <w:rFonts w:ascii="Times New Roman" w:hAnsi="Times New Roman" w:cs="Times New Roman"/>
          <w:lang w:eastAsia="zh-CN"/>
        </w:rPr>
        <w:t>系福建福海创石油化工有限公司，即业主方。</w:t>
      </w:r>
    </w:p>
    <w:p>
      <w:pPr>
        <w:pStyle w:val="18"/>
        <w:spacing w:beforeLines="50" w:afterLines="50" w:line="336"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2. </w:t>
      </w:r>
      <w:r>
        <w:rPr>
          <w:rFonts w:hint="eastAsia" w:ascii="Times New Roman" w:hAnsi="Times New Roman" w:cs="Times New Roman"/>
          <w:lang w:eastAsia="zh-CN"/>
        </w:rPr>
        <w:t>“</w:t>
      </w:r>
      <w:r>
        <w:rPr>
          <w:rFonts w:ascii="Times New Roman" w:hAnsi="Times New Roman" w:cs="Times New Roman"/>
          <w:lang w:eastAsia="zh-CN"/>
        </w:rPr>
        <w:t>参选人</w:t>
      </w:r>
      <w:r>
        <w:rPr>
          <w:rFonts w:hint="eastAsia" w:ascii="Times New Roman" w:hAnsi="Times New Roman" w:cs="Times New Roman"/>
          <w:lang w:eastAsia="zh-CN"/>
        </w:rPr>
        <w:t>”</w:t>
      </w:r>
      <w:r>
        <w:rPr>
          <w:rFonts w:ascii="Times New Roman" w:hAnsi="Times New Roman" w:cs="Times New Roman"/>
          <w:lang w:eastAsia="zh-CN"/>
        </w:rPr>
        <w:t>系指向比选人报名并接受邀请，领取比选文件，且已经提交或准备提交本次参选文件的法人。</w:t>
      </w:r>
    </w:p>
    <w:p>
      <w:pPr>
        <w:pStyle w:val="18"/>
        <w:spacing w:beforeLines="50" w:afterLines="50" w:line="336"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3. </w:t>
      </w:r>
      <w:r>
        <w:rPr>
          <w:rFonts w:hint="eastAsia" w:ascii="Times New Roman" w:hAnsi="Times New Roman" w:cs="Times New Roman"/>
          <w:lang w:eastAsia="zh-CN"/>
        </w:rPr>
        <w:t>“</w:t>
      </w:r>
      <w:r>
        <w:rPr>
          <w:rFonts w:ascii="Times New Roman" w:hAnsi="Times New Roman" w:cs="Times New Roman"/>
          <w:lang w:eastAsia="zh-CN"/>
        </w:rPr>
        <w:t>参选人代表</w:t>
      </w:r>
      <w:r>
        <w:rPr>
          <w:rFonts w:hint="eastAsia" w:ascii="Times New Roman" w:hAnsi="Times New Roman" w:cs="Times New Roman"/>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pPr>
        <w:spacing w:beforeLines="50" w:afterLines="50"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18"/>
        <w:spacing w:beforeLines="50" w:afterLines="50" w:line="336"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1. 比选文件</w:t>
      </w:r>
      <w:r>
        <w:rPr>
          <w:rFonts w:hint="eastAsia" w:ascii="Times New Roman" w:hAnsi="Times New Roman" w:cs="Times New Roman"/>
          <w:lang w:eastAsia="zh-CN"/>
        </w:rPr>
        <w:t>含</w:t>
      </w:r>
      <w:r>
        <w:rPr>
          <w:rFonts w:ascii="Times New Roman" w:hAnsi="Times New Roman" w:cs="Times New Roman"/>
          <w:lang w:eastAsia="zh-CN"/>
        </w:rPr>
        <w:t>下列内容：比选公告、比选须知、项目内容、合同书格式、报价单、承诺函等。</w:t>
      </w:r>
    </w:p>
    <w:p>
      <w:pPr>
        <w:pStyle w:val="18"/>
        <w:spacing w:beforeLines="50" w:afterLines="50" w:line="336"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比选文件除 1 中内容外，比选人在比选期间发出的书面文件和其他修改或补充函件，均是比选文件不可分割的组成部分。</w:t>
      </w:r>
    </w:p>
    <w:p>
      <w:pPr>
        <w:pStyle w:val="18"/>
        <w:spacing w:beforeLines="50" w:afterLines="50" w:line="336"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18"/>
        <w:spacing w:beforeLines="50" w:afterLines="50" w:line="336" w:lineRule="auto"/>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 xml:space="preserve">  </w:t>
      </w:r>
      <w:r>
        <w:rPr>
          <w:rFonts w:ascii="Times New Roman" w:hAnsi="Times New Roman" w:cs="Times New Roman"/>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18"/>
        <w:spacing w:beforeLines="50" w:afterLines="50" w:line="336"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 xml:space="preserve">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   </w:t>
      </w:r>
    </w:p>
    <w:p>
      <w:pPr>
        <w:pStyle w:val="18"/>
        <w:spacing w:beforeLines="50" w:afterLines="50" w:line="336"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2.</w:t>
      </w:r>
      <w:r>
        <w:rPr>
          <w:rFonts w:hint="eastAsia" w:ascii="Times New Roman" w:hAnsi="Times New Roman" w:cs="Times New Roman"/>
          <w:lang w:eastAsia="zh-CN"/>
        </w:rPr>
        <w:t xml:space="preserve"> </w:t>
      </w:r>
      <w:r>
        <w:rPr>
          <w:rFonts w:ascii="Times New Roman" w:hAnsi="Times New Roman" w:cs="Times New Roman"/>
          <w:lang w:eastAsia="zh-CN"/>
        </w:rPr>
        <w:t>为使参选人在准备参选文件时有合理的时间考虑比选文件的修改，比选人可酌情推迟参选截止时间和开评时间，并以书面形式通知已获得比选文件的每一参选人。</w:t>
      </w:r>
    </w:p>
    <w:p>
      <w:pPr>
        <w:pStyle w:val="18"/>
        <w:spacing w:beforeLines="50" w:afterLines="50" w:line="336"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3.</w:t>
      </w:r>
      <w:r>
        <w:rPr>
          <w:rFonts w:hint="eastAsia" w:ascii="Times New Roman" w:hAnsi="Times New Roman" w:cs="Times New Roman"/>
          <w:lang w:eastAsia="zh-CN"/>
        </w:rPr>
        <w:t xml:space="preserve"> </w:t>
      </w:r>
      <w:r>
        <w:rPr>
          <w:rFonts w:ascii="Times New Roman" w:hAnsi="Times New Roman" w:cs="Times New Roman"/>
          <w:lang w:eastAsia="zh-CN"/>
        </w:rPr>
        <w:t>比选文件的修改书将构成比选文件的一部分，对参选人具有约束作用。</w:t>
      </w:r>
    </w:p>
    <w:p>
      <w:pPr>
        <w:spacing w:beforeLines="50" w:afterLines="50"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1.  参选人必须具备有效的企业法人营业执照，具有在中华人民共和国注册的法人资格。</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2.  参选人需在福建省消防救援总队的“福建省消防技术服务信息平台”中服务水平评级消防安全评估项目为四星级的消防服务机构。</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3.  参选人项目技术负责人：项目技术负责人具有一级注册消防工程师资格，另外需要有（机电、电气、智能化、给排水、暖通等专业任意一项）的专业职称。</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4.  参选人的现场评估人员要求具备一级注册消防工程师，人员不少于四人，并提供相应人员至少6个月的执业单位社保证明。</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5. 参选人须提供近三年的评估业绩，至少包含一个石油化工行业项目的消防评估业绩（需提供业绩合同复印件加盖公章）；无石油化工企业消防评估业绩，未实质性响应招标文件要求，视为无效报价。</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6. 参选人检测设备要求：消防安全评估机构所配备专业的消防设施检查测试仪器、仪表和工具，应符合国家计量要求，并提供仪器仪表和工具的清单和合格证书。</w:t>
      </w:r>
    </w:p>
    <w:p>
      <w:pPr>
        <w:pStyle w:val="78"/>
        <w:spacing w:line="312" w:lineRule="auto"/>
        <w:ind w:left="278" w:hanging="278" w:hangingChars="116"/>
        <w:rPr>
          <w:rFonts w:ascii="Times New Roman" w:cs="Times New Roman"/>
          <w:snapToGrid w:val="0"/>
          <w:color w:val="000000" w:themeColor="text1"/>
        </w:rPr>
      </w:pPr>
      <w:r>
        <w:rPr>
          <w:rFonts w:hint="eastAsia" w:ascii="Times New Roman" w:cs="Times New Roman"/>
          <w:snapToGrid w:val="0"/>
          <w:color w:val="000000" w:themeColor="text1"/>
        </w:rPr>
        <w:t>7. 参选人信誉良好，近三年无项目质量投诉事故或其它不良记录，并提供承诺书并加盖公章。</w:t>
      </w:r>
    </w:p>
    <w:p>
      <w:pPr>
        <w:pStyle w:val="78"/>
        <w:spacing w:line="312" w:lineRule="auto"/>
        <w:ind w:left="278" w:hanging="278" w:hangingChars="116"/>
        <w:rPr>
          <w:rFonts w:ascii="Times New Roman" w:cs="Times New Roman"/>
          <w:color w:val="000000" w:themeColor="text1"/>
        </w:rPr>
      </w:pPr>
      <w:r>
        <w:rPr>
          <w:rFonts w:hint="eastAsia" w:ascii="Times New Roman" w:cs="Times New Roman"/>
          <w:color w:val="auto"/>
        </w:rPr>
        <w:t xml:space="preserve">8.  </w:t>
      </w:r>
      <w:r>
        <w:rPr>
          <w:rFonts w:ascii="Times New Roman" w:cs="Times New Roman"/>
          <w:color w:val="000000" w:themeColor="text1"/>
        </w:rPr>
        <w:t>参选人没有失信黑名单记录（以最高院失信被执行人系统发布信息为准）。</w:t>
      </w:r>
    </w:p>
    <w:p>
      <w:pPr>
        <w:pStyle w:val="59"/>
        <w:spacing w:line="312" w:lineRule="auto"/>
        <w:ind w:left="278" w:hanging="278" w:hangingChars="116"/>
        <w:rPr>
          <w:rFonts w:ascii="Times New Roman" w:hAnsi="Times New Roman"/>
          <w:sz w:val="24"/>
          <w:szCs w:val="24"/>
        </w:rPr>
      </w:pPr>
      <w:r>
        <w:rPr>
          <w:rFonts w:hint="eastAsia" w:ascii="Times New Roman" w:hAnsi="Times New Roman"/>
          <w:sz w:val="24"/>
          <w:szCs w:val="24"/>
        </w:rPr>
        <w:t>9</w:t>
      </w:r>
      <w:r>
        <w:rPr>
          <w:rFonts w:ascii="Times New Roman" w:hAnsi="Times New Roman"/>
          <w:sz w:val="24"/>
          <w:szCs w:val="24"/>
        </w:rPr>
        <w:t>.</w:t>
      </w:r>
      <w:r>
        <w:rPr>
          <w:rFonts w:ascii="Times New Roman" w:hAnsi="Times New Roman"/>
          <w:color w:val="000000" w:themeColor="text1"/>
          <w:sz w:val="24"/>
          <w:szCs w:val="24"/>
        </w:rPr>
        <w:t xml:space="preserve">  与比选人无诉讼纠纷。</w:t>
      </w:r>
    </w:p>
    <w:p>
      <w:pPr>
        <w:spacing w:line="312" w:lineRule="auto"/>
        <w:ind w:left="278" w:hanging="278" w:hangingChars="116"/>
        <w:rPr>
          <w:rFonts w:ascii="Times New Roman" w:hAnsi="Times New Roman" w:cs="Times New Roman"/>
          <w:sz w:val="24"/>
          <w:szCs w:val="24"/>
          <w:lang w:eastAsia="zh-CN"/>
        </w:rPr>
      </w:pPr>
      <w:r>
        <w:rPr>
          <w:rFonts w:hint="eastAsia" w:ascii="Times New Roman" w:hAnsi="Times New Roman" w:cs="Times New Roman"/>
          <w:sz w:val="24"/>
          <w:szCs w:val="24"/>
          <w:lang w:eastAsia="zh-CN"/>
        </w:rPr>
        <w:t>10</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spacing w:beforeLines="50" w:afterLines="50" w:line="336" w:lineRule="auto"/>
        <w:ind w:left="434" w:leftChars="63" w:hanging="295" w:hangingChars="123"/>
        <w:rPr>
          <w:rFonts w:ascii="Times New Roman" w:hAnsi="Times New Roman" w:cs="Times New Roman"/>
          <w:sz w:val="24"/>
          <w:szCs w:val="24"/>
          <w:lang w:eastAsia="zh-CN"/>
        </w:rPr>
      </w:pPr>
    </w:p>
    <w:p>
      <w:pPr>
        <w:pStyle w:val="5"/>
        <w:spacing w:beforeLines="50" w:line="336" w:lineRule="auto"/>
        <w:ind w:left="0"/>
        <w:rPr>
          <w:rFonts w:ascii="Times New Roman" w:hAnsi="Times New Roman" w:cs="Times New Roman"/>
          <w:lang w:eastAsia="zh-CN"/>
        </w:rPr>
      </w:pPr>
      <w:r>
        <w:rPr>
          <w:rFonts w:ascii="Times New Roman" w:hAnsi="Times New Roman" w:cs="Times New Roman"/>
          <w:w w:val="95"/>
          <w:lang w:eastAsia="zh-CN"/>
        </w:rPr>
        <w:t>七、参选保证金</w:t>
      </w:r>
    </w:p>
    <w:p>
      <w:pPr>
        <w:pStyle w:val="18"/>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 参选单位应缴纳参选保证金，</w:t>
      </w:r>
      <w:r>
        <w:rPr>
          <w:rFonts w:ascii="Times New Roman" w:hAnsi="Times New Roman" w:cs="Times New Roman"/>
          <w:b/>
          <w:bCs/>
          <w:lang w:eastAsia="zh-CN"/>
        </w:rPr>
        <w:t>保证金金额</w:t>
      </w:r>
      <w:r>
        <w:rPr>
          <w:rFonts w:hint="eastAsia" w:ascii="Times New Roman" w:hAnsi="Times New Roman" w:cs="Times New Roman"/>
          <w:b/>
          <w:bCs/>
          <w:lang w:eastAsia="zh-CN"/>
        </w:rPr>
        <w:t>7</w:t>
      </w:r>
      <w:r>
        <w:rPr>
          <w:rFonts w:ascii="Times New Roman" w:hAnsi="Times New Roman" w:cs="Times New Roman"/>
          <w:b/>
          <w:bCs/>
          <w:lang w:eastAsia="zh-CN"/>
        </w:rPr>
        <w:t>,000.00元整</w:t>
      </w:r>
      <w:r>
        <w:rPr>
          <w:rFonts w:ascii="Times New Roman" w:hAnsi="Times New Roman" w:cs="Times New Roman"/>
          <w:lang w:eastAsia="zh-CN"/>
        </w:rPr>
        <w:t>，参选单位应按照要求从参选单位基本账户转入比选单位的账户，比选单位账户信息如下：</w:t>
      </w:r>
    </w:p>
    <w:p>
      <w:pPr>
        <w:pStyle w:val="18"/>
        <w:spacing w:line="336"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18"/>
        <w:spacing w:line="336"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18"/>
        <w:spacing w:line="336"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pPr>
        <w:spacing w:line="336" w:lineRule="auto"/>
        <w:ind w:firstLine="301" w:firstLineChars="125"/>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w:t>
      </w:r>
      <w:r>
        <w:rPr>
          <w:rFonts w:hint="eastAsia" w:ascii="Times New Roman" w:hAnsi="Times New Roman" w:cs="Times New Roman"/>
          <w:sz w:val="24"/>
          <w:szCs w:val="24"/>
          <w:u w:val="single"/>
          <w:lang w:eastAsia="zh-CN"/>
        </w:rPr>
        <w:t>2</w:t>
      </w:r>
      <w:r>
        <w:rPr>
          <w:rFonts w:ascii="Times New Roman" w:hAnsi="Times New Roman" w:cs="Times New Roman"/>
          <w:sz w:val="24"/>
          <w:szCs w:val="24"/>
          <w:u w:val="single"/>
          <w:lang w:eastAsia="zh-CN"/>
        </w:rPr>
        <w:t>022年度</w:t>
      </w:r>
      <w:r>
        <w:rPr>
          <w:rFonts w:hint="eastAsia" w:ascii="Times New Roman" w:hAnsi="Times New Roman" w:cs="Times New Roman"/>
          <w:sz w:val="24"/>
          <w:szCs w:val="24"/>
          <w:u w:val="single"/>
          <w:lang w:eastAsia="zh-CN"/>
        </w:rPr>
        <w:t>高危单位消防安全评估</w:t>
      </w:r>
      <w:r>
        <w:rPr>
          <w:rFonts w:ascii="Times New Roman" w:hAnsi="Times New Roman" w:cs="Times New Roman"/>
          <w:sz w:val="24"/>
          <w:szCs w:val="24"/>
          <w:u w:val="single"/>
          <w:lang w:eastAsia="zh-CN"/>
        </w:rPr>
        <w:t>项目</w:t>
      </w:r>
      <w:r>
        <w:rPr>
          <w:rFonts w:ascii="Times New Roman" w:hAnsi="Times New Roman" w:cs="Times New Roman"/>
          <w:sz w:val="24"/>
          <w:szCs w:val="24"/>
          <w:lang w:eastAsia="zh-CN"/>
        </w:rPr>
        <w:t>参选保证金</w:t>
      </w:r>
    </w:p>
    <w:p>
      <w:pPr>
        <w:pStyle w:val="18"/>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18"/>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8"/>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pPr>
        <w:pStyle w:val="18"/>
        <w:spacing w:line="336"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pPr>
        <w:pStyle w:val="18"/>
        <w:spacing w:line="336"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pPr>
        <w:pStyle w:val="18"/>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5"/>
        <w:spacing w:line="336" w:lineRule="auto"/>
        <w:ind w:left="333" w:leftChars="36" w:hanging="254" w:hangingChars="106"/>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spacing w:beforeLines="50" w:afterLines="50"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spacing w:line="336" w:lineRule="auto"/>
        <w:rPr>
          <w:rFonts w:ascii="Times New Roman" w:hAnsi="Times New Roman" w:cs="Times New Roman"/>
          <w:lang w:eastAsia="zh-CN"/>
        </w:rPr>
      </w:pPr>
      <w:r>
        <w:rPr>
          <w:rFonts w:ascii="Times New Roman" w:hAnsi="Times New Roman" w:cs="Times New Roman"/>
          <w:lang w:eastAsia="zh-CN"/>
        </w:rPr>
        <w:t>1. 参选文件递交的时间：</w:t>
      </w:r>
      <w:r>
        <w:rPr>
          <w:rFonts w:ascii="Times New Roman" w:hAnsi="Times New Roman" w:cs="Times New Roman"/>
          <w:color w:val="auto"/>
          <w:lang w:eastAsia="zh-CN"/>
        </w:rPr>
        <w:t>自2022年</w:t>
      </w:r>
      <w:r>
        <w:rPr>
          <w:rFonts w:hint="eastAsia" w:ascii="Times New Roman" w:hAnsi="Times New Roman" w:cs="Times New Roman"/>
          <w:color w:val="auto"/>
          <w:lang w:val="en-US" w:eastAsia="zh-CN"/>
        </w:rPr>
        <w:t>10</w:t>
      </w:r>
      <w:r>
        <w:rPr>
          <w:rFonts w:ascii="Times New Roman" w:hAnsi="Times New Roman" w:cs="Times New Roman"/>
          <w:color w:val="auto"/>
          <w:lang w:eastAsia="zh-CN"/>
        </w:rPr>
        <w:t>月</w:t>
      </w:r>
      <w:r>
        <w:rPr>
          <w:rFonts w:hint="eastAsia" w:ascii="Times New Roman" w:hAnsi="Times New Roman" w:cs="Times New Roman"/>
          <w:color w:val="auto"/>
          <w:lang w:val="en-US" w:eastAsia="zh-CN"/>
        </w:rPr>
        <w:t>13</w:t>
      </w:r>
      <w:r>
        <w:rPr>
          <w:rFonts w:ascii="Times New Roman" w:hAnsi="Times New Roman" w:cs="Times New Roman"/>
          <w:color w:val="auto"/>
          <w:lang w:eastAsia="zh-CN"/>
        </w:rPr>
        <w:t xml:space="preserve"> 日~2022年</w:t>
      </w:r>
      <w:r>
        <w:rPr>
          <w:rFonts w:hint="eastAsia" w:ascii="Times New Roman" w:hAnsi="Times New Roman" w:cs="Times New Roman"/>
          <w:color w:val="auto"/>
          <w:lang w:val="en-US" w:eastAsia="zh-CN"/>
        </w:rPr>
        <w:t>10</w:t>
      </w:r>
      <w:r>
        <w:rPr>
          <w:rFonts w:ascii="Times New Roman" w:hAnsi="Times New Roman" w:cs="Times New Roman"/>
          <w:color w:val="auto"/>
          <w:lang w:eastAsia="zh-CN"/>
        </w:rPr>
        <w:t xml:space="preserve">月 </w:t>
      </w:r>
      <w:r>
        <w:rPr>
          <w:rFonts w:hint="eastAsia" w:ascii="Times New Roman" w:hAnsi="Times New Roman" w:cs="Times New Roman"/>
          <w:color w:val="auto"/>
          <w:lang w:val="en-US" w:eastAsia="zh-CN"/>
        </w:rPr>
        <w:t>22</w:t>
      </w:r>
      <w:r>
        <w:rPr>
          <w:rFonts w:ascii="Times New Roman" w:hAnsi="Times New Roman" w:cs="Times New Roman"/>
          <w:color w:val="auto"/>
          <w:lang w:eastAsia="zh-CN"/>
        </w:rPr>
        <w:t xml:space="preserve"> 日止</w:t>
      </w:r>
      <w:r>
        <w:rPr>
          <w:rFonts w:ascii="Times New Roman" w:hAnsi="Times New Roman" w:cs="Times New Roman"/>
          <w:color w:val="000000" w:themeColor="text1"/>
          <w:lang w:eastAsia="zh-CN"/>
        </w:rPr>
        <w:t>（共</w:t>
      </w:r>
      <w:r>
        <w:rPr>
          <w:rFonts w:hint="eastAsia" w:ascii="Times New Roman" w:hAnsi="Times New Roman" w:cs="Times New Roman"/>
          <w:color w:val="000000" w:themeColor="text1"/>
          <w:lang w:eastAsia="zh-CN"/>
        </w:rPr>
        <w:t>10</w:t>
      </w:r>
      <w:r>
        <w:rPr>
          <w:rFonts w:ascii="Times New Roman" w:hAnsi="Times New Roman" w:cs="Times New Roman"/>
          <w:color w:val="000000" w:themeColor="text1"/>
          <w:lang w:eastAsia="zh-CN"/>
        </w:rPr>
        <w:t>天）。</w:t>
      </w:r>
    </w:p>
    <w:p>
      <w:pPr>
        <w:pStyle w:val="2"/>
        <w:tabs>
          <w:tab w:val="left" w:pos="6879"/>
        </w:tabs>
        <w:spacing w:beforeLines="50" w:afterLines="50" w:line="336" w:lineRule="auto"/>
        <w:ind w:left="241" w:right="106" w:hanging="241" w:hangingChars="100"/>
        <w:rPr>
          <w:spacing w:val="-4"/>
        </w:rPr>
      </w:pPr>
      <w:r>
        <w:t xml:space="preserve">2. </w:t>
      </w:r>
      <w:r>
        <w:rPr>
          <w:spacing w:val="4"/>
        </w:rPr>
        <w:t>递交</w:t>
      </w:r>
      <w:r>
        <w:t>参</w:t>
      </w:r>
      <w:r>
        <w:rPr>
          <w:spacing w:val="4"/>
        </w:rPr>
        <w:t>选文件的地</w:t>
      </w:r>
      <w:r>
        <w:t>点</w:t>
      </w:r>
      <w:r>
        <w:rPr>
          <w:spacing w:val="4"/>
        </w:rPr>
        <w:t>为：福建福海创石油化工有限公司办公楼（漳州市漳浦县杜浔镇杜昌</w:t>
      </w:r>
      <w:bookmarkStart w:id="1" w:name="_GoBack"/>
      <w:bookmarkEnd w:id="1"/>
      <w:r>
        <w:rPr>
          <w:spacing w:val="4"/>
        </w:rPr>
        <w:t>路9号）</w:t>
      </w:r>
      <w:r>
        <w:rPr>
          <w:spacing w:val="-57"/>
        </w:rPr>
        <w:t>，</w:t>
      </w:r>
      <w:r>
        <w:t>联系人</w:t>
      </w:r>
      <w:r>
        <w:rPr>
          <w:spacing w:val="-56"/>
        </w:rPr>
        <w:t>：</w:t>
      </w:r>
      <w:r>
        <w:t>黄梅钦   联系电话</w:t>
      </w:r>
      <w:r>
        <w:rPr>
          <w:spacing w:val="-4"/>
        </w:rPr>
        <w:t>：0596-6311073 。</w:t>
      </w:r>
    </w:p>
    <w:p>
      <w:pPr>
        <w:pStyle w:val="2"/>
        <w:tabs>
          <w:tab w:val="left" w:pos="6879"/>
        </w:tabs>
        <w:spacing w:beforeLines="50" w:afterLines="50" w:line="336" w:lineRule="auto"/>
        <w:ind w:left="0" w:right="106"/>
      </w:pPr>
      <w:r>
        <w:t xml:space="preserve">    注：请使用顺丰快递或中国邮政 EMS 快递，其他快递不能保证送达目的地。</w:t>
      </w:r>
    </w:p>
    <w:p>
      <w:pPr>
        <w:pStyle w:val="18"/>
        <w:numPr>
          <w:ilvl w:val="0"/>
          <w:numId w:val="7"/>
        </w:numPr>
        <w:spacing w:beforeLines="50" w:afterLines="50" w:line="336" w:lineRule="auto"/>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pPr>
        <w:pStyle w:val="18"/>
        <w:numPr>
          <w:ilvl w:val="0"/>
          <w:numId w:val="7"/>
        </w:numPr>
        <w:spacing w:beforeLines="50" w:afterLines="50" w:line="336"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 受理。参选人所提交的比选文件在评选结束后，无论中选与否都不退还。</w:t>
      </w:r>
    </w:p>
    <w:p>
      <w:pPr>
        <w:pStyle w:val="18"/>
        <w:numPr>
          <w:ilvl w:val="0"/>
          <w:numId w:val="7"/>
        </w:numPr>
        <w:spacing w:beforeLines="50" w:afterLines="50" w:line="336"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18"/>
        <w:numPr>
          <w:ilvl w:val="0"/>
          <w:numId w:val="7"/>
        </w:numPr>
        <w:spacing w:beforeLines="50" w:afterLines="50" w:line="336"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rFonts w:ascii="Times New Roman" w:hAnsi="Times New Roman" w:cs="Times New Roman"/>
          <w:lang w:eastAsia="zh-CN"/>
        </w:rPr>
        <w:sectPr>
          <w:pgSz w:w="11910" w:h="16840"/>
          <w:pgMar w:top="1420" w:right="710" w:bottom="740" w:left="1080" w:header="0" w:footer="551" w:gutter="0"/>
          <w:cols w:space="720" w:num="1"/>
        </w:sectPr>
      </w:pPr>
    </w:p>
    <w:p>
      <w:pPr>
        <w:pStyle w:val="5"/>
        <w:tabs>
          <w:tab w:val="left" w:pos="4627"/>
        </w:tabs>
        <w:spacing w:line="360" w:lineRule="auto"/>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18"/>
        <w:spacing w:line="360" w:lineRule="auto"/>
        <w:ind w:right="121" w:firstLine="360" w:firstLineChars="150"/>
        <w:jc w:val="both"/>
        <w:rPr>
          <w:rFonts w:ascii="Times New Roman" w:hAnsi="Times New Roman" w:cs="Times New Roman"/>
          <w:lang w:eastAsia="zh-CN"/>
        </w:rPr>
      </w:pPr>
      <w:r>
        <w:rPr>
          <w:rFonts w:ascii="Times New Roman" w:hAnsi="Times New Roman" w:cs="Times New Roman"/>
          <w:lang w:eastAsia="zh-CN"/>
        </w:rPr>
        <w:t>1.技术参选文件主要包含以下：</w:t>
      </w:r>
    </w:p>
    <w:tbl>
      <w:tblPr>
        <w:tblStyle w:val="57"/>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8839" w:type="dxa"/>
            <w:gridSpan w:val="2"/>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pPr>
        <w:pStyle w:val="18"/>
        <w:spacing w:before="26" w:line="360" w:lineRule="auto"/>
        <w:ind w:firstLine="480" w:firstLineChars="20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pPr>
        <w:pStyle w:val="18"/>
        <w:numPr>
          <w:ilvl w:val="0"/>
          <w:numId w:val="8"/>
        </w:numPr>
        <w:spacing w:line="360" w:lineRule="auto"/>
        <w:ind w:right="121" w:firstLine="480" w:firstLineChars="20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pPr>
        <w:pStyle w:val="18"/>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18"/>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18"/>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 参选人应承担所有与准备和参加比选有关的费用。不论比选的结果如何，比选机构和比选人均无义务和责任承担这些费用。</w:t>
      </w:r>
    </w:p>
    <w:p>
      <w:pPr>
        <w:pStyle w:val="18"/>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 参选收到比选文件后，如有疑问需要澄清，请以书面形式在规定时间内报比选人汇总。</w:t>
      </w:r>
    </w:p>
    <w:p>
      <w:pPr>
        <w:pStyle w:val="18"/>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 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312" w:leftChars="30" w:hanging="246" w:hangingChars="112"/>
        <w:jc w:val="both"/>
        <w:rPr>
          <w:rFonts w:ascii="Times New Roman" w:hAnsi="Times New Roman" w:cs="Times New Roman"/>
          <w:lang w:eastAsia="zh-CN"/>
        </w:rPr>
        <w:sectPr>
          <w:pgSz w:w="11910" w:h="16840"/>
          <w:pgMar w:top="1500" w:right="1020" w:bottom="740" w:left="1300" w:header="0" w:footer="551" w:gutter="0"/>
          <w:cols w:space="720" w:num="1"/>
        </w:sectPr>
      </w:pPr>
    </w:p>
    <w:p>
      <w:pPr>
        <w:pStyle w:val="5"/>
        <w:tabs>
          <w:tab w:val="left" w:pos="1488"/>
        </w:tabs>
        <w:spacing w:beforeLines="50" w:afterLines="50" w:line="360" w:lineRule="auto"/>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18"/>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1. 比选人在评选时，将优先对技术参选文件进行评选，技术参选文件符合业主要求方可进行下一轮商务报价评选。</w:t>
      </w:r>
    </w:p>
    <w:p>
      <w:pPr>
        <w:pStyle w:val="18"/>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 参选人串选、相互勾结故意压低标价以排挤竞争对手的公平竞争的，其参选无效。</w:t>
      </w:r>
    </w:p>
    <w:p>
      <w:pPr>
        <w:pStyle w:val="18"/>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18"/>
        <w:spacing w:beforeLines="50" w:afterLines="50"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hint="eastAsia" w:ascii="Times New Roman" w:hAnsi="Times New Roman" w:cs="Times New Roman"/>
          <w:lang w:eastAsia="zh-CN"/>
        </w:rPr>
        <w:t>“</w:t>
      </w:r>
      <w:r>
        <w:rPr>
          <w:rFonts w:ascii="Times New Roman" w:hAnsi="Times New Roman" w:cs="Times New Roman"/>
          <w:lang w:eastAsia="zh-CN"/>
        </w:rPr>
        <w:t>参选人资格</w:t>
      </w:r>
      <w:r>
        <w:rPr>
          <w:rFonts w:hint="eastAsia"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spacing w:line="336" w:lineRule="auto"/>
        <w:ind w:left="296" w:leftChars="-9" w:hanging="316" w:hangingChars="132"/>
        <w:rPr>
          <w:rFonts w:ascii="Times New Roman" w:hAnsi="Times New Roman"/>
          <w:sz w:val="24"/>
          <w:szCs w:val="24"/>
          <w:lang w:eastAsia="zh-CN"/>
        </w:rPr>
      </w:pPr>
      <w:r>
        <w:rPr>
          <w:rFonts w:ascii="Times New Roman" w:hAnsi="Times New Roman"/>
          <w:sz w:val="24"/>
          <w:szCs w:val="24"/>
          <w:lang w:eastAsia="zh-CN"/>
        </w:rPr>
        <w:t>1. 本项目设置最高控制价</w:t>
      </w:r>
      <w:r>
        <w:rPr>
          <w:rFonts w:hint="eastAsia" w:ascii="Times New Roman" w:hAnsi="Times New Roman"/>
          <w:sz w:val="24"/>
          <w:szCs w:val="24"/>
          <w:lang w:eastAsia="zh-CN"/>
        </w:rPr>
        <w:t>人民币35万</w:t>
      </w:r>
      <w:r>
        <w:rPr>
          <w:rFonts w:ascii="Times New Roman" w:hAnsi="Times New Roman"/>
          <w:sz w:val="24"/>
          <w:szCs w:val="24"/>
          <w:lang w:eastAsia="zh-CN"/>
        </w:rPr>
        <w:t>元（含税）</w:t>
      </w:r>
      <w:r>
        <w:rPr>
          <w:rFonts w:hint="eastAsia"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PX厂</w:t>
      </w:r>
      <w:r>
        <w:rPr>
          <w:rFonts w:hint="eastAsia" w:ascii="Times New Roman" w:hAnsi="Times New Roman" w:cs="Times New Roman"/>
          <w:snapToGrid w:val="0"/>
          <w:color w:val="000000" w:themeColor="text1"/>
          <w:sz w:val="24"/>
          <w:szCs w:val="24"/>
          <w:lang w:eastAsia="zh-CN"/>
        </w:rPr>
        <w:t>区25万</w:t>
      </w:r>
      <w:r>
        <w:rPr>
          <w:rFonts w:ascii="Times New Roman" w:hAnsi="Times New Roman" w:cs="Times New Roman"/>
          <w:snapToGrid w:val="0"/>
          <w:color w:val="000000" w:themeColor="text1"/>
          <w:sz w:val="24"/>
          <w:szCs w:val="24"/>
          <w:lang w:eastAsia="zh-CN"/>
        </w:rPr>
        <w:t>元；PTA</w:t>
      </w:r>
      <w:r>
        <w:rPr>
          <w:rFonts w:hint="eastAsia" w:ascii="Times New Roman" w:hAnsi="Times New Roman" w:cs="Times New Roman"/>
          <w:snapToGrid w:val="0"/>
          <w:color w:val="000000" w:themeColor="text1"/>
          <w:sz w:val="24"/>
          <w:szCs w:val="24"/>
          <w:lang w:eastAsia="zh-CN"/>
        </w:rPr>
        <w:t>厂区10万</w:t>
      </w:r>
      <w:r>
        <w:rPr>
          <w:rFonts w:ascii="Times New Roman" w:hAnsi="Times New Roman" w:cs="Times New Roman"/>
          <w:snapToGrid w:val="0"/>
          <w:color w:val="000000" w:themeColor="text1"/>
          <w:sz w:val="24"/>
          <w:szCs w:val="24"/>
          <w:lang w:eastAsia="zh-CN"/>
        </w:rPr>
        <w:t>元）</w:t>
      </w:r>
      <w:r>
        <w:rPr>
          <w:rFonts w:ascii="Times New Roman" w:hAnsi="Times New Roman"/>
          <w:sz w:val="24"/>
          <w:szCs w:val="24"/>
          <w:lang w:eastAsia="zh-CN"/>
        </w:rPr>
        <w:t>。</w:t>
      </w:r>
    </w:p>
    <w:p>
      <w:pPr>
        <w:spacing w:line="460" w:lineRule="exact"/>
        <w:ind w:left="240" w:hanging="240" w:hangingChars="100"/>
        <w:rPr>
          <w:rFonts w:ascii="Times New Roman" w:hAnsi="Times New Roman"/>
          <w:sz w:val="24"/>
          <w:szCs w:val="24"/>
          <w:lang w:eastAsia="zh-CN"/>
        </w:rPr>
      </w:pPr>
      <w:r>
        <w:rPr>
          <w:rFonts w:hint="eastAsia" w:ascii="Times New Roman" w:hAnsi="Times New Roman"/>
          <w:sz w:val="24"/>
          <w:szCs w:val="24"/>
          <w:lang w:eastAsia="zh-CN"/>
        </w:rPr>
        <w:t>2. 本项目采</w:t>
      </w:r>
      <w:r>
        <w:rPr>
          <w:rFonts w:hint="eastAsia" w:ascii="Times New Roman"/>
          <w:sz w:val="24"/>
          <w:szCs w:val="24"/>
          <w:lang w:eastAsia="zh-CN"/>
        </w:rPr>
        <w:t>用</w:t>
      </w:r>
      <w:r>
        <w:rPr>
          <w:rFonts w:hint="eastAsia" w:ascii="Times New Roman" w:hAnsi="Times New Roman"/>
          <w:sz w:val="24"/>
          <w:szCs w:val="24"/>
          <w:lang w:eastAsia="zh-CN"/>
        </w:rPr>
        <w:t>综合评</w:t>
      </w:r>
      <w:r>
        <w:rPr>
          <w:rFonts w:hint="eastAsia" w:ascii="Times New Roman"/>
          <w:sz w:val="24"/>
          <w:szCs w:val="24"/>
          <w:lang w:eastAsia="zh-CN"/>
        </w:rPr>
        <w:t>估</w:t>
      </w:r>
      <w:r>
        <w:rPr>
          <w:rFonts w:hint="eastAsia" w:ascii="Times New Roman" w:hAnsi="Times New Roman"/>
          <w:sz w:val="24"/>
          <w:szCs w:val="24"/>
          <w:lang w:eastAsia="zh-CN"/>
        </w:rPr>
        <w:t>法，</w:t>
      </w:r>
      <w:r>
        <w:rPr>
          <w:rFonts w:hint="eastAsia" w:ascii="Times New Roman"/>
          <w:sz w:val="24"/>
          <w:szCs w:val="24"/>
          <w:lang w:eastAsia="zh-CN"/>
        </w:rPr>
        <w:t>评选委员会通过</w:t>
      </w:r>
      <w:r>
        <w:rPr>
          <w:rFonts w:hint="eastAsia"/>
          <w:spacing w:val="-2"/>
          <w:sz w:val="24"/>
          <w:szCs w:val="24"/>
          <w:lang w:eastAsia="zh-CN"/>
        </w:rPr>
        <w:t>评分标准（技术部分、商务部分）进行评分；最后，评选委员会将按照合格参选人的评标总得分（即技术部分、商务部分得分的总和）从高到低的顺序依次推荐1名中标候选人。若存在评标总得分并列的入选投标人，则其中投标价格低的投标人优先，若投标价格又相同，则由评委会采用记名投票的方法表决入选投标人的排列顺序。</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18"/>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1. 对比选文件提出的实质性要求和条件，参选文件未能在实质上响应的。</w:t>
      </w:r>
    </w:p>
    <w:p>
      <w:pPr>
        <w:pStyle w:val="18"/>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2. 参选文件存在重大偏差的。</w:t>
      </w:r>
    </w:p>
    <w:p>
      <w:pPr>
        <w:pStyle w:val="18"/>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3. 违反规定影响开选评选工作或采取其他方式对比选人施加影响的。</w:t>
      </w:r>
    </w:p>
    <w:p>
      <w:pPr>
        <w:pStyle w:val="18"/>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4. 参选人串标、相互勾结故意压低标价以排挤竞争对手的公平竞争的，其参选无效。</w:t>
      </w:r>
    </w:p>
    <w:p>
      <w:pPr>
        <w:spacing w:beforeLines="50" w:afterLines="50" w:line="360" w:lineRule="auto"/>
        <w:rPr>
          <w:rFonts w:ascii="Times New Roman" w:hAnsi="Times New Roman" w:cs="Times New Roman"/>
          <w:b/>
          <w:w w:val="95"/>
          <w:sz w:val="28"/>
          <w:lang w:eastAsia="zh-CN"/>
        </w:rPr>
      </w:pP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18"/>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 比选人将在参选文件截止日期后另行择日组织比选会，参选人选定工作在比选人有关部门监督下，由比选人依法组建的评选委员会负责。</w:t>
      </w:r>
    </w:p>
    <w:p>
      <w:pPr>
        <w:pStyle w:val="18"/>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 在开选时没有启封和读出的参选文件，在评选时将不予考虑。</w:t>
      </w:r>
    </w:p>
    <w:p>
      <w:pPr>
        <w:pStyle w:val="18"/>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 比选人将做开选记录。</w:t>
      </w:r>
    </w:p>
    <w:p>
      <w:pPr>
        <w:pStyle w:val="18"/>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 业主将根据评选结果与中选人签订合同。</w:t>
      </w:r>
    </w:p>
    <w:p>
      <w:pPr>
        <w:pStyle w:val="18"/>
        <w:spacing w:before="23" w:line="360" w:lineRule="auto"/>
        <w:rPr>
          <w:rFonts w:ascii="Times New Roman" w:hAnsi="Times New Roman" w:cs="Times New Roman"/>
          <w:lang w:eastAsia="zh-CN"/>
        </w:rPr>
        <w:sectPr>
          <w:pgSz w:w="11910" w:h="16840"/>
          <w:pgMar w:top="1500" w:right="1140" w:bottom="740" w:left="1300" w:header="0" w:footer="551" w:gutter="0"/>
          <w:cols w:space="720" w:num="1"/>
        </w:sectPr>
      </w:pPr>
    </w:p>
    <w:p>
      <w:pPr>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18"/>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1. 比选人将把合同授予中选人；在授予前，仍需进行资格审查。</w:t>
      </w:r>
    </w:p>
    <w:p>
      <w:pPr>
        <w:pStyle w:val="18"/>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2. 中选人确定后，比选将通知中选人，并将中选结果公示在比选人集团官网。</w:t>
      </w:r>
    </w:p>
    <w:p>
      <w:pPr>
        <w:pStyle w:val="18"/>
        <w:spacing w:line="360" w:lineRule="auto"/>
        <w:ind w:left="240" w:right="121" w:hanging="240" w:hangingChars="100"/>
        <w:jc w:val="both"/>
        <w:rPr>
          <w:rFonts w:ascii="Times New Roman" w:hAnsi="Times New Roman" w:cs="Times New Roman"/>
          <w:lang w:eastAsia="zh-CN"/>
        </w:rPr>
      </w:pPr>
      <w:r>
        <w:rPr>
          <w:rFonts w:ascii="Times New Roman" w:hAnsi="Times New Roman" w:cs="Times New Roman"/>
          <w:lang w:eastAsia="zh-CN"/>
        </w:rPr>
        <w:t>3. 中选通知对比选人和参选人具有法律效力。</w:t>
      </w:r>
      <w:r>
        <w:rPr>
          <w:rFonts w:ascii="Times New Roman" w:hAnsi="Times New Roman" w:cs="Times New Roman"/>
          <w:u w:val="single"/>
          <w:lang w:eastAsia="zh-CN"/>
        </w:rPr>
        <w:t>福建福海创石油化工有限公司指定其权属子公司</w:t>
      </w:r>
      <w:r>
        <w:rPr>
          <w:rFonts w:hint="eastAsia" w:ascii="Times New Roman" w:hAnsi="Times New Roman" w:cs="Times New Roman"/>
          <w:u w:val="single"/>
          <w:lang w:eastAsia="zh-CN"/>
        </w:rPr>
        <w:t>:腾龙芳烃（漳州）有限公司、翔鹭石化（漳州）有限公司</w:t>
      </w:r>
      <w:r>
        <w:rPr>
          <w:rFonts w:ascii="Times New Roman" w:hAnsi="Times New Roman" w:cs="Times New Roman"/>
          <w:u w:val="single"/>
          <w:lang w:eastAsia="zh-CN"/>
        </w:rPr>
        <w:t>作为合同执行主体</w:t>
      </w:r>
      <w:r>
        <w:rPr>
          <w:rFonts w:hint="eastAsia" w:ascii="Times New Roman" w:hAnsi="Times New Roman" w:cs="Times New Roman"/>
          <w:u w:val="single"/>
          <w:lang w:eastAsia="zh-CN"/>
        </w:rPr>
        <w:t>，分别签订合同</w:t>
      </w:r>
      <w:r>
        <w:rPr>
          <w:rFonts w:hint="eastAsia" w:ascii="Times New Roman" w:hAnsi="Times New Roman" w:cs="Times New Roman"/>
          <w:snapToGrid w:val="0"/>
          <w:u w:val="single"/>
          <w:lang w:eastAsia="zh-CN"/>
        </w:rPr>
        <w:t>。</w:t>
      </w:r>
      <w:r>
        <w:rPr>
          <w:rStyle w:val="47"/>
          <w:rFonts w:ascii="Times New Roman" w:hAnsi="Times New Roman" w:cs="Times New Roman"/>
          <w:b w:val="0"/>
          <w:bCs w:val="0"/>
          <w:lang w:eastAsia="zh-CN"/>
        </w:rPr>
        <w:t>将于中选结果公示流程结束之日起30日内与中选人完成合同签订事宜。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pPr>
        <w:pStyle w:val="18"/>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8"/>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5. 比选文件与合同附件作为签订合同的条款，比选文件合同条款中没有规定的内容， 比选人、参选人认为有必要进行补充，可另行商定解决。</w:t>
      </w:r>
    </w:p>
    <w:p>
      <w:pPr>
        <w:pStyle w:val="18"/>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6. 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ascii="Times New Roman" w:hAnsi="Times New Roman" w:cs="Times New Roman"/>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18"/>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 中选单位要服从比选人的管理规定，不得影响比选人的生产运行，如有违反，取消中选单位的继续履行合同的资格，同时，由此给比选人造成的损失，比选人有权追究中选单位的全部责任。</w:t>
      </w:r>
    </w:p>
    <w:p>
      <w:pPr>
        <w:pStyle w:val="18"/>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 中选单位必须严格执行技术咨询服务合同（详见附件一）的规定。</w:t>
      </w:r>
    </w:p>
    <w:p>
      <w:pPr>
        <w:pStyle w:val="18"/>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 中选单位需遵守比选人的各项管理规章制度。如违反相关条例者则按福建福海创石油化工有限公司相应条款进行处罚。</w:t>
      </w:r>
    </w:p>
    <w:p>
      <w:pPr>
        <w:pStyle w:val="18"/>
        <w:spacing w:before="26" w:line="360" w:lineRule="auto"/>
        <w:ind w:left="118" w:right="106" w:firstLine="480"/>
        <w:jc w:val="both"/>
        <w:rPr>
          <w:rFonts w:ascii="Times New Roman" w:hAnsi="Times New Roman" w:cs="Times New Roman"/>
          <w:lang w:eastAsia="zh-CN"/>
        </w:r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18"/>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 参选人的参选文件无论其是否中选，均不退回。</w:t>
      </w:r>
    </w:p>
    <w:p>
      <w:pPr>
        <w:pStyle w:val="18"/>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 比选人郑重承诺：参选人所提交的参选文件及相关资料不向第三方泄露。</w:t>
      </w:r>
    </w:p>
    <w:p>
      <w:pPr>
        <w:pStyle w:val="18"/>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 本比选文件的解释权归福建福海创石油化工有限公司。</w:t>
      </w:r>
    </w:p>
    <w:p>
      <w:pPr>
        <w:pStyle w:val="18"/>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18"/>
        <w:spacing w:line="360" w:lineRule="auto"/>
        <w:rPr>
          <w:rFonts w:ascii="Times New Roman" w:hAnsi="Times New Roman" w:cs="Times New Roman"/>
          <w:b/>
          <w:bCs/>
          <w:lang w:eastAsia="zh-CN"/>
        </w:rPr>
      </w:pPr>
      <w:r>
        <w:rPr>
          <w:rFonts w:ascii="Times New Roman" w:hAnsi="Times New Roman" w:cs="Times New Roman"/>
          <w:b/>
          <w:bCs/>
          <w:lang w:eastAsia="zh-CN"/>
        </w:rPr>
        <w:t>附件一、</w:t>
      </w:r>
    </w:p>
    <w:p>
      <w:pPr>
        <w:pStyle w:val="59"/>
        <w:spacing w:line="360" w:lineRule="auto"/>
      </w:pPr>
      <w:bookmarkStart w:id="0" w:name="_Toc251742852"/>
    </w:p>
    <w:p>
      <w:pPr>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福建福海创石油化工有限公司</w:t>
      </w:r>
    </w:p>
    <w:p>
      <w:pPr>
        <w:pStyle w:val="59"/>
      </w:pPr>
    </w:p>
    <w:p>
      <w:pPr>
        <w:jc w:val="center"/>
        <w:rPr>
          <w:rFonts w:ascii="Times New Roman" w:hAnsi="Times New Roman" w:cs="Times New Roman"/>
          <w:b/>
          <w:bCs/>
          <w:sz w:val="32"/>
          <w:szCs w:val="32"/>
          <w:lang w:eastAsia="zh-CN"/>
        </w:rPr>
      </w:pPr>
      <w:r>
        <w:rPr>
          <w:rFonts w:hint="eastAsia" w:ascii="Times New Roman" w:hAnsi="Times New Roman" w:cs="Times New Roman"/>
          <w:b/>
          <w:bCs/>
          <w:sz w:val="32"/>
          <w:szCs w:val="32"/>
          <w:lang w:eastAsia="zh-CN"/>
        </w:rPr>
        <w:t>2</w:t>
      </w:r>
      <w:r>
        <w:rPr>
          <w:rFonts w:ascii="Times New Roman" w:hAnsi="Times New Roman" w:cs="Times New Roman"/>
          <w:b/>
          <w:bCs/>
          <w:sz w:val="32"/>
          <w:szCs w:val="32"/>
          <w:lang w:eastAsia="zh-CN"/>
        </w:rPr>
        <w:t>022年度</w:t>
      </w:r>
      <w:r>
        <w:rPr>
          <w:rFonts w:hint="eastAsia" w:ascii="Times New Roman" w:hAnsi="Times New Roman" w:cs="Times New Roman"/>
          <w:b/>
          <w:bCs/>
          <w:sz w:val="32"/>
          <w:szCs w:val="32"/>
          <w:lang w:eastAsia="zh-CN"/>
        </w:rPr>
        <w:t>火灾高危单位PX厂区及PTA厂区消防安全评估项目</w:t>
      </w:r>
    </w:p>
    <w:p>
      <w:pPr>
        <w:jc w:val="center"/>
        <w:rPr>
          <w:rFonts w:ascii="Times New Roman" w:hAnsi="Times New Roman" w:cs="Times New Roman"/>
          <w:b/>
          <w:bCs/>
          <w:sz w:val="32"/>
          <w:szCs w:val="32"/>
          <w:lang w:eastAsia="zh-CN"/>
        </w:rPr>
      </w:pPr>
      <w:r>
        <w:rPr>
          <w:rFonts w:hint="eastAsia" w:ascii="Times New Roman" w:hAnsi="Times New Roman" w:cs="Times New Roman"/>
          <w:b/>
          <w:bCs/>
          <w:sz w:val="32"/>
          <w:szCs w:val="32"/>
          <w:lang w:eastAsia="zh-CN"/>
        </w:rPr>
        <w:t>技术</w:t>
      </w:r>
      <w:r>
        <w:rPr>
          <w:rFonts w:ascii="Times New Roman" w:hAnsi="Times New Roman" w:cs="Times New Roman"/>
          <w:b/>
          <w:bCs/>
          <w:sz w:val="32"/>
          <w:szCs w:val="32"/>
          <w:lang w:eastAsia="zh-CN"/>
        </w:rPr>
        <w:t>服务合同</w:t>
      </w:r>
    </w:p>
    <w:p>
      <w:pPr>
        <w:pStyle w:val="28"/>
        <w:spacing w:line="360" w:lineRule="auto"/>
        <w:jc w:val="center"/>
        <w:rPr>
          <w:rFonts w:ascii="Times New Roman" w:hAnsi="Times New Roman" w:cs="Times New Roman"/>
          <w:sz w:val="30"/>
          <w:szCs w:val="30"/>
          <w:lang w:eastAsia="zh-CN"/>
        </w:rPr>
      </w:pPr>
    </w:p>
    <w:p>
      <w:pPr>
        <w:pStyle w:val="28"/>
        <w:spacing w:line="360" w:lineRule="auto"/>
        <w:jc w:val="center"/>
        <w:rPr>
          <w:rFonts w:ascii="Times New Roman" w:hAnsi="Times New Roman" w:cs="Times New Roman"/>
          <w:sz w:val="30"/>
          <w:szCs w:val="30"/>
          <w:lang w:eastAsia="zh-CN"/>
        </w:rPr>
      </w:pPr>
      <w:r>
        <w:rPr>
          <w:rFonts w:hint="eastAsia" w:ascii="Times New Roman" w:hAnsi="Times New Roman" w:cs="Times New Roman"/>
          <w:sz w:val="30"/>
          <w:szCs w:val="30"/>
          <w:lang w:eastAsia="zh-CN"/>
        </w:rPr>
        <w:t>（合同编号：                             ）</w:t>
      </w:r>
    </w:p>
    <w:p>
      <w:pPr>
        <w:pStyle w:val="28"/>
        <w:spacing w:line="360" w:lineRule="auto"/>
        <w:jc w:val="center"/>
        <w:rPr>
          <w:rFonts w:ascii="Times New Roman" w:hAnsi="Times New Roman" w:cs="Times New Roman"/>
          <w:b/>
          <w:sz w:val="36"/>
          <w:szCs w:val="36"/>
          <w:lang w:eastAsia="zh-CN"/>
        </w:rPr>
      </w:pPr>
    </w:p>
    <w:p>
      <w:pPr>
        <w:pStyle w:val="28"/>
        <w:spacing w:line="360" w:lineRule="auto"/>
        <w:jc w:val="center"/>
        <w:rPr>
          <w:rFonts w:ascii="Times New Roman" w:hAnsi="Times New Roman" w:cs="Times New Roman"/>
          <w:b/>
          <w:sz w:val="36"/>
          <w:szCs w:val="36"/>
          <w:lang w:eastAsia="zh-CN"/>
        </w:rPr>
      </w:pPr>
    </w:p>
    <w:p>
      <w:pPr>
        <w:pStyle w:val="28"/>
        <w:spacing w:line="360" w:lineRule="auto"/>
        <w:jc w:val="center"/>
        <w:rPr>
          <w:rFonts w:ascii="Times New Roman" w:hAnsi="Times New Roman" w:cs="Times New Roman"/>
          <w:b/>
          <w:sz w:val="36"/>
          <w:szCs w:val="36"/>
          <w:lang w:eastAsia="zh-CN"/>
        </w:rPr>
      </w:pPr>
    </w:p>
    <w:p>
      <w:pPr>
        <w:pStyle w:val="28"/>
        <w:spacing w:line="360" w:lineRule="auto"/>
        <w:jc w:val="center"/>
        <w:rPr>
          <w:rFonts w:ascii="Times New Roman" w:hAnsi="Times New Roman" w:cs="Times New Roman"/>
          <w:b/>
          <w:sz w:val="36"/>
          <w:szCs w:val="36"/>
          <w:lang w:eastAsia="zh-CN"/>
        </w:rPr>
      </w:pPr>
    </w:p>
    <w:p>
      <w:pPr>
        <w:pStyle w:val="28"/>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pPr>
        <w:pStyle w:val="28"/>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pPr>
        <w:widowControl/>
        <w:ind w:firstLine="904" w:firstLineChars="300"/>
        <w:rPr>
          <w:rFonts w:ascii="Times New Roman" w:hAnsi="Times New Roman" w:cs="Times New Roman"/>
          <w:b/>
          <w:bCs/>
          <w:sz w:val="30"/>
          <w:szCs w:val="30"/>
          <w:lang w:eastAsia="zh-CN"/>
        </w:rPr>
      </w:pPr>
      <w:r>
        <w:rPr>
          <w:rFonts w:ascii="Times New Roman" w:hAnsi="Times New Roman" w:cs="Times New Roman"/>
          <w:b/>
          <w:bCs/>
          <w:sz w:val="30"/>
          <w:szCs w:val="30"/>
          <w:lang w:eastAsia="zh-CN"/>
        </w:rPr>
        <w:t>甲方：腾龙芳烃（漳州）有限公司</w:t>
      </w:r>
    </w:p>
    <w:p>
      <w:pPr>
        <w:pStyle w:val="59"/>
        <w:ind w:firstLine="1807" w:firstLineChars="600"/>
        <w:rPr>
          <w:rFonts w:ascii="Times New Roman" w:hAnsi="Times New Roman"/>
          <w:b/>
          <w:bCs/>
          <w:sz w:val="30"/>
          <w:szCs w:val="30"/>
        </w:rPr>
      </w:pPr>
      <w:r>
        <w:rPr>
          <w:rFonts w:ascii="Times New Roman" w:hAnsi="Times New Roman"/>
          <w:b/>
          <w:bCs/>
          <w:sz w:val="30"/>
          <w:szCs w:val="30"/>
        </w:rPr>
        <w:t>翔鹭石化（漳州）有限公司</w:t>
      </w:r>
    </w:p>
    <w:p>
      <w:pPr>
        <w:widowControl/>
        <w:rPr>
          <w:rFonts w:ascii="Times New Roman" w:hAnsi="Times New Roman" w:cs="Times New Roman"/>
          <w:b/>
          <w:bCs/>
          <w:sz w:val="30"/>
          <w:szCs w:val="30"/>
          <w:lang w:eastAsia="zh-CN"/>
        </w:rPr>
      </w:pPr>
    </w:p>
    <w:p>
      <w:pPr>
        <w:pStyle w:val="59"/>
      </w:pPr>
    </w:p>
    <w:p>
      <w:pPr>
        <w:widowControl/>
        <w:ind w:firstLine="904" w:firstLineChars="300"/>
        <w:rPr>
          <w:rFonts w:ascii="Times New Roman" w:hAnsi="Times New Roman" w:cs="Times New Roman"/>
          <w:b/>
          <w:bCs/>
          <w:sz w:val="30"/>
          <w:szCs w:val="30"/>
          <w:lang w:eastAsia="zh-CN"/>
        </w:rPr>
      </w:pPr>
      <w:r>
        <w:rPr>
          <w:rFonts w:ascii="Times New Roman" w:hAnsi="Times New Roman" w:cs="Times New Roman"/>
          <w:b/>
          <w:bCs/>
          <w:sz w:val="30"/>
          <w:szCs w:val="30"/>
          <w:lang w:eastAsia="zh-CN"/>
        </w:rPr>
        <w:t>乙方：</w:t>
      </w:r>
    </w:p>
    <w:p>
      <w:pPr>
        <w:pStyle w:val="59"/>
        <w:rPr>
          <w:rFonts w:ascii="Times New Roman" w:hAnsi="Times New Roman"/>
          <w:b/>
          <w:bCs/>
          <w:sz w:val="30"/>
          <w:szCs w:val="30"/>
        </w:rPr>
      </w:pPr>
    </w:p>
    <w:p>
      <w:pPr>
        <w:pStyle w:val="59"/>
        <w:rPr>
          <w:rFonts w:ascii="Times New Roman" w:hAnsi="Times New Roman"/>
          <w:sz w:val="30"/>
          <w:szCs w:val="30"/>
        </w:rPr>
      </w:pPr>
    </w:p>
    <w:p>
      <w:pPr>
        <w:tabs>
          <w:tab w:val="right" w:pos="9638"/>
        </w:tabs>
        <w:jc w:val="center"/>
        <w:rPr>
          <w:rFonts w:ascii="Times New Roman" w:hAnsi="Times New Roman" w:cs="Times New Roman"/>
          <w:sz w:val="30"/>
          <w:szCs w:val="30"/>
          <w:lang w:eastAsia="zh-CN"/>
        </w:rPr>
      </w:pPr>
      <w:r>
        <w:rPr>
          <w:rFonts w:hint="eastAsia" w:ascii="Times New Roman" w:hAnsi="Times New Roman" w:cs="Times New Roman"/>
          <w:sz w:val="30"/>
          <w:szCs w:val="30"/>
          <w:lang w:eastAsia="zh-CN"/>
        </w:rPr>
        <w:t xml:space="preserve">                            </w:t>
      </w:r>
      <w:r>
        <w:rPr>
          <w:rFonts w:ascii="Times New Roman" w:hAnsi="Times New Roman" w:cs="Times New Roman"/>
          <w:sz w:val="30"/>
          <w:szCs w:val="30"/>
          <w:lang w:eastAsia="zh-CN"/>
        </w:rPr>
        <w:t>签订日期: 2022年</w:t>
      </w:r>
      <w:r>
        <w:rPr>
          <w:rFonts w:hint="eastAsia" w:ascii="Times New Roman" w:hAnsi="Times New Roman" w:cs="Times New Roman"/>
          <w:sz w:val="30"/>
          <w:szCs w:val="30"/>
          <w:lang w:eastAsia="zh-CN"/>
        </w:rPr>
        <w:t xml:space="preserve">    </w:t>
      </w:r>
      <w:r>
        <w:rPr>
          <w:rFonts w:ascii="Times New Roman" w:hAnsi="Times New Roman" w:cs="Times New Roman"/>
          <w:sz w:val="30"/>
          <w:szCs w:val="30"/>
          <w:lang w:eastAsia="zh-CN"/>
        </w:rPr>
        <w:t>月</w:t>
      </w:r>
      <w:r>
        <w:rPr>
          <w:rFonts w:hint="eastAsia" w:ascii="Times New Roman" w:hAnsi="Times New Roman" w:cs="Times New Roman"/>
          <w:sz w:val="30"/>
          <w:szCs w:val="30"/>
          <w:lang w:eastAsia="zh-CN"/>
        </w:rPr>
        <w:t xml:space="preserve">     </w:t>
      </w:r>
      <w:r>
        <w:rPr>
          <w:rFonts w:ascii="Times New Roman" w:hAnsi="Times New Roman" w:cs="Times New Roman"/>
          <w:sz w:val="30"/>
          <w:szCs w:val="30"/>
          <w:lang w:eastAsia="zh-CN"/>
        </w:rPr>
        <w:t>日</w:t>
      </w:r>
    </w:p>
    <w:p>
      <w:pPr>
        <w:pStyle w:val="59"/>
        <w:jc w:val="center"/>
        <w:rPr>
          <w:rFonts w:ascii="Times New Roman" w:hAnsi="Times New Roman"/>
          <w:sz w:val="30"/>
          <w:szCs w:val="30"/>
        </w:rPr>
      </w:pPr>
      <w:r>
        <w:rPr>
          <w:rFonts w:hint="eastAsia" w:ascii="Times New Roman" w:hAnsi="Times New Roman"/>
          <w:sz w:val="30"/>
          <w:szCs w:val="30"/>
        </w:rPr>
        <w:t xml:space="preserve">                                </w:t>
      </w:r>
      <w:r>
        <w:rPr>
          <w:rFonts w:ascii="Times New Roman" w:hAnsi="Times New Roman"/>
          <w:sz w:val="30"/>
          <w:szCs w:val="30"/>
        </w:rPr>
        <w:t>签订地点：福建</w:t>
      </w:r>
      <w:r>
        <w:rPr>
          <w:rFonts w:hint="eastAsia" w:ascii="Times New Roman" w:hAnsi="Times New Roman"/>
          <w:sz w:val="30"/>
          <w:szCs w:val="30"/>
        </w:rPr>
        <w:t>漳州古雷</w:t>
      </w:r>
    </w:p>
    <w:p>
      <w:pPr>
        <w:spacing w:line="360" w:lineRule="auto"/>
        <w:ind w:firstLine="439" w:firstLineChars="183"/>
        <w:rPr>
          <w:rFonts w:ascii="Times New Roman" w:hAnsi="Times New Roman" w:cs="Times New Roman"/>
          <w:sz w:val="24"/>
          <w:lang w:eastAsia="zh-CN"/>
        </w:rPr>
      </w:pPr>
    </w:p>
    <w:p>
      <w:pPr>
        <w:spacing w:line="360" w:lineRule="auto"/>
        <w:ind w:firstLine="439" w:firstLineChars="183"/>
        <w:rPr>
          <w:rFonts w:ascii="Times New Roman" w:hAnsi="Times New Roman" w:cs="Times New Roman"/>
          <w:sz w:val="24"/>
          <w:u w:val="single"/>
          <w:lang w:eastAsia="zh-CN"/>
        </w:rPr>
      </w:pPr>
      <w:r>
        <w:rPr>
          <w:rFonts w:ascii="Times New Roman" w:hAnsi="Times New Roman" w:cs="Times New Roman"/>
          <w:sz w:val="24"/>
          <w:lang w:eastAsia="zh-CN"/>
        </w:rPr>
        <w:t>本合同由甲方委托乙方就</w:t>
      </w:r>
      <w:r>
        <w:rPr>
          <w:rFonts w:hint="eastAsia" w:ascii="Times New Roman" w:hAnsi="Times New Roman" w:cs="Times New Roman"/>
          <w:sz w:val="24"/>
          <w:lang w:eastAsia="zh-CN"/>
        </w:rPr>
        <w:t>2</w:t>
      </w:r>
      <w:r>
        <w:rPr>
          <w:rFonts w:ascii="Times New Roman" w:hAnsi="Times New Roman" w:cs="Times New Roman"/>
          <w:sz w:val="24"/>
          <w:lang w:eastAsia="zh-CN"/>
        </w:rPr>
        <w:t>022年度</w:t>
      </w:r>
      <w:r>
        <w:rPr>
          <w:rFonts w:hint="eastAsia" w:ascii="Times New Roman" w:hAnsi="Times New Roman" w:cs="Times New Roman"/>
          <w:sz w:val="24"/>
          <w:lang w:eastAsia="zh-CN"/>
        </w:rPr>
        <w:t>火灾高危单位PX厂区及PTA厂区消防安全评估项目进行</w:t>
      </w:r>
      <w:r>
        <w:rPr>
          <w:rFonts w:ascii="Times New Roman" w:hAnsi="Times New Roman" w:cs="Times New Roman"/>
          <w:sz w:val="24"/>
          <w:lang w:eastAsia="zh-CN"/>
        </w:rPr>
        <w:t>技术服务及咨询，并支付技术服务及咨询报酬。双方经过平等协商，在真实、充分地表达各自意愿的基础上，根据《中华人民共和国民法典》的规定，达成如下协议，并由双方共同恪守。</w:t>
      </w:r>
    </w:p>
    <w:p>
      <w:pPr>
        <w:pStyle w:val="28"/>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第一条</w:t>
      </w:r>
      <w:r>
        <w:rPr>
          <w:rFonts w:ascii="Times New Roman" w:hAnsi="Times New Roman" w:cs="Times New Roman"/>
          <w:sz w:val="24"/>
          <w:szCs w:val="24"/>
          <w:lang w:eastAsia="zh-CN"/>
        </w:rPr>
        <w:t>　乙方进行技术咨询的内容、要求、方式：</w:t>
      </w:r>
    </w:p>
    <w:p>
      <w:pPr>
        <w:spacing w:line="360" w:lineRule="auto"/>
        <w:ind w:left="340" w:hanging="340" w:hangingChars="141"/>
        <w:rPr>
          <w:sz w:val="24"/>
          <w:szCs w:val="24"/>
          <w:lang w:eastAsia="zh-CN"/>
        </w:rPr>
      </w:pPr>
      <w:r>
        <w:rPr>
          <w:rFonts w:hint="eastAsia"/>
          <w:b/>
          <w:bCs/>
          <w:sz w:val="24"/>
          <w:szCs w:val="24"/>
          <w:lang w:eastAsia="zh-CN"/>
        </w:rPr>
        <w:t>1. 技术服务及咨询内容：</w:t>
      </w:r>
      <w:r>
        <w:rPr>
          <w:rFonts w:hint="eastAsia"/>
          <w:sz w:val="24"/>
          <w:szCs w:val="24"/>
          <w:lang w:eastAsia="zh-CN"/>
        </w:rPr>
        <w:t xml:space="preserve">本合同严格按照中华人民共和国应急管理部令（第7号）《社会消防技术服务管理规定》相关要求执行，对甲方的2022年度高危单位消防安全评估并提交评估报告。    </w:t>
      </w:r>
    </w:p>
    <w:p>
      <w:pPr>
        <w:pStyle w:val="78"/>
        <w:spacing w:line="520" w:lineRule="exact"/>
        <w:rPr>
          <w:rFonts w:hAnsi="宋体"/>
          <w:b/>
          <w:bCs/>
        </w:rPr>
      </w:pPr>
      <w:r>
        <w:rPr>
          <w:rFonts w:hint="eastAsia" w:hAnsi="宋体"/>
          <w:b/>
          <w:bCs/>
        </w:rPr>
        <w:t>2. 消防安全评估工作内容包括：</w:t>
      </w:r>
    </w:p>
    <w:p>
      <w:pPr>
        <w:pStyle w:val="78"/>
        <w:spacing w:line="520" w:lineRule="exact"/>
        <w:rPr>
          <w:rFonts w:hAnsi="宋体"/>
        </w:rPr>
      </w:pPr>
      <w:r>
        <w:rPr>
          <w:rFonts w:hint="eastAsia" w:hAnsi="宋体"/>
        </w:rPr>
        <w:t>2.1 审核、验收、竣工验收消防备案文件</w:t>
      </w:r>
    </w:p>
    <w:p>
      <w:pPr>
        <w:pStyle w:val="78"/>
        <w:spacing w:line="520" w:lineRule="exact"/>
        <w:rPr>
          <w:rFonts w:hAnsi="宋体"/>
        </w:rPr>
      </w:pPr>
      <w:r>
        <w:rPr>
          <w:rFonts w:hint="eastAsia" w:hAnsi="宋体"/>
        </w:rPr>
        <w:t>2.2 公安机关消防机构消防监督检查发现问题的整改情况</w:t>
      </w:r>
    </w:p>
    <w:p>
      <w:pPr>
        <w:pStyle w:val="78"/>
        <w:spacing w:line="520" w:lineRule="exact"/>
        <w:rPr>
          <w:rFonts w:hAnsi="宋体"/>
        </w:rPr>
      </w:pPr>
      <w:r>
        <w:rPr>
          <w:rFonts w:hint="eastAsia" w:hAnsi="宋体"/>
        </w:rPr>
        <w:t>2.3 单位总平面布置情况（总平面布置、厂内道路）；</w:t>
      </w:r>
    </w:p>
    <w:p>
      <w:pPr>
        <w:pStyle w:val="78"/>
        <w:spacing w:line="520" w:lineRule="exact"/>
        <w:rPr>
          <w:rFonts w:hAnsi="宋体"/>
        </w:rPr>
      </w:pPr>
      <w:r>
        <w:rPr>
          <w:rFonts w:hint="eastAsia" w:hAnsi="宋体"/>
        </w:rPr>
        <w:t>2.4 工艺流程情况；</w:t>
      </w:r>
    </w:p>
    <w:p>
      <w:pPr>
        <w:pStyle w:val="78"/>
        <w:spacing w:line="520" w:lineRule="exact"/>
        <w:rPr>
          <w:rFonts w:hAnsi="宋体"/>
        </w:rPr>
      </w:pPr>
      <w:r>
        <w:rPr>
          <w:rFonts w:hint="eastAsia" w:hAnsi="宋体"/>
        </w:rPr>
        <w:t>2.5 储罐及生产装置情况（储罐存储物质及储量、装置的火灾危险性）</w:t>
      </w:r>
    </w:p>
    <w:p>
      <w:pPr>
        <w:pStyle w:val="78"/>
        <w:spacing w:line="520" w:lineRule="exact"/>
        <w:ind w:left="398" w:hanging="398" w:hangingChars="166"/>
        <w:rPr>
          <w:rFonts w:hAnsi="宋体"/>
        </w:rPr>
      </w:pPr>
      <w:r>
        <w:rPr>
          <w:rFonts w:hint="eastAsia" w:hAnsi="宋体"/>
        </w:rPr>
        <w:t>2.6 消防设施情况（消防站、消防水源及泵房、消防用水量、消防给水及消火栓系统、自动灭火系统）；</w:t>
      </w:r>
    </w:p>
    <w:p>
      <w:pPr>
        <w:pStyle w:val="78"/>
        <w:spacing w:line="520" w:lineRule="exact"/>
        <w:rPr>
          <w:rFonts w:hAnsi="宋体"/>
        </w:rPr>
      </w:pPr>
      <w:r>
        <w:rPr>
          <w:rFonts w:hint="eastAsia" w:hAnsi="宋体"/>
        </w:rPr>
        <w:t>2.7 电气设施情况（消防电源、防雷及防静电）；</w:t>
      </w:r>
    </w:p>
    <w:p>
      <w:pPr>
        <w:pStyle w:val="78"/>
        <w:spacing w:line="520" w:lineRule="exact"/>
        <w:rPr>
          <w:rFonts w:hAnsi="宋体"/>
        </w:rPr>
      </w:pPr>
      <w:r>
        <w:rPr>
          <w:rFonts w:hint="eastAsia" w:hAnsi="宋体"/>
        </w:rPr>
        <w:t>2.8 消防设施检测报告；</w:t>
      </w:r>
    </w:p>
    <w:p>
      <w:pPr>
        <w:pStyle w:val="78"/>
        <w:spacing w:line="520" w:lineRule="exact"/>
        <w:rPr>
          <w:rFonts w:hAnsi="宋体"/>
        </w:rPr>
      </w:pPr>
      <w:r>
        <w:rPr>
          <w:rFonts w:hint="eastAsia" w:hAnsi="宋体"/>
        </w:rPr>
        <w:t>2.9 员工消防安全教育培训制度及记录；</w:t>
      </w:r>
    </w:p>
    <w:p>
      <w:pPr>
        <w:pStyle w:val="78"/>
        <w:spacing w:line="520" w:lineRule="exact"/>
        <w:rPr>
          <w:rFonts w:hAnsi="宋体"/>
        </w:rPr>
      </w:pPr>
      <w:r>
        <w:rPr>
          <w:rFonts w:hint="eastAsia" w:hAnsi="宋体"/>
        </w:rPr>
        <w:t>2.10 防火巡查、检查制度及记录；</w:t>
      </w:r>
    </w:p>
    <w:p>
      <w:pPr>
        <w:pStyle w:val="78"/>
        <w:spacing w:line="520" w:lineRule="exact"/>
        <w:rPr>
          <w:rFonts w:hAnsi="宋体"/>
        </w:rPr>
      </w:pPr>
      <w:r>
        <w:rPr>
          <w:rFonts w:hint="eastAsia" w:hAnsi="宋体"/>
        </w:rPr>
        <w:t>2.11 消防设施、器材维护管理制度及记录；</w:t>
      </w:r>
    </w:p>
    <w:p>
      <w:pPr>
        <w:pStyle w:val="78"/>
        <w:spacing w:line="520" w:lineRule="exact"/>
        <w:rPr>
          <w:rFonts w:hAnsi="宋体"/>
        </w:rPr>
      </w:pPr>
      <w:r>
        <w:rPr>
          <w:rFonts w:hint="eastAsia" w:hAnsi="宋体"/>
        </w:rPr>
        <w:t>2.12 灭火和应急疏散预案演练制度及记录；</w:t>
      </w:r>
    </w:p>
    <w:p>
      <w:pPr>
        <w:pStyle w:val="78"/>
        <w:spacing w:line="520" w:lineRule="exact"/>
        <w:rPr>
          <w:rFonts w:hAnsi="宋体"/>
        </w:rPr>
      </w:pPr>
      <w:r>
        <w:rPr>
          <w:rFonts w:hint="eastAsia" w:hAnsi="宋体"/>
        </w:rPr>
        <w:t>2.13 火灾隐患整改制度及记录；</w:t>
      </w:r>
    </w:p>
    <w:p>
      <w:pPr>
        <w:pStyle w:val="78"/>
        <w:spacing w:line="520" w:lineRule="exact"/>
        <w:rPr>
          <w:rFonts w:hAnsi="宋体"/>
        </w:rPr>
      </w:pPr>
      <w:r>
        <w:rPr>
          <w:rFonts w:hint="eastAsia" w:hAnsi="宋体"/>
        </w:rPr>
        <w:t>2.14 安全疏散设施管理制度；</w:t>
      </w:r>
    </w:p>
    <w:p>
      <w:pPr>
        <w:pStyle w:val="78"/>
        <w:spacing w:line="520" w:lineRule="exact"/>
        <w:rPr>
          <w:rFonts w:hAnsi="宋体"/>
        </w:rPr>
      </w:pPr>
      <w:r>
        <w:rPr>
          <w:rFonts w:hint="eastAsia" w:hAnsi="宋体"/>
        </w:rPr>
        <w:t>2.15 消防(控制室)值班制度；</w:t>
      </w:r>
    </w:p>
    <w:p>
      <w:pPr>
        <w:pStyle w:val="78"/>
        <w:spacing w:line="520" w:lineRule="exact"/>
        <w:rPr>
          <w:rFonts w:hAnsi="宋体"/>
        </w:rPr>
      </w:pPr>
      <w:r>
        <w:rPr>
          <w:rFonts w:hint="eastAsia" w:hAnsi="宋体"/>
        </w:rPr>
        <w:t>2.16 用火、用电安全管理制度；</w:t>
      </w:r>
    </w:p>
    <w:p>
      <w:pPr>
        <w:pStyle w:val="78"/>
        <w:spacing w:line="520" w:lineRule="exact"/>
        <w:rPr>
          <w:rFonts w:hAnsi="宋体"/>
        </w:rPr>
      </w:pPr>
      <w:r>
        <w:rPr>
          <w:rFonts w:hint="eastAsia" w:hAnsi="宋体"/>
        </w:rPr>
        <w:t>2.17 易燃易爆危险物品和场所防火防爆制度；</w:t>
      </w:r>
    </w:p>
    <w:p>
      <w:pPr>
        <w:pStyle w:val="78"/>
        <w:spacing w:line="520" w:lineRule="exact"/>
        <w:rPr>
          <w:rFonts w:hAnsi="宋体"/>
        </w:rPr>
      </w:pPr>
      <w:r>
        <w:rPr>
          <w:rFonts w:hint="eastAsia" w:hAnsi="宋体"/>
        </w:rPr>
        <w:t>2.18 消防安全管理组织机构和各级消防安全责任人制度；</w:t>
      </w:r>
    </w:p>
    <w:p>
      <w:pPr>
        <w:pStyle w:val="78"/>
        <w:spacing w:line="520" w:lineRule="exact"/>
        <w:rPr>
          <w:rFonts w:hAnsi="宋体"/>
        </w:rPr>
      </w:pPr>
      <w:r>
        <w:rPr>
          <w:rFonts w:hint="eastAsia" w:hAnsi="宋体"/>
        </w:rPr>
        <w:t>2.19 消防控制室值班及自动消防系统操作人员职业资格证书；</w:t>
      </w:r>
    </w:p>
    <w:p>
      <w:pPr>
        <w:pStyle w:val="78"/>
        <w:spacing w:line="520" w:lineRule="exact"/>
        <w:rPr>
          <w:rFonts w:hAnsi="宋体"/>
        </w:rPr>
      </w:pPr>
      <w:r>
        <w:rPr>
          <w:rFonts w:hint="eastAsia" w:hAnsi="宋体"/>
        </w:rPr>
        <w:t>2.20 依法建立专（兼）职消防队情况；</w:t>
      </w:r>
    </w:p>
    <w:p>
      <w:pPr>
        <w:pStyle w:val="78"/>
        <w:spacing w:line="520" w:lineRule="exact"/>
        <w:rPr>
          <w:rFonts w:hAnsi="宋体"/>
        </w:rPr>
      </w:pPr>
      <w:r>
        <w:rPr>
          <w:rFonts w:hint="eastAsia" w:hAnsi="宋体"/>
        </w:rPr>
        <w:t>2.21 以往火灾记录情况。</w:t>
      </w:r>
    </w:p>
    <w:p>
      <w:pPr>
        <w:spacing w:line="360" w:lineRule="auto"/>
        <w:ind w:left="340" w:hanging="340" w:hangingChars="141"/>
        <w:rPr>
          <w:b/>
          <w:bCs/>
          <w:sz w:val="24"/>
          <w:szCs w:val="24"/>
          <w:lang w:eastAsia="zh-CN"/>
        </w:rPr>
      </w:pPr>
      <w:r>
        <w:rPr>
          <w:rFonts w:hint="eastAsia"/>
          <w:b/>
          <w:bCs/>
          <w:sz w:val="24"/>
          <w:szCs w:val="24"/>
          <w:lang w:eastAsia="zh-CN"/>
        </w:rPr>
        <w:t>3.技术服务及咨询要求：</w:t>
      </w:r>
    </w:p>
    <w:p>
      <w:pPr>
        <w:pStyle w:val="78"/>
        <w:spacing w:line="520" w:lineRule="exact"/>
        <w:ind w:left="491" w:leftChars="15" w:hanging="458" w:hangingChars="191"/>
        <w:rPr>
          <w:rFonts w:hAnsi="宋体"/>
        </w:rPr>
      </w:pPr>
      <w:r>
        <w:rPr>
          <w:rFonts w:hint="eastAsia" w:hAnsi="宋体"/>
        </w:rPr>
        <w:t>3.1 消防安全评估机构在实施评估服务前，应编制评估方案及评估计划，提交甲方审核备案，甲方核准后方可实施。</w:t>
      </w:r>
    </w:p>
    <w:p>
      <w:pPr>
        <w:pStyle w:val="78"/>
        <w:spacing w:line="520" w:lineRule="exact"/>
        <w:ind w:left="491" w:leftChars="15" w:hanging="458" w:hangingChars="191"/>
        <w:rPr>
          <w:rFonts w:hAnsi="宋体"/>
        </w:rPr>
      </w:pPr>
      <w:r>
        <w:rPr>
          <w:rFonts w:hint="eastAsia" w:hAnsi="宋体"/>
        </w:rPr>
        <w:t>3.2 消防安全评估机构须如实记录评估结果，并对评估过程中发现的问题及时反馈给甲方，以便甲方及时整改。</w:t>
      </w:r>
    </w:p>
    <w:p>
      <w:pPr>
        <w:pStyle w:val="78"/>
        <w:spacing w:line="520" w:lineRule="exact"/>
        <w:ind w:left="491" w:leftChars="15" w:hanging="458" w:hangingChars="191"/>
        <w:rPr>
          <w:rFonts w:hAnsi="宋体"/>
        </w:rPr>
      </w:pPr>
      <w:r>
        <w:rPr>
          <w:rFonts w:hint="eastAsia" w:hAnsi="宋体"/>
        </w:rPr>
        <w:t>3.3 按照资料审查、现场检查（对企业内事故监控与报警设施消防设施、消防道路、消防供水、消防供电、消防控制室、水泵房、配电室等内容进行现场检查，还会对部分消防设施进行现场测试）、消防安全管理检查、对照判定的程序方式进行安全评估，并提出科学、合理、具有可操作性的消防安全建议。</w:t>
      </w:r>
    </w:p>
    <w:p>
      <w:pPr>
        <w:pStyle w:val="78"/>
        <w:spacing w:line="520" w:lineRule="exact"/>
        <w:ind w:left="491" w:leftChars="15" w:hanging="458" w:hangingChars="191"/>
        <w:rPr>
          <w:rFonts w:hAnsi="宋体"/>
          <w:b/>
          <w:bCs/>
        </w:rPr>
      </w:pPr>
      <w:r>
        <w:rPr>
          <w:rFonts w:hint="eastAsia" w:hAnsi="宋体"/>
        </w:rPr>
        <w:t xml:space="preserve">3.4 </w:t>
      </w:r>
      <w:r>
        <w:rPr>
          <w:rFonts w:hint="eastAsia" w:hAnsi="宋体"/>
          <w:b/>
          <w:bCs/>
        </w:rPr>
        <w:t>评估工作结束时，应及时提交详细的评估报告、消防安全改进技术建议书，翔鹭石化（漳州）有限公司、腾龙芳烃（漳州）有限公司消防评估纸质报告各一式4份、完整可编辑的电子版一份。评估记录及报告应由评估人员和评估单位签字盖章，所提供的评估报告应符合消防部门的要求。</w:t>
      </w:r>
    </w:p>
    <w:p>
      <w:pPr>
        <w:pStyle w:val="78"/>
        <w:spacing w:line="520" w:lineRule="exact"/>
        <w:ind w:left="491" w:leftChars="15" w:hanging="458" w:hangingChars="191"/>
        <w:rPr>
          <w:rFonts w:hAnsi="宋体"/>
        </w:rPr>
      </w:pPr>
      <w:r>
        <w:rPr>
          <w:rFonts w:hint="eastAsia" w:hAnsi="宋体"/>
        </w:rPr>
        <w:t>3.5 消防安全评估机构应严格遵循有关法律和规定（包括技术规定和技术标准），完成约定的消防安全评估工作，并确保项目消防安全评估报告经过甲方审核合格后，上传政府主管部门平台备案。</w:t>
      </w:r>
    </w:p>
    <w:p>
      <w:pPr>
        <w:pStyle w:val="78"/>
        <w:spacing w:line="520" w:lineRule="exact"/>
        <w:ind w:left="491" w:leftChars="15" w:hanging="458" w:hangingChars="191"/>
        <w:rPr>
          <w:rFonts w:hAnsi="宋体"/>
        </w:rPr>
      </w:pPr>
      <w:r>
        <w:rPr>
          <w:rFonts w:hint="eastAsia" w:hAnsi="宋体"/>
        </w:rPr>
        <w:t>3.6 消防安全评估机构应采用先进技术和手段开展本项目的消防安全评估工作，确保评估成果的完整性和准确性并对成果负全部责任。</w:t>
      </w:r>
    </w:p>
    <w:p>
      <w:pPr>
        <w:pStyle w:val="78"/>
        <w:spacing w:line="520" w:lineRule="exact"/>
        <w:ind w:left="491" w:leftChars="15" w:hanging="458" w:hangingChars="191"/>
        <w:rPr>
          <w:rFonts w:hAnsi="宋体"/>
        </w:rPr>
      </w:pPr>
      <w:r>
        <w:rPr>
          <w:rFonts w:hint="eastAsia" w:hAnsi="宋体"/>
        </w:rPr>
        <w:t>3.7 在消防安全评估执行过程中，甲方有权了解消防安全评估机构的工作程序和工作进度，并对其工作质量进行检查监督。</w:t>
      </w:r>
    </w:p>
    <w:p>
      <w:pPr>
        <w:pStyle w:val="78"/>
        <w:spacing w:line="520" w:lineRule="exact"/>
        <w:ind w:left="491" w:leftChars="15" w:hanging="458" w:hangingChars="191"/>
        <w:rPr>
          <w:rFonts w:hAnsi="宋体"/>
        </w:rPr>
      </w:pPr>
      <w:r>
        <w:rPr>
          <w:rFonts w:hint="eastAsia" w:hAnsi="宋体"/>
        </w:rPr>
        <w:t>3.8 评估单位在开展工作时应执行和遵守甲方相应的质量和安全管理规定，并承担相应的违（规）约责任。</w:t>
      </w:r>
    </w:p>
    <w:p>
      <w:pPr>
        <w:pStyle w:val="78"/>
        <w:spacing w:line="520" w:lineRule="exact"/>
        <w:ind w:left="491" w:leftChars="15" w:hanging="458" w:hangingChars="191"/>
        <w:rPr>
          <w:rFonts w:hAnsi="宋体"/>
        </w:rPr>
      </w:pPr>
      <w:r>
        <w:rPr>
          <w:rFonts w:hint="eastAsia" w:hAnsi="宋体"/>
        </w:rPr>
        <w:t>3.9 由于评估过程中涉及到相关消防设计资料及现场实际情况，服务机构需要签署保密协议。</w:t>
      </w:r>
    </w:p>
    <w:p>
      <w:pPr>
        <w:spacing w:line="360" w:lineRule="auto"/>
        <w:ind w:left="491" w:leftChars="15" w:hanging="458" w:hangingChars="191"/>
        <w:rPr>
          <w:sz w:val="24"/>
          <w:szCs w:val="24"/>
          <w:lang w:eastAsia="zh-CN"/>
        </w:rPr>
      </w:pPr>
      <w:r>
        <w:rPr>
          <w:rFonts w:hint="eastAsia"/>
          <w:sz w:val="24"/>
          <w:szCs w:val="24"/>
          <w:lang w:eastAsia="zh-CN"/>
        </w:rPr>
        <w:t>3.10本合同价款已包括研究费、评审费（含专家费、会务费等）、资料费、印刷费、管理费、调研差旅费及税费等，为总价包干</w:t>
      </w:r>
      <w:r>
        <w:rPr>
          <w:rFonts w:ascii="Times New Roman" w:hAnsi="Times New Roman" w:cs="Times New Roman"/>
          <w:sz w:val="24"/>
          <w:szCs w:val="24"/>
          <w:lang w:eastAsia="zh-CN"/>
        </w:rPr>
        <w:t>。</w:t>
      </w:r>
    </w:p>
    <w:p>
      <w:pPr>
        <w:pStyle w:val="28"/>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第二条</w:t>
      </w:r>
      <w:r>
        <w:rPr>
          <w:rFonts w:ascii="Times New Roman" w:hAnsi="Times New Roman" w:cs="Times New Roman"/>
          <w:sz w:val="24"/>
          <w:szCs w:val="24"/>
          <w:lang w:eastAsia="zh-CN"/>
        </w:rPr>
        <w:t xml:space="preserve"> 乙方按照下列要求进行本合同项目的技术咨询工作：</w:t>
      </w:r>
    </w:p>
    <w:p>
      <w:pPr>
        <w:pStyle w:val="28"/>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 技术服务及咨询地点：</w:t>
      </w:r>
      <w:r>
        <w:rPr>
          <w:rFonts w:ascii="Times New Roman" w:hAnsi="Times New Roman" w:cs="Times New Roman"/>
          <w:sz w:val="24"/>
          <w:szCs w:val="24"/>
          <w:u w:val="single"/>
          <w:lang w:eastAsia="zh-CN"/>
        </w:rPr>
        <w:t xml:space="preserve"> 甲方现场指定地点</w:t>
      </w:r>
      <w:r>
        <w:rPr>
          <w:rFonts w:ascii="Times New Roman" w:hAnsi="Times New Roman" w:cs="Times New Roman"/>
          <w:sz w:val="24"/>
          <w:szCs w:val="24"/>
          <w:lang w:eastAsia="zh-CN"/>
        </w:rPr>
        <w:t xml:space="preserve">。  </w:t>
      </w:r>
    </w:p>
    <w:p>
      <w:pPr>
        <w:pStyle w:val="78"/>
        <w:spacing w:line="520" w:lineRule="exact"/>
        <w:ind w:left="377" w:leftChars="17" w:hanging="340" w:hangingChars="142"/>
        <w:rPr>
          <w:rFonts w:ascii="Times New Roman" w:cs="Times New Roman"/>
          <w:color w:val="auto"/>
        </w:rPr>
      </w:pPr>
      <w:r>
        <w:rPr>
          <w:rFonts w:ascii="Times New Roman" w:cs="Times New Roman"/>
          <w:color w:val="auto"/>
        </w:rPr>
        <w:t xml:space="preserve">2. 技术服务及咨询期限： </w:t>
      </w:r>
      <w:r>
        <w:rPr>
          <w:rFonts w:hint="eastAsia" w:ascii="Times New Roman" w:cs="Times New Roman"/>
          <w:color w:val="auto"/>
        </w:rPr>
        <w:t>合同签订后两个月内完成腾龙芳烃（漳州）有限公司、翔鹭石化（漳州）有限公司两个厂区的2</w:t>
      </w:r>
      <w:r>
        <w:rPr>
          <w:rFonts w:ascii="Times New Roman" w:cs="Times New Roman"/>
          <w:color w:val="auto"/>
        </w:rPr>
        <w:t>022年度</w:t>
      </w:r>
      <w:r>
        <w:rPr>
          <w:rFonts w:hint="eastAsia" w:ascii="Times New Roman" w:cs="Times New Roman"/>
          <w:color w:val="auto"/>
        </w:rPr>
        <w:t>高危单位消防安全评估并提交评估报告</w:t>
      </w:r>
      <w:r>
        <w:rPr>
          <w:rFonts w:hint="eastAsia" w:hAnsi="宋体"/>
          <w:b/>
          <w:bCs/>
        </w:rPr>
        <w:t>。</w:t>
      </w:r>
      <w:r>
        <w:rPr>
          <w:rFonts w:ascii="Times New Roman" w:cs="Times New Roman"/>
          <w:color w:val="auto"/>
        </w:rPr>
        <w:t xml:space="preserve">                 </w:t>
      </w:r>
    </w:p>
    <w:p>
      <w:pPr>
        <w:pStyle w:val="28"/>
        <w:spacing w:beforeLines="50"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w:t>
      </w:r>
      <w:r>
        <w:rPr>
          <w:rFonts w:hint="eastAsia" w:ascii="Times New Roman" w:hAnsi="Times New Roman" w:cs="Times New Roman"/>
          <w:b/>
          <w:bCs/>
          <w:sz w:val="24"/>
          <w:szCs w:val="24"/>
          <w:lang w:eastAsia="zh-CN"/>
        </w:rPr>
        <w:t>三</w:t>
      </w:r>
      <w:r>
        <w:rPr>
          <w:rFonts w:ascii="Times New Roman" w:hAnsi="Times New Roman" w:cs="Times New Roman"/>
          <w:b/>
          <w:bCs/>
          <w:sz w:val="24"/>
          <w:szCs w:val="24"/>
          <w:lang w:eastAsia="zh-CN"/>
        </w:rPr>
        <w:t>条</w:t>
      </w:r>
      <w:r>
        <w:rPr>
          <w:rFonts w:hint="eastAsia"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甲方向乙方支付技术服务及咨询报酬及支付方式为：</w:t>
      </w:r>
    </w:p>
    <w:p>
      <w:pPr>
        <w:pStyle w:val="28"/>
        <w:spacing w:line="360" w:lineRule="auto"/>
        <w:ind w:left="199" w:hanging="199" w:hangingChars="83"/>
        <w:rPr>
          <w:rFonts w:ascii="Times New Roman" w:hAnsi="Times New Roman" w:cs="Times New Roman"/>
          <w:sz w:val="24"/>
          <w:szCs w:val="24"/>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本合同的技术服务及咨询报酬含税总价为：</w:t>
      </w:r>
      <w:r>
        <w:rPr>
          <w:rFonts w:ascii="Times New Roman" w:hAnsi="Times New Roman" w:cs="Times New Roman"/>
          <w:sz w:val="24"/>
          <w:szCs w:val="24"/>
          <w:u w:val="single"/>
          <w:lang w:eastAsia="zh-CN"/>
        </w:rPr>
        <w:t>人民币</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含税,以下同，大写                  元整）。具体各项目价格清单如下：</w:t>
      </w:r>
    </w:p>
    <w:tbl>
      <w:tblPr>
        <w:tblStyle w:val="58"/>
        <w:tblW w:w="98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2"/>
        <w:gridCol w:w="4783"/>
        <w:gridCol w:w="1605"/>
        <w:gridCol w:w="26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jc w:val="center"/>
        </w:trPr>
        <w:tc>
          <w:tcPr>
            <w:tcW w:w="842" w:type="dxa"/>
            <w:vAlign w:val="center"/>
          </w:tcPr>
          <w:p>
            <w:pPr>
              <w:widowControl/>
              <w:spacing w:line="360" w:lineRule="auto"/>
              <w:jc w:val="center"/>
              <w:rPr>
                <w:rFonts w:ascii="Times New Roman" w:hAnsi="Times New Roman" w:cs="Times New Roman"/>
                <w:b/>
                <w:kern w:val="2"/>
                <w:sz w:val="24"/>
                <w:szCs w:val="24"/>
              </w:rPr>
            </w:pPr>
            <w:r>
              <w:rPr>
                <w:rFonts w:ascii="Times New Roman" w:hAnsi="Times New Roman" w:cs="Times New Roman"/>
                <w:b/>
                <w:kern w:val="2"/>
                <w:sz w:val="24"/>
                <w:szCs w:val="24"/>
              </w:rPr>
              <w:t>序号</w:t>
            </w:r>
          </w:p>
        </w:tc>
        <w:tc>
          <w:tcPr>
            <w:tcW w:w="4783" w:type="dxa"/>
            <w:vAlign w:val="center"/>
          </w:tcPr>
          <w:p>
            <w:pPr>
              <w:widowControl/>
              <w:spacing w:line="360" w:lineRule="auto"/>
              <w:jc w:val="center"/>
              <w:rPr>
                <w:rFonts w:ascii="Times New Roman" w:hAnsi="Times New Roman" w:cs="Times New Roman"/>
                <w:b/>
                <w:kern w:val="2"/>
                <w:sz w:val="24"/>
                <w:szCs w:val="24"/>
              </w:rPr>
            </w:pPr>
            <w:r>
              <w:rPr>
                <w:rFonts w:ascii="Times New Roman" w:hAnsi="Times New Roman" w:cs="Times New Roman"/>
                <w:b/>
                <w:kern w:val="2"/>
                <w:sz w:val="24"/>
                <w:szCs w:val="24"/>
              </w:rPr>
              <w:t>项目</w:t>
            </w:r>
          </w:p>
        </w:tc>
        <w:tc>
          <w:tcPr>
            <w:tcW w:w="1605" w:type="dxa"/>
            <w:vAlign w:val="center"/>
          </w:tcPr>
          <w:p>
            <w:pPr>
              <w:widowControl/>
              <w:spacing w:line="360" w:lineRule="auto"/>
              <w:jc w:val="center"/>
              <w:rPr>
                <w:rFonts w:ascii="Times New Roman" w:hAnsi="Times New Roman" w:cs="Times New Roman"/>
                <w:b/>
                <w:kern w:val="2"/>
                <w:sz w:val="24"/>
                <w:szCs w:val="24"/>
              </w:rPr>
            </w:pPr>
            <w:r>
              <w:rPr>
                <w:rFonts w:ascii="Times New Roman" w:hAnsi="Times New Roman" w:cs="Times New Roman"/>
                <w:b/>
                <w:kern w:val="2"/>
                <w:sz w:val="24"/>
                <w:szCs w:val="24"/>
              </w:rPr>
              <w:t>报价</w:t>
            </w:r>
          </w:p>
        </w:tc>
        <w:tc>
          <w:tcPr>
            <w:tcW w:w="2626" w:type="dxa"/>
            <w:vAlign w:val="center"/>
          </w:tcPr>
          <w:p>
            <w:pPr>
              <w:widowControl/>
              <w:spacing w:line="360" w:lineRule="auto"/>
              <w:jc w:val="center"/>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增值税发票</w:t>
            </w:r>
          </w:p>
          <w:p>
            <w:pPr>
              <w:widowControl/>
              <w:spacing w:line="360" w:lineRule="auto"/>
              <w:jc w:val="center"/>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类型及税率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42" w:type="dxa"/>
            <w:vAlign w:val="center"/>
          </w:tcPr>
          <w:p>
            <w:pPr>
              <w:widowControl/>
              <w:spacing w:line="360"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p>
        </w:tc>
        <w:tc>
          <w:tcPr>
            <w:tcW w:w="4783" w:type="dxa"/>
            <w:vAlign w:val="center"/>
          </w:tcPr>
          <w:p>
            <w:pPr>
              <w:spacing w:line="360" w:lineRule="auto"/>
              <w:jc w:val="center"/>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腾龙芳烃（漳州）有限公司</w:t>
            </w:r>
          </w:p>
          <w:p>
            <w:pPr>
              <w:spacing w:line="360" w:lineRule="auto"/>
              <w:jc w:val="center"/>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w:t>
            </w:r>
            <w:r>
              <w:rPr>
                <w:rFonts w:ascii="Times New Roman" w:hAnsi="Times New Roman" w:cs="Times New Roman"/>
                <w:kern w:val="2"/>
                <w:sz w:val="24"/>
                <w:szCs w:val="24"/>
                <w:lang w:eastAsia="zh-CN"/>
              </w:rPr>
              <w:t>022年度</w:t>
            </w:r>
            <w:r>
              <w:rPr>
                <w:rFonts w:hint="eastAsia" w:ascii="Times New Roman" w:hAnsi="Times New Roman" w:cs="Times New Roman"/>
                <w:kern w:val="2"/>
                <w:sz w:val="24"/>
                <w:szCs w:val="24"/>
                <w:lang w:eastAsia="zh-CN"/>
              </w:rPr>
              <w:t>火灾高危单位消防安全评估项目</w:t>
            </w:r>
          </w:p>
        </w:tc>
        <w:tc>
          <w:tcPr>
            <w:tcW w:w="1605" w:type="dxa"/>
            <w:vAlign w:val="center"/>
          </w:tcPr>
          <w:p>
            <w:pPr>
              <w:widowControl/>
              <w:spacing w:line="360" w:lineRule="auto"/>
              <w:jc w:val="center"/>
              <w:rPr>
                <w:rFonts w:ascii="Times New Roman" w:hAnsi="Times New Roman" w:cs="Times New Roman"/>
                <w:b/>
                <w:kern w:val="2"/>
                <w:sz w:val="24"/>
                <w:szCs w:val="24"/>
                <w:lang w:eastAsia="zh-CN"/>
              </w:rPr>
            </w:pPr>
          </w:p>
        </w:tc>
        <w:tc>
          <w:tcPr>
            <w:tcW w:w="2626" w:type="dxa"/>
            <w:vAlign w:val="center"/>
          </w:tcPr>
          <w:p>
            <w:pPr>
              <w:widowControl/>
              <w:spacing w:line="360" w:lineRule="auto"/>
              <w:jc w:val="center"/>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增值税专用发票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42" w:type="dxa"/>
            <w:vAlign w:val="center"/>
          </w:tcPr>
          <w:p>
            <w:pPr>
              <w:widowControl/>
              <w:spacing w:line="360" w:lineRule="auto"/>
              <w:jc w:val="center"/>
              <w:rPr>
                <w:rFonts w:ascii="Times New Roman" w:hAnsi="Times New Roman" w:cs="Times New Roman"/>
                <w:kern w:val="2"/>
                <w:sz w:val="24"/>
                <w:szCs w:val="24"/>
              </w:rPr>
            </w:pPr>
            <w:r>
              <w:rPr>
                <w:rFonts w:ascii="Times New Roman" w:hAnsi="Times New Roman" w:cs="Times New Roman"/>
                <w:kern w:val="2"/>
                <w:sz w:val="24"/>
                <w:szCs w:val="24"/>
              </w:rPr>
              <w:t>2</w:t>
            </w:r>
          </w:p>
        </w:tc>
        <w:tc>
          <w:tcPr>
            <w:tcW w:w="4783" w:type="dxa"/>
            <w:vAlign w:val="center"/>
          </w:tcPr>
          <w:p>
            <w:pPr>
              <w:spacing w:line="360" w:lineRule="auto"/>
              <w:jc w:val="center"/>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翔鹭石化（漳州）有限公司</w:t>
            </w:r>
          </w:p>
          <w:p>
            <w:pPr>
              <w:spacing w:line="360" w:lineRule="auto"/>
              <w:jc w:val="center"/>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w:t>
            </w:r>
            <w:r>
              <w:rPr>
                <w:rFonts w:ascii="Times New Roman" w:hAnsi="Times New Roman" w:cs="Times New Roman"/>
                <w:kern w:val="2"/>
                <w:sz w:val="24"/>
                <w:szCs w:val="24"/>
                <w:lang w:eastAsia="zh-CN"/>
              </w:rPr>
              <w:t>022年度</w:t>
            </w:r>
            <w:r>
              <w:rPr>
                <w:rFonts w:hint="eastAsia" w:ascii="Times New Roman" w:hAnsi="Times New Roman" w:cs="Times New Roman"/>
                <w:kern w:val="2"/>
                <w:sz w:val="24"/>
                <w:szCs w:val="24"/>
                <w:lang w:eastAsia="zh-CN"/>
              </w:rPr>
              <w:t>火灾高危单位消防安全评估项目</w:t>
            </w:r>
          </w:p>
        </w:tc>
        <w:tc>
          <w:tcPr>
            <w:tcW w:w="1605" w:type="dxa"/>
            <w:vAlign w:val="center"/>
          </w:tcPr>
          <w:p>
            <w:pPr>
              <w:widowControl/>
              <w:spacing w:line="360" w:lineRule="auto"/>
              <w:jc w:val="center"/>
              <w:rPr>
                <w:rFonts w:ascii="Times New Roman" w:hAnsi="Times New Roman" w:cs="Times New Roman"/>
                <w:b/>
                <w:kern w:val="2"/>
                <w:sz w:val="24"/>
                <w:szCs w:val="24"/>
                <w:lang w:eastAsia="zh-CN"/>
              </w:rPr>
            </w:pPr>
          </w:p>
        </w:tc>
        <w:tc>
          <w:tcPr>
            <w:tcW w:w="2626" w:type="dxa"/>
            <w:vAlign w:val="center"/>
          </w:tcPr>
          <w:p>
            <w:pPr>
              <w:widowControl/>
              <w:spacing w:line="360" w:lineRule="auto"/>
              <w:jc w:val="center"/>
              <w:rPr>
                <w:rFonts w:ascii="Times New Roman" w:hAnsi="Times New Roman" w:cs="Times New Roman"/>
                <w:kern w:val="2"/>
                <w:sz w:val="24"/>
                <w:szCs w:val="24"/>
              </w:rPr>
            </w:pPr>
            <w:r>
              <w:rPr>
                <w:rFonts w:hint="eastAsia" w:ascii="Times New Roman" w:hAnsi="Times New Roman" w:cs="Times New Roman"/>
                <w:kern w:val="2"/>
                <w:sz w:val="24"/>
                <w:szCs w:val="24"/>
                <w:lang w:eastAsia="zh-CN"/>
              </w:rPr>
              <w:t>增值税专用发票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42" w:type="dxa"/>
            <w:vMerge w:val="restart"/>
            <w:vAlign w:val="center"/>
          </w:tcPr>
          <w:p>
            <w:pPr>
              <w:widowControl/>
              <w:spacing w:line="360" w:lineRule="auto"/>
              <w:jc w:val="center"/>
              <w:rPr>
                <w:rFonts w:ascii="Times New Roman" w:hAnsi="Times New Roman" w:cs="Times New Roman"/>
                <w:kern w:val="2"/>
                <w:sz w:val="24"/>
                <w:szCs w:val="24"/>
              </w:rPr>
            </w:pPr>
            <w:r>
              <w:rPr>
                <w:rFonts w:ascii="Times New Roman" w:hAnsi="Times New Roman" w:cs="Times New Roman"/>
                <w:kern w:val="2"/>
                <w:sz w:val="24"/>
                <w:szCs w:val="24"/>
              </w:rPr>
              <w:t>4</w:t>
            </w:r>
          </w:p>
        </w:tc>
        <w:tc>
          <w:tcPr>
            <w:tcW w:w="4783" w:type="dxa"/>
            <w:vAlign w:val="bottom"/>
          </w:tcPr>
          <w:p>
            <w:pPr>
              <w:spacing w:line="360" w:lineRule="auto"/>
              <w:jc w:val="center"/>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包干含税总价合计（</w:t>
            </w:r>
            <w:r>
              <w:rPr>
                <w:rFonts w:hint="eastAsia" w:ascii="Times New Roman" w:hAnsi="Times New Roman" w:cs="Times New Roman"/>
                <w:kern w:val="2"/>
                <w:sz w:val="24"/>
                <w:szCs w:val="24"/>
                <w:lang w:eastAsia="zh-CN"/>
              </w:rPr>
              <w:t>人民币</w:t>
            </w:r>
            <w:r>
              <w:rPr>
                <w:rFonts w:ascii="Times New Roman" w:hAnsi="Times New Roman" w:cs="Times New Roman"/>
                <w:kern w:val="2"/>
                <w:sz w:val="24"/>
                <w:szCs w:val="24"/>
                <w:lang w:eastAsia="zh-CN"/>
              </w:rPr>
              <w:t>:元）</w:t>
            </w:r>
          </w:p>
        </w:tc>
        <w:tc>
          <w:tcPr>
            <w:tcW w:w="4231" w:type="dxa"/>
            <w:gridSpan w:val="2"/>
            <w:vAlign w:val="bottom"/>
          </w:tcPr>
          <w:p>
            <w:pPr>
              <w:widowControl/>
              <w:spacing w:line="360" w:lineRule="auto"/>
              <w:jc w:val="center"/>
              <w:rPr>
                <w:rFonts w:ascii="Times New Roman" w:hAnsi="Times New Roman" w:cs="Times New Roman"/>
                <w:b/>
                <w:kern w:val="2"/>
                <w:sz w:val="24"/>
                <w:szCs w:val="24"/>
              </w:rPr>
            </w:pPr>
            <w:r>
              <w:rPr>
                <w:rFonts w:hint="eastAsia" w:ascii="Times New Roman" w:hAnsi="Times New Roman" w:cs="Times New Roman"/>
                <w:b/>
                <w:kern w:val="2"/>
                <w:sz w:val="24"/>
                <w:szCs w:val="24"/>
                <w:lang w:eastAsia="zh-CN"/>
              </w:rPr>
              <w:t xml:space="preserve">  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42" w:type="dxa"/>
            <w:vMerge w:val="continue"/>
            <w:vAlign w:val="center"/>
          </w:tcPr>
          <w:p>
            <w:pPr>
              <w:widowControl/>
              <w:spacing w:line="360" w:lineRule="auto"/>
              <w:jc w:val="center"/>
              <w:rPr>
                <w:rFonts w:ascii="Times New Roman" w:hAnsi="Times New Roman" w:cs="Times New Roman"/>
                <w:kern w:val="2"/>
                <w:sz w:val="24"/>
                <w:szCs w:val="24"/>
              </w:rPr>
            </w:pPr>
          </w:p>
        </w:tc>
        <w:tc>
          <w:tcPr>
            <w:tcW w:w="4783" w:type="dxa"/>
            <w:vAlign w:val="bottom"/>
          </w:tcPr>
          <w:p>
            <w:pPr>
              <w:spacing w:line="360" w:lineRule="auto"/>
              <w:jc w:val="center"/>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包干含税总价合计（</w:t>
            </w:r>
            <w:r>
              <w:rPr>
                <w:rFonts w:hint="eastAsia" w:ascii="Times New Roman" w:hAnsi="Times New Roman" w:cs="Times New Roman"/>
                <w:kern w:val="2"/>
                <w:sz w:val="24"/>
                <w:szCs w:val="24"/>
                <w:lang w:eastAsia="zh-CN"/>
              </w:rPr>
              <w:t>人民币</w:t>
            </w:r>
            <w:r>
              <w:rPr>
                <w:rFonts w:ascii="Times New Roman" w:hAnsi="Times New Roman" w:cs="Times New Roman"/>
                <w:kern w:val="2"/>
                <w:sz w:val="24"/>
                <w:szCs w:val="24"/>
                <w:lang w:eastAsia="zh-CN"/>
              </w:rPr>
              <w:t>:元</w:t>
            </w:r>
            <w:r>
              <w:rPr>
                <w:rFonts w:hint="eastAsia" w:ascii="Times New Roman" w:hAnsi="Times New Roman" w:cs="Times New Roman"/>
                <w:kern w:val="2"/>
                <w:sz w:val="24"/>
                <w:szCs w:val="24"/>
                <w:lang w:eastAsia="zh-CN"/>
              </w:rPr>
              <w:t>，</w:t>
            </w:r>
            <w:r>
              <w:rPr>
                <w:rFonts w:ascii="Times New Roman" w:hAnsi="Times New Roman" w:cs="Times New Roman"/>
                <w:kern w:val="2"/>
                <w:sz w:val="24"/>
                <w:szCs w:val="24"/>
                <w:lang w:eastAsia="zh-CN"/>
              </w:rPr>
              <w:t>大写）</w:t>
            </w:r>
          </w:p>
        </w:tc>
        <w:tc>
          <w:tcPr>
            <w:tcW w:w="4231" w:type="dxa"/>
            <w:gridSpan w:val="2"/>
            <w:vAlign w:val="bottom"/>
          </w:tcPr>
          <w:p>
            <w:pPr>
              <w:widowControl/>
              <w:spacing w:line="360" w:lineRule="auto"/>
              <w:jc w:val="center"/>
              <w:rPr>
                <w:rFonts w:ascii="Times New Roman" w:hAnsi="Times New Roman" w:cs="Times New Roman"/>
                <w:b/>
                <w:kern w:val="2"/>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4" w:hRule="atLeast"/>
          <w:jc w:val="center"/>
        </w:trPr>
        <w:tc>
          <w:tcPr>
            <w:tcW w:w="9856" w:type="dxa"/>
            <w:gridSpan w:val="4"/>
            <w:vAlign w:val="center"/>
          </w:tcPr>
          <w:p>
            <w:pPr>
              <w:widowControl/>
              <w:spacing w:line="360" w:lineRule="auto"/>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 xml:space="preserve">备注：本案报价函作为商务标需单独密封报价。 </w:t>
            </w:r>
          </w:p>
        </w:tc>
      </w:tr>
    </w:tbl>
    <w:p>
      <w:pPr>
        <w:pStyle w:val="28"/>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以上价格为含税包干价，包括了乙方完成本合同约定所有工作所涉及的全部所需费用。除非合同另外有约定外，否则甲方不再另外支付任何费用。</w:t>
      </w:r>
    </w:p>
    <w:p>
      <w:pPr>
        <w:pStyle w:val="28"/>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 xml:space="preserve">2. </w:t>
      </w:r>
      <w:r>
        <w:rPr>
          <w:rFonts w:ascii="Times New Roman" w:hAnsi="Times New Roman" w:cs="Times New Roman"/>
          <w:b/>
          <w:bCs/>
          <w:sz w:val="24"/>
          <w:szCs w:val="24"/>
          <w:lang w:eastAsia="zh-CN"/>
        </w:rPr>
        <w:t>具体支付方式和时间分配如下：</w:t>
      </w:r>
    </w:p>
    <w:p>
      <w:pPr>
        <w:pStyle w:val="28"/>
        <w:spacing w:line="360" w:lineRule="auto"/>
        <w:ind w:firstLine="480" w:firstLineChars="200"/>
        <w:rPr>
          <w:rFonts w:ascii="Times New Roman" w:hAnsi="Times New Roman" w:cs="Times New Roman"/>
          <w:color w:val="0000FF"/>
          <w:sz w:val="24"/>
          <w:szCs w:val="24"/>
          <w:lang w:eastAsia="zh-CN"/>
        </w:rPr>
      </w:pPr>
      <w:r>
        <w:rPr>
          <w:rFonts w:ascii="Times New Roman" w:hAnsi="Times New Roman" w:cs="Times New Roman"/>
          <w:sz w:val="24"/>
          <w:szCs w:val="24"/>
          <w:lang w:eastAsia="zh-CN"/>
        </w:rPr>
        <w:t>乙方按合同约定完成所有相关工作，出具符合消防部门要求的评估报告后并经甲方认可后，双方确认无误后，</w:t>
      </w:r>
      <w:r>
        <w:rPr>
          <w:rFonts w:hint="eastAsia" w:ascii="Times New Roman" w:hAnsi="Times New Roman" w:cs="Times New Roman"/>
          <w:sz w:val="24"/>
          <w:szCs w:val="24"/>
          <w:lang w:eastAsia="zh-CN"/>
        </w:rPr>
        <w:t>并须将评估报告成功上传消防服务平台，</w:t>
      </w:r>
      <w:r>
        <w:rPr>
          <w:rFonts w:ascii="Times New Roman" w:hAnsi="Times New Roman" w:cs="Times New Roman"/>
          <w:sz w:val="24"/>
          <w:szCs w:val="24"/>
          <w:lang w:eastAsia="zh-CN"/>
        </w:rPr>
        <w:t>乙方开具相应金额100%的增值税专用发票，甲方收到相应发票原件后60日内付清相应金额100%费用。</w:t>
      </w:r>
    </w:p>
    <w:p>
      <w:pPr>
        <w:pStyle w:val="28"/>
        <w:spacing w:line="360" w:lineRule="auto"/>
        <w:ind w:firstLine="482" w:firstLineChars="200"/>
        <w:rPr>
          <w:rFonts w:ascii="Times New Roman" w:hAnsi="Times New Roman" w:cs="Times New Roman"/>
          <w:b/>
          <w:bCs/>
          <w:sz w:val="24"/>
          <w:szCs w:val="24"/>
          <w:lang w:eastAsia="zh-CN"/>
        </w:rPr>
      </w:pPr>
      <w:r>
        <w:rPr>
          <w:rFonts w:ascii="Times New Roman" w:hAnsi="Times New Roman" w:cs="Times New Roman"/>
          <w:b/>
          <w:bCs/>
          <w:sz w:val="24"/>
          <w:szCs w:val="24"/>
          <w:lang w:eastAsia="zh-CN"/>
        </w:rPr>
        <w:t>结算时，根据各项目所属公司，分别进行开票和付款。</w:t>
      </w:r>
    </w:p>
    <w:p>
      <w:pPr>
        <w:pStyle w:val="78"/>
        <w:spacing w:line="360" w:lineRule="auto"/>
        <w:rPr>
          <w:rFonts w:ascii="Times New Roman" w:cs="Times New Roman"/>
          <w:b/>
          <w:bCs/>
          <w:color w:val="auto"/>
        </w:rPr>
      </w:pPr>
      <w:r>
        <w:rPr>
          <w:rFonts w:hint="eastAsia" w:ascii="Times New Roman" w:cs="Times New Roman"/>
          <w:b/>
          <w:bCs/>
          <w:color w:val="auto"/>
        </w:rPr>
        <w:t>第四条   履约保证</w:t>
      </w:r>
    </w:p>
    <w:p>
      <w:pPr>
        <w:pStyle w:val="78"/>
        <w:spacing w:line="360" w:lineRule="auto"/>
        <w:ind w:left="300" w:hanging="300" w:hangingChars="125"/>
        <w:rPr>
          <w:rFonts w:ascii="Times New Roman" w:cs="Times New Roman"/>
          <w:color w:val="auto"/>
        </w:rPr>
      </w:pPr>
      <w:r>
        <w:rPr>
          <w:rFonts w:hint="eastAsia" w:ascii="Times New Roman" w:cs="Times New Roman"/>
          <w:color w:val="auto"/>
        </w:rPr>
        <w:t>1.  合同签订后，乙方的参选保证金RMB7,000.00元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w:t>
      </w:r>
    </w:p>
    <w:p>
      <w:pPr>
        <w:pStyle w:val="78"/>
        <w:spacing w:line="360" w:lineRule="auto"/>
        <w:ind w:left="300" w:hanging="300" w:hangingChars="125"/>
        <w:rPr>
          <w:rFonts w:ascii="Times New Roman" w:cs="Times New Roman"/>
          <w:color w:val="auto"/>
        </w:rPr>
      </w:pPr>
      <w:r>
        <w:rPr>
          <w:rFonts w:hint="eastAsia" w:ascii="Times New Roman" w:cs="Times New Roman"/>
          <w:color w:val="auto"/>
        </w:rPr>
        <w:t>2.  该履约保证金在乙方全面履行完毕本合同义务后30天内无息退还。但履约保证金退还后发现任何应由乙方承担责任的行为或事件，乙方仍应承担责任。</w:t>
      </w:r>
    </w:p>
    <w:p>
      <w:pPr>
        <w:pStyle w:val="28"/>
        <w:spacing w:beforeLines="50"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五</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双方确定因履行本合同应遵守的保密义务如下：</w:t>
      </w:r>
    </w:p>
    <w:p>
      <w:pPr>
        <w:pStyle w:val="78"/>
        <w:spacing w:line="360" w:lineRule="auto"/>
        <w:ind w:left="317" w:hanging="316" w:hangingChars="132"/>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1. 双方都有义务尊重对方知识产权和资料信息的保密性，双方均应约束其参与项目的雇员遵守保密义务、尊重商业道德。任何第三方要获得该项目的任何信息，均需获得双方的书面授权。</w:t>
      </w:r>
    </w:p>
    <w:p>
      <w:pPr>
        <w:pStyle w:val="78"/>
        <w:spacing w:line="360" w:lineRule="auto"/>
        <w:ind w:left="317" w:hanging="316" w:hangingChars="132"/>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 乙方对因本合同履行所接触到的甲方的所有图纸、文件、资料，现场考察所得知的所有涉及甲方商业、技术等方面的信息均具有保密义务，未经甲方书面许可不得将上述内容泄露给任何第三方，不得用于本合同之外的目的。本保密义务在本合同履行完毕后依然有效。</w:t>
      </w:r>
    </w:p>
    <w:p>
      <w:pPr>
        <w:pStyle w:val="28"/>
        <w:spacing w:line="360" w:lineRule="auto"/>
        <w:ind w:left="-238" w:leftChars="-108" w:firstLine="220" w:firstLineChars="100"/>
        <w:rPr>
          <w:rFonts w:ascii="Times New Roman" w:hAnsi="Times New Roman" w:cs="Times New Roman"/>
          <w:sz w:val="24"/>
          <w:szCs w:val="24"/>
          <w:lang w:eastAsia="zh-CN"/>
        </w:rPr>
      </w:pPr>
      <w:r>
        <w:rPr>
          <w:rFonts w:hint="eastAsia" w:asciiTheme="minorEastAsia" w:hAnsiTheme="minorEastAsia" w:eastAsiaTheme="minorEastAsia"/>
          <w:snapToGrid w:val="0"/>
          <w:lang w:eastAsia="zh-CN"/>
        </w:rPr>
        <w:t xml:space="preserve">3. </w:t>
      </w:r>
      <w:r>
        <w:rPr>
          <w:rFonts w:ascii="Times New Roman" w:hAnsi="Times New Roman" w:cs="Times New Roman"/>
          <w:sz w:val="24"/>
          <w:szCs w:val="24"/>
          <w:lang w:eastAsia="zh-CN"/>
        </w:rPr>
        <w:t>泄密责任：按本合同约定及国家有关保密法的规定执行 。</w:t>
      </w:r>
    </w:p>
    <w:p>
      <w:pPr>
        <w:pStyle w:val="28"/>
        <w:spacing w:beforeLines="50" w:line="360" w:lineRule="auto"/>
        <w:ind w:left="482" w:hanging="482" w:hangingChars="200"/>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六</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本合同的变更必须由双方协商一致，并以书面形式确定。甲方可以向乙方或乙方可以向甲方提出变更合同权利和义务的请求，另一方应当在</w:t>
      </w:r>
      <w:r>
        <w:rPr>
          <w:rFonts w:ascii="Times New Roman" w:hAnsi="Times New Roman" w:cs="Times New Roman"/>
          <w:sz w:val="24"/>
          <w:szCs w:val="24"/>
          <w:u w:val="single"/>
          <w:lang w:eastAsia="zh-CN"/>
        </w:rPr>
        <w:t xml:space="preserve"> 7 </w:t>
      </w:r>
      <w:r>
        <w:rPr>
          <w:rFonts w:ascii="Times New Roman" w:hAnsi="Times New Roman" w:cs="Times New Roman"/>
          <w:sz w:val="24"/>
          <w:szCs w:val="24"/>
          <w:lang w:eastAsia="zh-CN"/>
        </w:rPr>
        <w:t>日内予以答复。</w:t>
      </w:r>
    </w:p>
    <w:p>
      <w:pPr>
        <w:pStyle w:val="28"/>
        <w:spacing w:beforeLines="50"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七</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双方确定，按以下标准和方式对乙方提交的技术咨询工作成果进行验收：</w:t>
      </w:r>
    </w:p>
    <w:p>
      <w:pPr>
        <w:pStyle w:val="78"/>
        <w:spacing w:line="520" w:lineRule="exact"/>
        <w:ind w:left="491" w:leftChars="15" w:hanging="458" w:hangingChars="191"/>
        <w:rPr>
          <w:rFonts w:ascii="Times New Roman" w:cs="Times New Roman"/>
          <w:b/>
          <w:bCs/>
          <w:color w:val="auto"/>
        </w:rPr>
      </w:pPr>
      <w:r>
        <w:rPr>
          <w:rFonts w:ascii="Times New Roman" w:cs="Times New Roman"/>
          <w:color w:val="auto"/>
        </w:rPr>
        <w:t>1.</w:t>
      </w:r>
      <w:r>
        <w:rPr>
          <w:rFonts w:hint="eastAsia" w:ascii="Times New Roman" w:cs="Times New Roman"/>
          <w:color w:val="auto"/>
        </w:rPr>
        <w:t xml:space="preserve"> </w:t>
      </w:r>
      <w:r>
        <w:rPr>
          <w:rFonts w:hint="eastAsia" w:asciiTheme="minorEastAsia" w:hAnsiTheme="minorEastAsia" w:eastAsiaTheme="minorEastAsia"/>
          <w:color w:val="auto"/>
        </w:rPr>
        <w:t>乙方提交咨询工作成果的形式：评估工作结束时，应及时提交详细的评估报告、消防安全改进技术建议书，翔鹭石化（漳州）有限公司、腾龙芳烃（漳州）有限公司消防评估纸质报告各一式4份、完整可编辑的电子版一份。评估记录及报告应由评估人员和评估单位签字盖章，所提供的评估报告应符合消防部门的要求。</w:t>
      </w:r>
      <w:r>
        <w:rPr>
          <w:rFonts w:ascii="Times New Roman" w:cs="Times New Roman"/>
          <w:b/>
          <w:bCs/>
          <w:color w:val="auto"/>
        </w:rPr>
        <w:t xml:space="preserve">                             </w:t>
      </w:r>
    </w:p>
    <w:p>
      <w:pPr>
        <w:pStyle w:val="78"/>
        <w:spacing w:line="360" w:lineRule="auto"/>
        <w:ind w:left="240" w:hanging="240" w:hangingChars="100"/>
        <w:rPr>
          <w:rFonts w:asciiTheme="minorEastAsia" w:hAnsiTheme="minorEastAsia" w:eastAsiaTheme="minorEastAsia"/>
          <w:snapToGrid w:val="0"/>
          <w:color w:val="auto"/>
        </w:rPr>
      </w:pPr>
      <w:r>
        <w:rPr>
          <w:rFonts w:ascii="Times New Roman" w:cs="Times New Roman"/>
          <w:color w:val="auto"/>
        </w:rPr>
        <w:t>2.</w:t>
      </w:r>
      <w:r>
        <w:rPr>
          <w:rFonts w:hint="eastAsia" w:ascii="Times New Roman" w:cs="Times New Roman"/>
          <w:color w:val="auto"/>
        </w:rPr>
        <w:t xml:space="preserve"> </w:t>
      </w:r>
      <w:r>
        <w:rPr>
          <w:rFonts w:ascii="Times New Roman" w:cs="Times New Roman"/>
          <w:color w:val="auto"/>
        </w:rPr>
        <w:t>技术咨询工作成果的验收标准：</w:t>
      </w:r>
      <w:r>
        <w:rPr>
          <w:rFonts w:hint="eastAsia" w:asciiTheme="minorEastAsia" w:hAnsiTheme="minorEastAsia" w:eastAsiaTheme="minorEastAsia"/>
          <w:color w:val="auto"/>
        </w:rPr>
        <w:t>评估记录及报告应由评估人员和评估单位签字盖章，所提供的评估报告应符合消防部门的要求。</w:t>
      </w:r>
    </w:p>
    <w:p>
      <w:pPr>
        <w:pStyle w:val="78"/>
        <w:spacing w:line="360" w:lineRule="auto"/>
        <w:rPr>
          <w:rFonts w:ascii="Times New Roman" w:cs="Times New Roman"/>
        </w:rPr>
      </w:pPr>
      <w:r>
        <w:rPr>
          <w:rFonts w:ascii="Times New Roman" w:cs="Times New Roman"/>
        </w:rPr>
        <w:t>3.</w:t>
      </w:r>
      <w:r>
        <w:rPr>
          <w:rFonts w:hint="eastAsia" w:ascii="Times New Roman" w:cs="Times New Roman"/>
        </w:rPr>
        <w:t xml:space="preserve"> </w:t>
      </w:r>
      <w:r>
        <w:rPr>
          <w:rFonts w:ascii="Times New Roman" w:cs="Times New Roman"/>
        </w:rPr>
        <w:t>验收地点：甲方现场指定地点。</w:t>
      </w:r>
    </w:p>
    <w:p>
      <w:pPr>
        <w:pStyle w:val="28"/>
        <w:spacing w:line="360" w:lineRule="auto"/>
        <w:ind w:left="235" w:hanging="235" w:hangingChars="98"/>
        <w:rPr>
          <w:rFonts w:ascii="Times New Roman" w:hAnsi="Times New Roman" w:cs="Times New Roman"/>
          <w:sz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双方确认，甲方的确认仅作为付款</w:t>
      </w:r>
      <w:r>
        <w:rPr>
          <w:rFonts w:ascii="Times New Roman" w:hAnsi="Times New Roman" w:cs="Times New Roman"/>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pPr>
        <w:pStyle w:val="28"/>
        <w:spacing w:beforeLines="50"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八</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双方确定，甲方指定</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邵云中</w:t>
      </w:r>
      <w:r>
        <w:rPr>
          <w:rFonts w:ascii="Times New Roman" w:hAnsi="Times New Roman" w:cs="Times New Roman"/>
          <w:bCs/>
          <w:sz w:val="24"/>
          <w:szCs w:val="24"/>
          <w:u w:val="single"/>
          <w:lang w:eastAsia="zh-CN"/>
        </w:rPr>
        <w:t xml:space="preserve">  电话：</w:t>
      </w:r>
      <w:r>
        <w:rPr>
          <w:rFonts w:hint="eastAsia" w:ascii="Times New Roman" w:hAnsi="Times New Roman" w:cs="Times New Roman"/>
          <w:bCs/>
          <w:sz w:val="24"/>
          <w:szCs w:val="24"/>
          <w:u w:val="single"/>
          <w:lang w:eastAsia="zh-CN"/>
        </w:rPr>
        <w:t>19959614087</w:t>
      </w:r>
      <w:r>
        <w:rPr>
          <w:rFonts w:ascii="Times New Roman" w:hAnsi="Times New Roman" w:cs="Times New Roman"/>
          <w:bCs/>
          <w:sz w:val="24"/>
          <w:szCs w:val="24"/>
          <w:u w:val="single"/>
          <w:lang w:eastAsia="zh-CN"/>
        </w:rPr>
        <w:t xml:space="preserve">  邮箱：</w:t>
      </w:r>
      <w:r>
        <w:rPr>
          <w:rFonts w:hint="eastAsia" w:ascii="Times New Roman" w:hAnsi="Times New Roman" w:cs="Times New Roman"/>
          <w:bCs/>
          <w:sz w:val="24"/>
          <w:szCs w:val="24"/>
          <w:u w:val="single"/>
          <w:lang w:eastAsia="zh-CN"/>
        </w:rPr>
        <w:t>yzshao</w:t>
      </w:r>
      <w:r>
        <w:rPr>
          <w:rFonts w:ascii="Times New Roman" w:hAnsi="Times New Roman" w:cs="Times New Roman"/>
          <w:bCs/>
          <w:sz w:val="24"/>
          <w:szCs w:val="24"/>
          <w:u w:val="single"/>
          <w:lang w:eastAsia="zh-CN"/>
        </w:rPr>
        <w:t>@fhcpec.com.cn</w:t>
      </w:r>
      <w:r>
        <w:rPr>
          <w:rFonts w:ascii="Times New Roman" w:hAnsi="Times New Roman" w:cs="Times New Roman"/>
          <w:sz w:val="24"/>
          <w:szCs w:val="24"/>
          <w:lang w:eastAsia="zh-CN"/>
        </w:rPr>
        <w:t>为甲方项目联系人，乙方指定</w:t>
      </w:r>
      <w:r>
        <w:rPr>
          <w:rFonts w:ascii="Times New Roman" w:hAnsi="Times New Roman" w:cs="Times New Roman"/>
          <w:sz w:val="24"/>
          <w:szCs w:val="24"/>
          <w:u w:val="single"/>
          <w:lang w:eastAsia="zh-CN"/>
        </w:rPr>
        <w:t xml:space="preserve">                         </w:t>
      </w:r>
      <w:r>
        <w:rPr>
          <w:rFonts w:ascii="Times New Roman" w:hAnsi="Times New Roman" w:cs="Times New Roman"/>
          <w:bCs/>
          <w:sz w:val="24"/>
          <w:szCs w:val="24"/>
          <w:u w:val="single"/>
          <w:lang w:eastAsia="zh-CN"/>
        </w:rPr>
        <w:t xml:space="preserve">邮箱：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为乙方项目联系人。项目联系人承担以下责任：</w:t>
      </w:r>
    </w:p>
    <w:p>
      <w:pPr>
        <w:pStyle w:val="28"/>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lang w:eastAsia="zh-CN"/>
        </w:rPr>
        <w:t>联系具体项目进度并实施</w:t>
      </w:r>
      <w:r>
        <w:rPr>
          <w:rFonts w:ascii="Times New Roman" w:hAnsi="Times New Roman" w:cs="Times New Roman"/>
          <w:sz w:val="24"/>
          <w:szCs w:val="24"/>
          <w:lang w:eastAsia="zh-CN"/>
        </w:rPr>
        <w:t xml:space="preserve">。 </w:t>
      </w:r>
    </w:p>
    <w:p>
      <w:pPr>
        <w:pStyle w:val="28"/>
        <w:spacing w:line="360" w:lineRule="auto"/>
        <w:ind w:left="240" w:hanging="240" w:hangingChars="100"/>
        <w:rPr>
          <w:rFonts w:ascii="Times New Roman" w:hAnsi="Times New Roman" w:cs="Times New Roman"/>
          <w:sz w:val="24"/>
          <w:szCs w:val="24"/>
          <w:lang w:eastAsia="zh-CN"/>
        </w:rPr>
      </w:pPr>
      <w:r>
        <w:rPr>
          <w:rFonts w:ascii="Times New Roman" w:hAnsi="Times New Roman" w:cs="Times New Roman"/>
          <w:sz w:val="24"/>
          <w:szCs w:val="24"/>
          <w:lang w:eastAsia="zh-CN"/>
        </w:rPr>
        <w:t>2.一方变更项目联系人的，应当及时以书面形式通知另一方。未及时通知并影响本合同履行或造成损失的，应承担相应的责任。</w:t>
      </w:r>
    </w:p>
    <w:p>
      <w:pPr>
        <w:pStyle w:val="28"/>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八</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甲乙双方的责任和义务</w:t>
      </w:r>
    </w:p>
    <w:p>
      <w:pPr>
        <w:spacing w:line="360" w:lineRule="auto"/>
        <w:ind w:left="274" w:hanging="273" w:hangingChars="114"/>
        <w:rPr>
          <w:rStyle w:val="83"/>
          <w:rFonts w:ascii="Times New Roman" w:hAnsi="Times New Roman" w:cs="Times New Roman"/>
          <w:bCs/>
          <w:sz w:val="24"/>
          <w:lang w:eastAsia="zh-CN"/>
        </w:rPr>
      </w:pPr>
      <w:r>
        <w:rPr>
          <w:rStyle w:val="83"/>
          <w:rFonts w:ascii="Times New Roman" w:hAnsi="Times New Roman" w:cs="Times New Roman"/>
          <w:bCs/>
          <w:color w:val="000000"/>
          <w:sz w:val="24"/>
          <w:lang w:eastAsia="zh-CN"/>
        </w:rPr>
        <w:t>1. 乙方如若逾期完成，每日应向甲方支付违约金为合同价格的 1%，逾期超过</w:t>
      </w:r>
      <w:r>
        <w:rPr>
          <w:rFonts w:ascii="Times New Roman" w:hAnsi="Times New Roman" w:cs="Times New Roman"/>
          <w:bCs/>
          <w:sz w:val="24"/>
          <w:u w:val="single"/>
          <w:lang w:eastAsia="zh-CN"/>
        </w:rPr>
        <w:t xml:space="preserve"> 三 </w:t>
      </w:r>
      <w:r>
        <w:rPr>
          <w:rStyle w:val="83"/>
          <w:rFonts w:ascii="Times New Roman" w:hAnsi="Times New Roman" w:cs="Times New Roman"/>
          <w:bCs/>
          <w:color w:val="000000"/>
          <w:sz w:val="24"/>
          <w:lang w:eastAsia="zh-CN"/>
        </w:rPr>
        <w:t>日的，甲方还有权解除本合同并要求乙方退还已经收取的费用及占用期间利息，乙方还需支付甲方合同总</w:t>
      </w:r>
      <w:r>
        <w:rPr>
          <w:rStyle w:val="83"/>
          <w:rFonts w:ascii="Times New Roman" w:hAnsi="Times New Roman" w:cs="Times New Roman"/>
          <w:bCs/>
          <w:sz w:val="24"/>
          <w:lang w:eastAsia="zh-CN"/>
        </w:rPr>
        <w:t>额 5 %的违约金</w:t>
      </w:r>
      <w:r>
        <w:rPr>
          <w:rStyle w:val="83"/>
          <w:rFonts w:hint="eastAsia" w:ascii="Times New Roman" w:hAnsi="Times New Roman" w:cs="Times New Roman"/>
          <w:bCs/>
          <w:sz w:val="24"/>
          <w:lang w:eastAsia="zh-CN"/>
        </w:rPr>
        <w:t>，违约金不足以弥补甲方损失的，甲方有权追偿</w:t>
      </w:r>
      <w:r>
        <w:rPr>
          <w:rStyle w:val="83"/>
          <w:rFonts w:ascii="Times New Roman" w:hAnsi="Times New Roman" w:cs="Times New Roman"/>
          <w:bCs/>
          <w:sz w:val="24"/>
          <w:lang w:eastAsia="zh-CN"/>
        </w:rPr>
        <w:t>。</w:t>
      </w:r>
    </w:p>
    <w:p>
      <w:pPr>
        <w:pStyle w:val="28"/>
        <w:spacing w:line="360" w:lineRule="auto"/>
        <w:ind w:left="274" w:hanging="273" w:hangingChars="114"/>
        <w:rPr>
          <w:rStyle w:val="83"/>
          <w:rFonts w:ascii="Times New Roman" w:hAnsi="Times New Roman" w:cs="Times New Roman"/>
          <w:bCs/>
          <w:sz w:val="24"/>
          <w:szCs w:val="24"/>
          <w:lang w:eastAsia="zh-CN"/>
        </w:rPr>
      </w:pPr>
      <w:r>
        <w:rPr>
          <w:rStyle w:val="83"/>
          <w:rFonts w:ascii="Times New Roman" w:hAnsi="Times New Roman" w:cs="Times New Roman"/>
          <w:bCs/>
          <w:sz w:val="24"/>
          <w:szCs w:val="24"/>
          <w:lang w:eastAsia="zh-CN"/>
        </w:rPr>
        <w:t>2. 乙方提交的服务咨询报告不符合合同约定的，应在甲方指定期限内修改完善直至符合合同约定为止，由此造成逾期提交的，按照第1款约定执行。</w:t>
      </w:r>
    </w:p>
    <w:p>
      <w:pPr>
        <w:pStyle w:val="28"/>
        <w:spacing w:line="360" w:lineRule="auto"/>
        <w:ind w:left="274" w:hanging="273" w:hangingChars="114"/>
        <w:rPr>
          <w:rStyle w:val="83"/>
          <w:rFonts w:ascii="Times New Roman" w:hAnsi="Times New Roman" w:cs="Times New Roman"/>
          <w:bCs/>
          <w:sz w:val="24"/>
          <w:szCs w:val="24"/>
          <w:lang w:eastAsia="zh-CN"/>
        </w:rPr>
      </w:pPr>
      <w:r>
        <w:rPr>
          <w:rStyle w:val="83"/>
          <w:rFonts w:ascii="Times New Roman" w:hAnsi="Times New Roman" w:cs="Times New Roman"/>
          <w:bCs/>
          <w:sz w:val="24"/>
          <w:szCs w:val="24"/>
          <w:lang w:eastAsia="zh-CN"/>
        </w:rPr>
        <w:t>3. 任何一方违反保密义务的，应向对方支付违约金人民币</w:t>
      </w:r>
      <w:r>
        <w:rPr>
          <w:rFonts w:ascii="Times New Roman" w:hAnsi="Times New Roman" w:cs="Times New Roman"/>
          <w:bCs/>
          <w:sz w:val="24"/>
          <w:szCs w:val="24"/>
          <w:u w:val="single"/>
          <w:lang w:eastAsia="zh-CN"/>
        </w:rPr>
        <w:t xml:space="preserve"> 壹万 </w:t>
      </w:r>
      <w:r>
        <w:rPr>
          <w:rStyle w:val="83"/>
          <w:rFonts w:ascii="Times New Roman" w:hAnsi="Times New Roman" w:cs="Times New Roman"/>
          <w:bCs/>
          <w:sz w:val="24"/>
          <w:szCs w:val="24"/>
          <w:lang w:eastAsia="zh-CN"/>
        </w:rPr>
        <w:t>元；并赔偿由此给对方造成的损失。</w:t>
      </w:r>
    </w:p>
    <w:p>
      <w:pPr>
        <w:pStyle w:val="28"/>
        <w:spacing w:line="360" w:lineRule="auto"/>
        <w:ind w:left="274" w:hanging="273" w:hangingChars="114"/>
        <w:rPr>
          <w:rStyle w:val="83"/>
          <w:rFonts w:ascii="Times New Roman" w:hAnsi="Times New Roman" w:cs="Times New Roman"/>
          <w:bCs/>
          <w:sz w:val="24"/>
          <w:szCs w:val="24"/>
          <w:lang w:eastAsia="zh-CN"/>
        </w:rPr>
      </w:pPr>
      <w:r>
        <w:rPr>
          <w:rStyle w:val="83"/>
          <w:rFonts w:ascii="Times New Roman" w:hAnsi="Times New Roman" w:cs="Times New Roman"/>
          <w:bCs/>
          <w:sz w:val="24"/>
          <w:szCs w:val="24"/>
          <w:lang w:eastAsia="zh-CN"/>
        </w:rPr>
        <w:t>4. 任何一方无正当理由单方解除合同的，应向对方支付合同总额5%的违约金，并赔偿对方的损失。</w:t>
      </w:r>
    </w:p>
    <w:p>
      <w:pPr>
        <w:pStyle w:val="28"/>
        <w:spacing w:line="360" w:lineRule="auto"/>
        <w:ind w:left="274" w:hanging="273" w:hangingChars="114"/>
        <w:rPr>
          <w:rStyle w:val="83"/>
          <w:rFonts w:ascii="Times New Roman" w:hAnsi="Times New Roman" w:cs="Times New Roman"/>
          <w:bCs/>
          <w:sz w:val="24"/>
          <w:szCs w:val="24"/>
          <w:lang w:eastAsia="zh-CN"/>
        </w:rPr>
      </w:pPr>
      <w:r>
        <w:rPr>
          <w:rStyle w:val="83"/>
          <w:rFonts w:ascii="Times New Roman" w:hAnsi="Times New Roman" w:cs="Times New Roman"/>
          <w:bCs/>
          <w:sz w:val="24"/>
          <w:szCs w:val="24"/>
          <w:lang w:eastAsia="zh-CN"/>
        </w:rPr>
        <w:t>5. 若乙方在履行合同过程中存在弄虚作假的情形，甲方有权单方解除合同，乙方应退还已收取的费用及占用期间利息，并支付甲方合同总额</w:t>
      </w:r>
      <w:r>
        <w:rPr>
          <w:rStyle w:val="83"/>
          <w:rFonts w:hint="eastAsia" w:ascii="Times New Roman" w:hAnsi="Times New Roman" w:cs="Times New Roman"/>
          <w:bCs/>
          <w:sz w:val="24"/>
          <w:szCs w:val="24"/>
          <w:lang w:eastAsia="zh-CN"/>
        </w:rPr>
        <w:t>20</w:t>
      </w:r>
      <w:r>
        <w:rPr>
          <w:rStyle w:val="83"/>
          <w:rFonts w:ascii="Times New Roman" w:hAnsi="Times New Roman" w:cs="Times New Roman"/>
          <w:bCs/>
          <w:sz w:val="24"/>
          <w:szCs w:val="24"/>
          <w:lang w:eastAsia="zh-CN"/>
        </w:rPr>
        <w:t>%的违约金</w:t>
      </w:r>
      <w:r>
        <w:rPr>
          <w:rStyle w:val="83"/>
          <w:rFonts w:hint="eastAsia" w:ascii="Times New Roman" w:hAnsi="Times New Roman" w:cs="Times New Roman"/>
          <w:bCs/>
          <w:sz w:val="24"/>
          <w:szCs w:val="24"/>
          <w:lang w:eastAsia="zh-CN"/>
        </w:rPr>
        <w:t>，违约金</w:t>
      </w:r>
      <w:r>
        <w:rPr>
          <w:rStyle w:val="83"/>
          <w:rFonts w:hint="eastAsia" w:ascii="Times New Roman" w:hAnsi="Times New Roman" w:cs="Times New Roman"/>
          <w:bCs/>
          <w:sz w:val="24"/>
          <w:lang w:eastAsia="zh-CN"/>
        </w:rPr>
        <w:t>不足以弥补甲方损失的，甲方有权追偿</w:t>
      </w:r>
      <w:r>
        <w:rPr>
          <w:rStyle w:val="83"/>
          <w:rFonts w:ascii="Times New Roman" w:hAnsi="Times New Roman" w:cs="Times New Roman"/>
          <w:bCs/>
          <w:sz w:val="24"/>
          <w:szCs w:val="24"/>
          <w:lang w:eastAsia="zh-CN"/>
        </w:rPr>
        <w:t>。</w:t>
      </w:r>
    </w:p>
    <w:p>
      <w:pPr>
        <w:pStyle w:val="28"/>
        <w:spacing w:line="360" w:lineRule="auto"/>
        <w:ind w:left="274" w:hanging="273" w:hangingChars="114"/>
        <w:rPr>
          <w:rStyle w:val="83"/>
          <w:rFonts w:ascii="Times New Roman" w:hAnsi="Times New Roman" w:cs="Times New Roman"/>
          <w:bCs/>
          <w:color w:val="000000"/>
          <w:sz w:val="24"/>
          <w:szCs w:val="24"/>
          <w:lang w:eastAsia="zh-CN"/>
        </w:rPr>
      </w:pPr>
      <w:r>
        <w:rPr>
          <w:rStyle w:val="83"/>
          <w:rFonts w:ascii="Times New Roman" w:hAnsi="Times New Roman" w:cs="Times New Roman"/>
          <w:bCs/>
          <w:sz w:val="24"/>
          <w:szCs w:val="24"/>
          <w:lang w:eastAsia="zh-CN"/>
        </w:rPr>
        <w:t>6. 乙方进入甲方现场服务期间，因不可归责于甲方的原因造成甲方、</w:t>
      </w:r>
      <w:r>
        <w:rPr>
          <w:rStyle w:val="83"/>
          <w:rFonts w:ascii="Times New Roman" w:hAnsi="Times New Roman" w:cs="Times New Roman"/>
          <w:bCs/>
          <w:color w:val="000000"/>
          <w:sz w:val="24"/>
          <w:szCs w:val="24"/>
          <w:lang w:eastAsia="zh-CN"/>
        </w:rPr>
        <w:t>乙方或任何第三方人身财产损失的，由乙方承担全部责任。</w:t>
      </w:r>
    </w:p>
    <w:p>
      <w:pPr>
        <w:pStyle w:val="28"/>
        <w:spacing w:line="360" w:lineRule="auto"/>
        <w:ind w:left="274" w:hanging="273" w:hangingChars="114"/>
        <w:rPr>
          <w:rStyle w:val="83"/>
          <w:rFonts w:ascii="Times New Roman" w:hAnsi="Times New Roman" w:cs="Times New Roman"/>
          <w:bCs/>
          <w:color w:val="000000"/>
          <w:sz w:val="24"/>
          <w:szCs w:val="24"/>
          <w:lang w:eastAsia="zh-CN"/>
        </w:rPr>
      </w:pPr>
      <w:r>
        <w:rPr>
          <w:rStyle w:val="83"/>
          <w:rFonts w:ascii="Times New Roman" w:hAnsi="Times New Roman" w:cs="Times New Roman"/>
          <w:bCs/>
          <w:color w:val="000000"/>
          <w:sz w:val="24"/>
          <w:szCs w:val="24"/>
          <w:lang w:eastAsia="zh-CN"/>
        </w:rPr>
        <w:t>7. 甲方已就本合同项下涉及乙方重大利害关系的条款向乙方作出详细说明，乙方充分理解上述条款含义，并自愿签订本合同。</w:t>
      </w:r>
    </w:p>
    <w:p>
      <w:pPr>
        <w:pStyle w:val="28"/>
        <w:spacing w:beforeLines="50"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w:t>
      </w:r>
      <w:r>
        <w:rPr>
          <w:rFonts w:hint="eastAsia" w:ascii="Times New Roman" w:hAnsi="Times New Roman" w:cs="Times New Roman"/>
          <w:b/>
          <w:bCs/>
          <w:sz w:val="24"/>
          <w:szCs w:val="24"/>
          <w:lang w:eastAsia="zh-CN"/>
        </w:rPr>
        <w:t>九</w:t>
      </w:r>
      <w:r>
        <w:rPr>
          <w:rFonts w:ascii="Times New Roman" w:hAnsi="Times New Roman" w:cs="Times New Roman"/>
          <w:b/>
          <w:bCs/>
          <w:sz w:val="24"/>
          <w:szCs w:val="24"/>
          <w:lang w:eastAsia="zh-CN"/>
        </w:rPr>
        <w:t xml:space="preserve">条 </w:t>
      </w:r>
      <w:r>
        <w:rPr>
          <w:rFonts w:ascii="Times New Roman" w:hAnsi="Times New Roman" w:cs="Times New Roman"/>
          <w:sz w:val="24"/>
          <w:szCs w:val="24"/>
          <w:lang w:eastAsia="zh-CN"/>
        </w:rPr>
        <w:t xml:space="preserve"> 双方因履行本合同而发生的争议，可协商、调解解决，也可直接向甲方所在地人民法院提起诉讼。</w:t>
      </w:r>
    </w:p>
    <w:p>
      <w:pPr>
        <w:pStyle w:val="28"/>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第十条 其他</w:t>
      </w:r>
    </w:p>
    <w:p>
      <w:pPr>
        <w:pStyle w:val="28"/>
        <w:spacing w:line="360" w:lineRule="auto"/>
        <w:ind w:left="238" w:leftChars="9" w:hanging="218" w:hangingChars="91"/>
        <w:rPr>
          <w:rStyle w:val="83"/>
          <w:rFonts w:ascii="Times New Roman" w:hAnsi="Times New Roman" w:cs="Times New Roman"/>
          <w:color w:val="000000"/>
          <w:sz w:val="24"/>
          <w:szCs w:val="24"/>
          <w:lang w:eastAsia="zh-CN"/>
        </w:rPr>
      </w:pPr>
      <w:r>
        <w:rPr>
          <w:rStyle w:val="83"/>
          <w:rFonts w:ascii="Times New Roman" w:hAnsi="Times New Roman" w:cs="Times New Roman"/>
          <w:color w:val="000000"/>
          <w:sz w:val="24"/>
          <w:szCs w:val="24"/>
          <w:lang w:eastAsia="zh-CN"/>
        </w:rPr>
        <w:t>1.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8"/>
        <w:spacing w:line="360" w:lineRule="auto"/>
        <w:ind w:left="238" w:leftChars="9"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8"/>
        <w:spacing w:line="360" w:lineRule="auto"/>
        <w:ind w:left="238" w:leftChars="9"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3.</w:t>
      </w:r>
      <w:r>
        <w:rPr>
          <w:rStyle w:val="83"/>
          <w:rFonts w:ascii="Times New Roman" w:hAnsi="Times New Roman" w:cs="Times New Roman"/>
          <w:color w:val="000000"/>
          <w:sz w:val="24"/>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1《安全环保协议》，作为主合同的附件。</w:t>
      </w:r>
    </w:p>
    <w:p>
      <w:pPr>
        <w:pStyle w:val="28"/>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第十</w:t>
      </w:r>
      <w:r>
        <w:rPr>
          <w:rFonts w:hint="eastAsia" w:ascii="Times New Roman" w:hAnsi="Times New Roman" w:cs="Times New Roman"/>
          <w:b/>
          <w:sz w:val="24"/>
          <w:szCs w:val="24"/>
          <w:lang w:eastAsia="zh-CN"/>
        </w:rPr>
        <w:t>一</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保险</w:t>
      </w:r>
    </w:p>
    <w:p>
      <w:pPr>
        <w:pStyle w:val="28"/>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28"/>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w:t>
      </w:r>
      <w:r>
        <w:rPr>
          <w:rFonts w:hint="eastAsia" w:ascii="Times New Roman" w:hAnsi="Times New Roman" w:cs="Times New Roman"/>
          <w:b/>
          <w:bCs/>
          <w:sz w:val="24"/>
          <w:szCs w:val="24"/>
          <w:lang w:eastAsia="zh-CN"/>
        </w:rPr>
        <w:t>二</w:t>
      </w:r>
      <w:r>
        <w:rPr>
          <w:rFonts w:ascii="Times New Roman" w:hAnsi="Times New Roman" w:cs="Times New Roman"/>
          <w:b/>
          <w:bCs/>
          <w:sz w:val="24"/>
          <w:szCs w:val="24"/>
          <w:lang w:eastAsia="zh-CN"/>
        </w:rPr>
        <w:t>条 本合同经双方盖章后生效。本合同一式</w:t>
      </w:r>
      <w:r>
        <w:rPr>
          <w:rFonts w:hint="eastAsia" w:ascii="Times New Roman" w:hAnsi="Times New Roman" w:cs="Times New Roman"/>
          <w:b/>
          <w:bCs/>
          <w:sz w:val="24"/>
          <w:szCs w:val="24"/>
          <w:lang w:eastAsia="zh-CN"/>
        </w:rPr>
        <w:t>捌</w:t>
      </w:r>
      <w:r>
        <w:rPr>
          <w:rFonts w:ascii="Times New Roman" w:hAnsi="Times New Roman" w:cs="Times New Roman"/>
          <w:b/>
          <w:bCs/>
          <w:sz w:val="24"/>
          <w:szCs w:val="24"/>
          <w:lang w:eastAsia="zh-CN"/>
        </w:rPr>
        <w:t>份，甲方执</w:t>
      </w:r>
      <w:r>
        <w:rPr>
          <w:rFonts w:hint="eastAsia" w:ascii="Times New Roman" w:hAnsi="Times New Roman" w:cs="Times New Roman"/>
          <w:b/>
          <w:bCs/>
          <w:sz w:val="24"/>
          <w:szCs w:val="24"/>
          <w:lang w:eastAsia="zh-CN"/>
        </w:rPr>
        <w:t>陆</w:t>
      </w:r>
      <w:r>
        <w:rPr>
          <w:rFonts w:ascii="Times New Roman" w:hAnsi="Times New Roman" w:cs="Times New Roman"/>
          <w:b/>
          <w:bCs/>
          <w:sz w:val="24"/>
          <w:szCs w:val="24"/>
          <w:lang w:eastAsia="zh-CN"/>
        </w:rPr>
        <w:t>份，乙方执</w:t>
      </w:r>
      <w:r>
        <w:rPr>
          <w:rFonts w:hint="eastAsia" w:ascii="Times New Roman" w:hAnsi="Times New Roman" w:cs="Times New Roman"/>
          <w:b/>
          <w:bCs/>
          <w:sz w:val="24"/>
          <w:szCs w:val="24"/>
          <w:lang w:eastAsia="zh-CN"/>
        </w:rPr>
        <w:t>贰</w:t>
      </w:r>
      <w:r>
        <w:rPr>
          <w:rFonts w:ascii="Times New Roman" w:hAnsi="Times New Roman" w:cs="Times New Roman"/>
          <w:b/>
          <w:bCs/>
          <w:sz w:val="24"/>
          <w:szCs w:val="24"/>
          <w:lang w:eastAsia="zh-CN"/>
        </w:rPr>
        <w:t>份，具有同等法律效力。</w:t>
      </w:r>
    </w:p>
    <w:p>
      <w:pPr>
        <w:tabs>
          <w:tab w:val="left" w:pos="2010"/>
        </w:tabs>
        <w:spacing w:line="360" w:lineRule="auto"/>
        <w:rPr>
          <w:rFonts w:ascii="Times New Roman" w:hAnsi="Times New Roman" w:cs="Times New Roman"/>
          <w:sz w:val="24"/>
          <w:lang w:eastAsia="zh-CN"/>
        </w:rPr>
      </w:pPr>
      <w:r>
        <w:rPr>
          <w:rFonts w:ascii="Times New Roman" w:hAnsi="Times New Roman" w:cs="Times New Roman"/>
          <w:b/>
          <w:sz w:val="24"/>
          <w:lang w:eastAsia="zh-CN"/>
        </w:rPr>
        <w:t>第十</w:t>
      </w:r>
      <w:r>
        <w:rPr>
          <w:rFonts w:hint="eastAsia" w:ascii="Times New Roman" w:hAnsi="Times New Roman" w:cs="Times New Roman"/>
          <w:b/>
          <w:sz w:val="24"/>
          <w:lang w:eastAsia="zh-CN"/>
        </w:rPr>
        <w:t>三</w:t>
      </w:r>
      <w:r>
        <w:rPr>
          <w:rFonts w:ascii="Times New Roman" w:hAnsi="Times New Roman" w:cs="Times New Roman"/>
          <w:b/>
          <w:sz w:val="24"/>
          <w:lang w:eastAsia="zh-CN"/>
        </w:rPr>
        <w:t>条</w:t>
      </w:r>
      <w:r>
        <w:rPr>
          <w:rFonts w:ascii="Times New Roman" w:hAnsi="Times New Roman" w:cs="Times New Roman"/>
          <w:sz w:val="24"/>
          <w:lang w:eastAsia="zh-CN"/>
        </w:rPr>
        <w:t xml:space="preserve"> .附件及双方往来的有效书面文件与合同共同具备法律效力。</w:t>
      </w:r>
    </w:p>
    <w:p>
      <w:pPr>
        <w:tabs>
          <w:tab w:val="left" w:pos="2010"/>
        </w:tabs>
        <w:spacing w:line="360" w:lineRule="auto"/>
        <w:ind w:firstLine="360" w:firstLineChars="150"/>
        <w:rPr>
          <w:rFonts w:ascii="Times New Roman" w:hAnsi="Times New Roman" w:cs="Times New Roman"/>
          <w:sz w:val="24"/>
          <w:lang w:eastAsia="zh-CN"/>
        </w:rPr>
      </w:pPr>
      <w:r>
        <w:rPr>
          <w:rFonts w:ascii="Times New Roman" w:hAnsi="Times New Roman" w:cs="Times New Roman"/>
          <w:sz w:val="24"/>
          <w:lang w:eastAsia="zh-CN"/>
        </w:rPr>
        <w:t>本合同未尽事宜，如需更改经双方协商后可另签补充协议。</w:t>
      </w:r>
    </w:p>
    <w:p>
      <w:pPr>
        <w:spacing w:line="360" w:lineRule="auto"/>
        <w:rPr>
          <w:rFonts w:ascii="Times New Roman" w:hAnsi="Times New Roman" w:cs="Times New Roman"/>
          <w:sz w:val="24"/>
          <w:szCs w:val="24"/>
          <w:highlight w:val="yellow"/>
          <w:lang w:eastAsia="zh-CN"/>
        </w:rPr>
      </w:pPr>
    </w:p>
    <w:p>
      <w:pPr>
        <w:spacing w:line="360" w:lineRule="auto"/>
        <w:rPr>
          <w:rFonts w:ascii="Times New Roman" w:hAnsi="Times New Roman" w:cs="Times New Roman"/>
          <w:b/>
          <w:sz w:val="24"/>
          <w:szCs w:val="24"/>
          <w:lang w:eastAsia="zh-CN"/>
        </w:rPr>
      </w:pPr>
      <w:r>
        <w:rPr>
          <w:rFonts w:ascii="Times New Roman" w:hAnsi="Times New Roman" w:cs="Times New Roman"/>
          <w:sz w:val="24"/>
          <w:szCs w:val="24"/>
          <w:lang w:eastAsia="zh-CN"/>
        </w:rPr>
        <w:t>以下无正文。</w:t>
      </w:r>
    </w:p>
    <w:p>
      <w:pPr>
        <w:pStyle w:val="59"/>
        <w:spacing w:line="360" w:lineRule="auto"/>
        <w:rPr>
          <w:rFonts w:ascii="Times New Roman" w:hAnsi="Times New Roman"/>
        </w:rPr>
      </w:pPr>
    </w:p>
    <w:p>
      <w:pPr>
        <w:pStyle w:val="28"/>
        <w:spacing w:line="360" w:lineRule="auto"/>
        <w:rPr>
          <w:rFonts w:ascii="Times New Roman" w:hAnsi="Times New Roman" w:cs="Times New Roman"/>
          <w:sz w:val="24"/>
          <w:szCs w:val="24"/>
          <w:lang w:eastAsia="zh-CN"/>
        </w:rPr>
      </w:pPr>
    </w:p>
    <w:p>
      <w:pPr>
        <w:widowControl/>
        <w:rPr>
          <w:rFonts w:ascii="Times New Roman" w:hAnsi="Times New Roman" w:cs="Times New Roman"/>
          <w:b/>
          <w:sz w:val="24"/>
          <w:szCs w:val="24"/>
          <w:lang w:eastAsia="zh-CN"/>
        </w:rPr>
      </w:pPr>
    </w:p>
    <w:p>
      <w:pPr>
        <w:widowControl/>
        <w:rPr>
          <w:rFonts w:ascii="Times New Roman" w:hAnsi="Times New Roman" w:cs="Times New Roman"/>
          <w:b/>
          <w:sz w:val="24"/>
          <w:szCs w:val="24"/>
          <w:lang w:eastAsia="zh-CN"/>
        </w:rPr>
      </w:pPr>
      <w:r>
        <w:rPr>
          <w:rFonts w:ascii="Times New Roman" w:hAnsi="Times New Roman" w:cs="Times New Roman"/>
          <w:b/>
          <w:sz w:val="24"/>
          <w:szCs w:val="24"/>
          <w:lang w:eastAsia="zh-CN"/>
        </w:rPr>
        <w:t>甲方</w:t>
      </w:r>
      <w:r>
        <w:rPr>
          <w:rFonts w:hint="eastAsia" w:ascii="Times New Roman" w:hAnsi="Times New Roman" w:cs="Times New Roman"/>
          <w:b/>
          <w:sz w:val="24"/>
          <w:szCs w:val="24"/>
          <w:lang w:eastAsia="zh-CN"/>
        </w:rPr>
        <w:t>1</w:t>
      </w:r>
      <w:r>
        <w:rPr>
          <w:rFonts w:ascii="Times New Roman" w:hAnsi="Times New Roman" w:cs="Times New Roman"/>
          <w:b/>
          <w:sz w:val="24"/>
          <w:szCs w:val="24"/>
          <w:lang w:eastAsia="zh-CN"/>
        </w:rPr>
        <w:t xml:space="preserve">: 腾龙芳烃（漳州）有限公司        </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乙方：</w:t>
      </w:r>
    </w:p>
    <w:p>
      <w:pPr>
        <w:widowControl/>
        <w:spacing w:line="480" w:lineRule="auto"/>
        <w:ind w:firstLine="723" w:firstLineChars="300"/>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账号：162070100100021071        </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账号：</w:t>
      </w:r>
    </w:p>
    <w:p>
      <w:pPr>
        <w:pStyle w:val="59"/>
        <w:ind w:firstLine="723" w:firstLineChars="300"/>
        <w:rPr>
          <w:b/>
          <w:bCs/>
          <w:sz w:val="24"/>
          <w:szCs w:val="24"/>
        </w:rPr>
      </w:pPr>
      <w:r>
        <w:rPr>
          <w:rFonts w:ascii="Times New Roman" w:hAnsi="Times New Roman"/>
          <w:b/>
          <w:sz w:val="24"/>
          <w:szCs w:val="24"/>
        </w:rPr>
        <w:t xml:space="preserve">开户行：兴业银行漳州古雷支行     </w:t>
      </w:r>
      <w:r>
        <w:rPr>
          <w:rFonts w:hint="eastAsia" w:ascii="Times New Roman" w:hAnsi="Times New Roman"/>
          <w:b/>
          <w:sz w:val="24"/>
          <w:szCs w:val="24"/>
        </w:rPr>
        <w:t xml:space="preserve">        </w:t>
      </w:r>
      <w:r>
        <w:rPr>
          <w:rFonts w:ascii="Times New Roman" w:hAnsi="Times New Roman"/>
          <w:b/>
          <w:sz w:val="24"/>
          <w:szCs w:val="24"/>
        </w:rPr>
        <w:t xml:space="preserve"> 开户行：</w:t>
      </w:r>
    </w:p>
    <w:p>
      <w:pPr>
        <w:widowControl/>
        <w:spacing w:line="48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p>
    <w:p>
      <w:pPr>
        <w:pStyle w:val="59"/>
      </w:pPr>
    </w:p>
    <w:p>
      <w:pPr>
        <w:widowControl/>
        <w:spacing w:line="480" w:lineRule="auto"/>
        <w:ind w:firstLine="39" w:firstLineChars="16"/>
        <w:rPr>
          <w:rFonts w:ascii="Times New Roman" w:hAnsi="Times New Roman" w:cs="Times New Roman"/>
          <w:b/>
          <w:sz w:val="24"/>
          <w:szCs w:val="24"/>
          <w:lang w:eastAsia="zh-CN"/>
        </w:rPr>
      </w:pPr>
      <w:r>
        <w:rPr>
          <w:rFonts w:ascii="Times New Roman" w:hAnsi="Times New Roman" w:cs="Times New Roman"/>
          <w:b/>
          <w:sz w:val="24"/>
          <w:szCs w:val="24"/>
          <w:lang w:eastAsia="zh-CN"/>
        </w:rPr>
        <w:t>甲方</w:t>
      </w:r>
      <w:r>
        <w:rPr>
          <w:rFonts w:hint="eastAsia" w:ascii="Times New Roman" w:hAnsi="Times New Roman" w:cs="Times New Roman"/>
          <w:b/>
          <w:sz w:val="24"/>
          <w:szCs w:val="24"/>
          <w:lang w:eastAsia="zh-CN"/>
        </w:rPr>
        <w:t>2</w:t>
      </w:r>
      <w:r>
        <w:rPr>
          <w:rFonts w:ascii="Times New Roman" w:hAnsi="Times New Roman" w:cs="Times New Roman"/>
          <w:b/>
          <w:sz w:val="24"/>
          <w:szCs w:val="24"/>
          <w:lang w:eastAsia="zh-CN"/>
        </w:rPr>
        <w:t xml:space="preserve">: 翔鹭石化（漳州）有限公司   </w:t>
      </w:r>
    </w:p>
    <w:p>
      <w:pPr>
        <w:widowControl/>
        <w:spacing w:line="360" w:lineRule="auto"/>
        <w:ind w:firstLine="723" w:firstLineChars="300"/>
        <w:rPr>
          <w:rFonts w:ascii="Times New Roman" w:hAnsi="Times New Roman" w:cs="Times New Roman"/>
          <w:b/>
          <w:sz w:val="24"/>
          <w:szCs w:val="24"/>
          <w:lang w:eastAsia="zh-CN"/>
        </w:rPr>
      </w:pPr>
      <w:r>
        <w:rPr>
          <w:rFonts w:ascii="Times New Roman" w:hAnsi="Times New Roman" w:cs="Times New Roman"/>
          <w:b/>
          <w:sz w:val="24"/>
          <w:szCs w:val="24"/>
          <w:lang w:eastAsia="zh-CN"/>
        </w:rPr>
        <w:t>账号：162070100100021585</w:t>
      </w:r>
    </w:p>
    <w:p>
      <w:pPr>
        <w:widowControl/>
        <w:spacing w:line="360" w:lineRule="auto"/>
        <w:ind w:firstLine="723" w:firstLineChars="300"/>
        <w:rPr>
          <w:rFonts w:ascii="Times New Roman" w:hAnsi="Times New Roman" w:cs="Times New Roman"/>
          <w:b/>
          <w:sz w:val="24"/>
          <w:szCs w:val="24"/>
          <w:lang w:eastAsia="zh-CN"/>
        </w:rPr>
      </w:pPr>
      <w:r>
        <w:rPr>
          <w:rFonts w:ascii="Times New Roman" w:hAnsi="Times New Roman" w:cs="Times New Roman"/>
          <w:b/>
          <w:sz w:val="24"/>
          <w:szCs w:val="24"/>
          <w:lang w:eastAsia="zh-CN"/>
        </w:rPr>
        <w:t>开户行：兴业银行漳州古雷支行</w:t>
      </w:r>
    </w:p>
    <w:p>
      <w:pPr>
        <w:pStyle w:val="28"/>
        <w:spacing w:line="360" w:lineRule="auto"/>
        <w:rPr>
          <w:rFonts w:ascii="Times New Roman" w:hAnsi="Times New Roman" w:cs="Times New Roman"/>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pStyle w:val="2"/>
        <w:rPr>
          <w:sz w:val="28"/>
          <w:szCs w:val="28"/>
        </w:rPr>
      </w:pPr>
    </w:p>
    <w:p>
      <w:pPr>
        <w:pStyle w:val="4"/>
      </w:pPr>
    </w:p>
    <w:p>
      <w:pPr>
        <w:widowControl/>
        <w:autoSpaceDE/>
        <w:autoSpaceDN/>
        <w:spacing w:line="36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附件1、安全环保协议书</w:t>
      </w:r>
    </w:p>
    <w:p>
      <w:pPr>
        <w:spacing w:line="360" w:lineRule="auto"/>
        <w:rPr>
          <w:rFonts w:ascii="Times New Roman" w:hAnsi="Times New Roman" w:cs="Times New Roman"/>
          <w:b/>
          <w:sz w:val="24"/>
          <w:szCs w:val="24"/>
          <w:lang w:eastAsia="zh-CN"/>
        </w:rPr>
      </w:pPr>
      <w:r>
        <w:rPr>
          <w:rFonts w:ascii="Times New Roman" w:hAnsi="Times New Roman" w:cs="Times New Roman"/>
          <w:sz w:val="24"/>
          <w:szCs w:val="24"/>
          <w:lang w:eastAsia="zh-CN"/>
        </w:rPr>
        <w:t>甲方</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（委托方）：</w:t>
      </w:r>
      <w:r>
        <w:rPr>
          <w:rFonts w:ascii="Times New Roman" w:hAnsi="Times New Roman" w:cs="Times New Roman"/>
          <w:b/>
          <w:sz w:val="24"/>
          <w:szCs w:val="24"/>
          <w:lang w:eastAsia="zh-CN"/>
        </w:rPr>
        <w:t>腾龙芳烃（漳州）有限公司</w:t>
      </w:r>
    </w:p>
    <w:p>
      <w:pPr>
        <w:spacing w:line="360" w:lineRule="auto"/>
        <w:rPr>
          <w:rFonts w:ascii="Times New Roman" w:hAnsi="Times New Roman" w:cs="Times New Roman"/>
          <w:b/>
          <w:sz w:val="24"/>
          <w:szCs w:val="24"/>
          <w:lang w:eastAsia="zh-CN"/>
        </w:rPr>
      </w:pPr>
      <w:r>
        <w:rPr>
          <w:rFonts w:ascii="Times New Roman" w:hAnsi="Times New Roman" w:cs="Times New Roman"/>
          <w:sz w:val="24"/>
          <w:szCs w:val="24"/>
          <w:lang w:eastAsia="zh-CN"/>
        </w:rPr>
        <w:t>甲方</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（委托方）：</w:t>
      </w:r>
      <w:r>
        <w:rPr>
          <w:rFonts w:ascii="Times New Roman" w:hAnsi="Times New Roman" w:cs="Times New Roman"/>
          <w:b/>
          <w:sz w:val="24"/>
          <w:szCs w:val="24"/>
          <w:lang w:eastAsia="zh-CN"/>
        </w:rPr>
        <w:t xml:space="preserve">翔鹭石化（漳州）有限公司 </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rPr>
          <w:rFonts w:ascii="Times New Roman" w:hAnsi="Times New Roman" w:cs="Times New Roman"/>
          <w:sz w:val="24"/>
          <w:szCs w:val="24"/>
          <w:lang w:eastAsia="zh-CN"/>
        </w:rPr>
      </w:pPr>
      <w:r>
        <w:rPr>
          <w:rFonts w:ascii="Times New Roman" w:hAnsi="Times New Roman" w:cs="Times New Roman"/>
          <w:sz w:val="24"/>
          <w:szCs w:val="24"/>
          <w:lang w:eastAsia="zh-CN"/>
        </w:rPr>
        <w:t>乙方（受托方）：</w:t>
      </w:r>
    </w:p>
    <w:p>
      <w:pPr>
        <w:widowControl/>
        <w:spacing w:beforeLines="50"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甲乙双方就</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022年度</w:t>
      </w:r>
      <w:r>
        <w:rPr>
          <w:rFonts w:hint="eastAsia" w:ascii="Times New Roman" w:hAnsi="Times New Roman" w:cs="Times New Roman"/>
          <w:sz w:val="24"/>
          <w:szCs w:val="24"/>
          <w:lang w:eastAsia="zh-CN"/>
        </w:rPr>
        <w:t>火灾高危单位消防安全评估项目签订了技术服务合同，</w:t>
      </w:r>
      <w:r>
        <w:rPr>
          <w:rFonts w:ascii="Times New Roman" w:hAnsi="Times New Roman" w:cs="Times New Roman"/>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numPr>
          <w:ilvl w:val="0"/>
          <w:numId w:val="9"/>
        </w:num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甲方的权利和义务：</w:t>
      </w:r>
    </w:p>
    <w:p>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1、 甲方有权对乙方的资质进行审查，确认其符合且具备进厂条件，方可进厂施工。</w:t>
      </w:r>
    </w:p>
    <w:p>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2、 甲方有权要求乙方维护好甲方相关的安全环保设施、设备和器材。</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5、 甲方有权对乙方不服从管理和严重违章者，驱除施工现场。</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6、 甲方负责对乙方进行厂级和部门级安全培训教育和考核，考核合格方可办理入厂手续。</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7、 甲方负责各装置的工艺处理、退料、置换、吹扫及盲板隔离工作，为本项目提供安全的施工条件。</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8、 甲方应乙方要求，向乙方提供与乙方作业相关的甲方有毒有害、易燃易爆物品的数据。</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9、 甲方在开工前必须对乙方进行全面的安全技术及文明施工交底。</w:t>
      </w:r>
    </w:p>
    <w:p>
      <w:pPr>
        <w:spacing w:line="360" w:lineRule="auto"/>
        <w:ind w:left="378" w:hanging="378" w:hangingChars="157"/>
        <w:rPr>
          <w:rFonts w:ascii="Times New Roman" w:hAnsi="Times New Roman" w:cs="Times New Roman"/>
          <w:b/>
          <w:sz w:val="24"/>
          <w:szCs w:val="24"/>
          <w:lang w:eastAsia="zh-CN"/>
        </w:rPr>
      </w:pPr>
      <w:r>
        <w:rPr>
          <w:rFonts w:ascii="Times New Roman" w:hAnsi="Times New Roman" w:cs="Times New Roman"/>
          <w:b/>
          <w:sz w:val="24"/>
          <w:szCs w:val="24"/>
          <w:lang w:eastAsia="zh-CN"/>
        </w:rPr>
        <w:t>二、乙方的权利和义务：</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 乙方有权对甲方安全管理工作提出合理化建议或改进措施。</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乙方对甲方管理人员违章指挥、强令冒险作业、有权拒绝执行。对打击和报复行为有权向上级和有关部门汇报。 </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4、乙方对危及生命安全和身体健康的施工作业条件和环境，有权提出整改建议或拒绝施工作业。</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5、乙方施工过程中在发生严重危及作业人员生命安全的不可抗拒紧急情况时，有权采取必要的避险措施，并立即向管理部门报告。</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6、乙方有权要求甲方提供相关的安全资料。</w:t>
      </w:r>
    </w:p>
    <w:p>
      <w:pPr>
        <w:spacing w:line="360" w:lineRule="auto"/>
        <w:ind w:left="332" w:leftChars="-9" w:hanging="352" w:hangingChars="147"/>
        <w:rPr>
          <w:rFonts w:ascii="Times New Roman" w:hAnsi="Times New Roman" w:cs="Times New Roman"/>
          <w:b/>
          <w:sz w:val="24"/>
          <w:szCs w:val="24"/>
          <w:lang w:eastAsia="zh-CN"/>
        </w:rPr>
      </w:pPr>
      <w:r>
        <w:rPr>
          <w:rFonts w:ascii="Times New Roman" w:hAnsi="Times New Roman" w:cs="Times New Roman"/>
          <w:sz w:val="24"/>
          <w:szCs w:val="24"/>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11、乙方应按《中华人民共和国劳动法》等法律、法规、规定用工，严禁使用未成年工和有职业禁忌的人员进行施工作业。 </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17、</w:t>
      </w:r>
      <w:r>
        <w:rPr>
          <w:rFonts w:ascii="Times New Roman" w:hAnsi="Times New Roman" w:cs="Times New Roman"/>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32" w:leftChars="-9" w:hanging="352" w:hangingChars="147"/>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18、 </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4"/>
          <w:szCs w:val="24"/>
          <w:lang w:eastAsia="zh-CN"/>
        </w:rPr>
        <w:t>GB 2894-2008）</w:t>
      </w:r>
      <w:r>
        <w:rPr>
          <w:rFonts w:ascii="Times New Roman" w:hAnsi="Times New Roman" w:cs="Times New Roman"/>
          <w:bCs/>
          <w:sz w:val="24"/>
          <w:szCs w:val="24"/>
          <w:lang w:eastAsia="zh-CN"/>
        </w:rPr>
        <w:t>的规定。</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bCs/>
          <w:sz w:val="24"/>
          <w:szCs w:val="24"/>
          <w:lang w:eastAsia="zh-CN"/>
        </w:rPr>
        <w:t>19、</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20、乙方施工产生的</w:t>
      </w:r>
      <w:r>
        <w:rPr>
          <w:rFonts w:ascii="Times New Roman" w:hAnsi="Times New Roman" w:cs="Times New Roman"/>
          <w:bCs/>
          <w:sz w:val="24"/>
          <w:szCs w:val="24"/>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22、</w:t>
      </w:r>
      <w:r>
        <w:rPr>
          <w:rFonts w:ascii="Times New Roman" w:hAnsi="Times New Roman" w:cs="Times New Roman"/>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三、违约责任及处理</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1、乙方不得转包、违法分包及挂靠等违法行为；未经福海创许可，不得将工程分包。</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2、发生安全事故时，甲乙双方均有抢险、救灾的义务，所发生的费用由责任方承担。</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4、甲方违约造成的事故，甲方承担全部责任，并按规定追究有关人员责任及上报。</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四、 不可抗力：</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由于不可抗力造成合同项目施工作业事故及产生的损失，甲乙双方各自承担相应的损失。</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五、本协议书经双方盖章后生效。</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六、协议期限：</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本协议期限应与主合同期限一致。如果主合同因故需要变更期限，本合同应与主同变更至相同期限。</w:t>
      </w:r>
    </w:p>
    <w:p>
      <w:pPr>
        <w:spacing w:line="360" w:lineRule="auto"/>
        <w:ind w:firstLine="723" w:firstLineChars="300"/>
        <w:rPr>
          <w:rFonts w:ascii="Times New Roman" w:hAnsi="Times New Roman" w:cs="Times New Roman"/>
          <w:sz w:val="24"/>
          <w:szCs w:val="24"/>
          <w:lang w:eastAsia="zh-CN"/>
        </w:rPr>
      </w:pPr>
      <w:r>
        <w:rPr>
          <w:rFonts w:ascii="Times New Roman" w:hAnsi="Times New Roman" w:cs="Times New Roman"/>
          <w:b/>
          <w:bCs/>
          <w:color w:val="000000"/>
          <w:sz w:val="24"/>
          <w:szCs w:val="24"/>
          <w:lang w:eastAsia="zh-CN"/>
        </w:rPr>
        <w:t>以下无正文，为合同盖章页。</w:t>
      </w:r>
    </w:p>
    <w:p>
      <w:pPr>
        <w:widowControl/>
        <w:rPr>
          <w:rFonts w:ascii="Times New Roman" w:hAnsi="Times New Roman" w:cs="Times New Roman"/>
          <w:b/>
          <w:sz w:val="24"/>
          <w:szCs w:val="24"/>
          <w:lang w:eastAsia="zh-CN"/>
        </w:rPr>
      </w:pPr>
    </w:p>
    <w:p>
      <w:pPr>
        <w:widowControl/>
        <w:rPr>
          <w:rFonts w:ascii="Times New Roman" w:hAnsi="Times New Roman" w:cs="Times New Roman"/>
          <w:b/>
          <w:sz w:val="24"/>
          <w:szCs w:val="24"/>
          <w:lang w:eastAsia="zh-CN"/>
        </w:rPr>
      </w:pPr>
      <w:r>
        <w:rPr>
          <w:rFonts w:ascii="Times New Roman" w:hAnsi="Times New Roman" w:cs="Times New Roman"/>
          <w:b/>
          <w:sz w:val="24"/>
          <w:szCs w:val="24"/>
          <w:lang w:eastAsia="zh-CN"/>
        </w:rPr>
        <w:t>甲方</w:t>
      </w:r>
      <w:r>
        <w:rPr>
          <w:rFonts w:hint="eastAsia" w:ascii="Times New Roman" w:hAnsi="Times New Roman" w:cs="Times New Roman"/>
          <w:b/>
          <w:sz w:val="24"/>
          <w:szCs w:val="24"/>
          <w:lang w:eastAsia="zh-CN"/>
        </w:rPr>
        <w:t>1</w:t>
      </w:r>
      <w:r>
        <w:rPr>
          <w:rFonts w:ascii="Times New Roman" w:hAnsi="Times New Roman" w:cs="Times New Roman"/>
          <w:b/>
          <w:sz w:val="24"/>
          <w:szCs w:val="24"/>
          <w:lang w:eastAsia="zh-CN"/>
        </w:rPr>
        <w:t xml:space="preserve">: 腾龙芳烃（漳州）有限公司        </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乙方：</w:t>
      </w:r>
      <w:r>
        <w:rPr>
          <w:rFonts w:hint="eastAsia" w:ascii="Times New Roman" w:hAnsi="Times New Roman" w:cs="Times New Roman"/>
          <w:b/>
          <w:sz w:val="24"/>
          <w:szCs w:val="24"/>
          <w:lang w:eastAsia="zh-CN"/>
        </w:rPr>
        <w:t>福建拓普检测技术有限公司</w:t>
      </w:r>
    </w:p>
    <w:p>
      <w:pPr>
        <w:widowControl/>
        <w:spacing w:line="480" w:lineRule="auto"/>
        <w:ind w:firstLine="723" w:firstLineChars="300"/>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账号：162070100100021071        </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账号：</w:t>
      </w:r>
      <w:r>
        <w:rPr>
          <w:rFonts w:hint="eastAsia"/>
          <w:b/>
          <w:bCs/>
          <w:kern w:val="2"/>
          <w:sz w:val="24"/>
          <w:szCs w:val="24"/>
          <w:lang w:eastAsia="zh-CN"/>
        </w:rPr>
        <w:t>351008260018010028759</w:t>
      </w:r>
    </w:p>
    <w:p>
      <w:pPr>
        <w:pStyle w:val="59"/>
        <w:ind w:firstLine="723" w:firstLineChars="300"/>
        <w:rPr>
          <w:b/>
          <w:bCs/>
          <w:sz w:val="24"/>
          <w:szCs w:val="24"/>
        </w:rPr>
      </w:pPr>
      <w:r>
        <w:rPr>
          <w:rFonts w:ascii="Times New Roman" w:hAnsi="Times New Roman"/>
          <w:b/>
          <w:sz w:val="24"/>
          <w:szCs w:val="24"/>
        </w:rPr>
        <w:t xml:space="preserve">开户行：兴业银行漳州古雷支行     </w:t>
      </w:r>
      <w:r>
        <w:rPr>
          <w:rFonts w:hint="eastAsia" w:ascii="Times New Roman" w:hAnsi="Times New Roman"/>
          <w:b/>
          <w:sz w:val="24"/>
          <w:szCs w:val="24"/>
        </w:rPr>
        <w:t xml:space="preserve">    </w:t>
      </w:r>
      <w:r>
        <w:rPr>
          <w:rFonts w:ascii="Times New Roman" w:hAnsi="Times New Roman"/>
          <w:b/>
          <w:sz w:val="24"/>
          <w:szCs w:val="24"/>
        </w:rPr>
        <w:t xml:space="preserve"> 开户行：</w:t>
      </w:r>
      <w:r>
        <w:rPr>
          <w:rFonts w:hint="eastAsia" w:ascii="Calibri"/>
          <w:b/>
          <w:bCs/>
          <w:kern w:val="2"/>
          <w:sz w:val="24"/>
          <w:szCs w:val="24"/>
        </w:rPr>
        <w:t>交通银行福州金山支行</w:t>
      </w:r>
    </w:p>
    <w:p>
      <w:pPr>
        <w:widowControl/>
        <w:spacing w:line="48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p>
    <w:p>
      <w:pPr>
        <w:widowControl/>
        <w:spacing w:line="48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w:t>
      </w:r>
      <w:r>
        <w:rPr>
          <w:rFonts w:hint="eastAsia" w:ascii="Times New Roman" w:hAnsi="Times New Roman" w:cs="Times New Roman"/>
          <w:b/>
          <w:sz w:val="24"/>
          <w:szCs w:val="24"/>
          <w:lang w:eastAsia="zh-CN"/>
        </w:rPr>
        <w:t>1</w:t>
      </w:r>
      <w:r>
        <w:rPr>
          <w:rFonts w:ascii="Times New Roman" w:hAnsi="Times New Roman" w:cs="Times New Roman"/>
          <w:b/>
          <w:sz w:val="24"/>
          <w:szCs w:val="24"/>
          <w:lang w:eastAsia="zh-CN"/>
        </w:rPr>
        <w:t xml:space="preserve">: 翔鹭石化（漳州）有限公司   </w:t>
      </w:r>
    </w:p>
    <w:p>
      <w:pPr>
        <w:widowControl/>
        <w:spacing w:line="360" w:lineRule="auto"/>
        <w:ind w:firstLine="723" w:firstLineChars="300"/>
        <w:rPr>
          <w:rFonts w:ascii="Times New Roman" w:hAnsi="Times New Roman" w:cs="Times New Roman"/>
          <w:b/>
          <w:sz w:val="24"/>
          <w:szCs w:val="24"/>
          <w:lang w:eastAsia="zh-CN"/>
        </w:rPr>
      </w:pPr>
      <w:r>
        <w:rPr>
          <w:rFonts w:ascii="Times New Roman" w:hAnsi="Times New Roman" w:cs="Times New Roman"/>
          <w:b/>
          <w:sz w:val="24"/>
          <w:szCs w:val="24"/>
          <w:lang w:eastAsia="zh-CN"/>
        </w:rPr>
        <w:t>账号：162070100100021585</w:t>
      </w:r>
    </w:p>
    <w:p>
      <w:pPr>
        <w:widowControl/>
        <w:spacing w:line="360" w:lineRule="auto"/>
        <w:ind w:firstLine="723" w:firstLineChars="300"/>
        <w:rPr>
          <w:rFonts w:ascii="Times New Roman" w:hAnsi="Times New Roman" w:cs="Times New Roman"/>
          <w:b/>
          <w:sz w:val="24"/>
          <w:szCs w:val="24"/>
          <w:lang w:eastAsia="zh-CN"/>
        </w:rPr>
      </w:pPr>
      <w:r>
        <w:rPr>
          <w:rFonts w:ascii="Times New Roman" w:hAnsi="Times New Roman" w:cs="Times New Roman"/>
          <w:b/>
          <w:sz w:val="24"/>
          <w:szCs w:val="24"/>
          <w:lang w:eastAsia="zh-CN"/>
        </w:rPr>
        <w:t>开户行：兴业银行漳州古雷支行</w:t>
      </w:r>
    </w:p>
    <w:p>
      <w:pPr>
        <w:pStyle w:val="59"/>
      </w:pPr>
    </w:p>
    <w:p>
      <w:pPr>
        <w:pStyle w:val="28"/>
        <w:spacing w:line="360" w:lineRule="auto"/>
        <w:jc w:val="center"/>
        <w:rPr>
          <w:rFonts w:ascii="Times New Roman" w:hAnsi="Times New Roman" w:cs="Times New Roman"/>
          <w:b/>
          <w:sz w:val="44"/>
          <w:szCs w:val="44"/>
          <w:lang w:eastAsia="zh-CN"/>
        </w:rPr>
      </w:pPr>
    </w:p>
    <w:p>
      <w:pPr>
        <w:pStyle w:val="28"/>
        <w:spacing w:line="360" w:lineRule="auto"/>
        <w:jc w:val="center"/>
        <w:rPr>
          <w:rFonts w:ascii="Times New Roman" w:hAnsi="Times New Roman" w:cs="Times New Roman"/>
          <w:b/>
          <w:sz w:val="44"/>
          <w:szCs w:val="44"/>
          <w:lang w:eastAsia="zh-CN"/>
        </w:rPr>
      </w:pPr>
    </w:p>
    <w:p>
      <w:pPr>
        <w:pStyle w:val="28"/>
        <w:spacing w:line="360" w:lineRule="auto"/>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8"/>
        <w:spacing w:line="360" w:lineRule="auto"/>
        <w:jc w:val="center"/>
        <w:rPr>
          <w:rFonts w:ascii="Times New Roman" w:hAnsi="Times New Roman" w:cs="Times New Roman"/>
          <w:b/>
          <w:sz w:val="44"/>
          <w:szCs w:val="44"/>
          <w:lang w:eastAsia="zh-CN"/>
        </w:rPr>
      </w:pPr>
    </w:p>
    <w:p>
      <w:pPr>
        <w:pStyle w:val="28"/>
        <w:spacing w:line="360" w:lineRule="auto"/>
        <w:jc w:val="center"/>
        <w:rPr>
          <w:rFonts w:ascii="Times New Roman" w:hAnsi="Times New Roman" w:cs="Times New Roman"/>
          <w:b/>
          <w:sz w:val="36"/>
          <w:szCs w:val="36"/>
          <w:lang w:eastAsia="zh-CN"/>
        </w:rPr>
      </w:pPr>
    </w:p>
    <w:p>
      <w:pPr>
        <w:widowControl/>
        <w:spacing w:line="480" w:lineRule="auto"/>
        <w:jc w:val="center"/>
        <w:rPr>
          <w:b/>
          <w:sz w:val="44"/>
          <w:szCs w:val="44"/>
          <w:lang w:eastAsia="zh-CN"/>
        </w:rPr>
      </w:pPr>
      <w:r>
        <w:rPr>
          <w:rFonts w:ascii="Times New Roman" w:hAnsi="Times New Roman" w:cs="Times New Roman"/>
          <w:b/>
          <w:bCs/>
          <w:sz w:val="36"/>
          <w:szCs w:val="36"/>
          <w:lang w:eastAsia="zh-CN"/>
        </w:rPr>
        <w:t xml:space="preserve"> </w:t>
      </w:r>
      <w:r>
        <w:rPr>
          <w:rFonts w:hint="eastAsia"/>
          <w:b/>
          <w:sz w:val="44"/>
          <w:szCs w:val="44"/>
          <w:lang w:eastAsia="zh-CN"/>
        </w:rPr>
        <w:t>2</w:t>
      </w:r>
      <w:r>
        <w:rPr>
          <w:b/>
          <w:sz w:val="44"/>
          <w:szCs w:val="44"/>
          <w:lang w:eastAsia="zh-CN"/>
        </w:rPr>
        <w:t>022年度</w:t>
      </w:r>
      <w:r>
        <w:rPr>
          <w:rFonts w:hint="eastAsia"/>
          <w:b/>
          <w:sz w:val="44"/>
          <w:szCs w:val="44"/>
          <w:lang w:eastAsia="zh-CN"/>
        </w:rPr>
        <w:t>火灾高危单位PX厂区及PTA厂区消防安全</w:t>
      </w:r>
    </w:p>
    <w:p>
      <w:pPr>
        <w:widowControl/>
        <w:spacing w:line="480" w:lineRule="auto"/>
        <w:jc w:val="center"/>
        <w:rPr>
          <w:b/>
          <w:sz w:val="44"/>
          <w:szCs w:val="44"/>
          <w:lang w:eastAsia="zh-CN"/>
        </w:rPr>
      </w:pPr>
      <w:r>
        <w:rPr>
          <w:rFonts w:hint="eastAsia"/>
          <w:b/>
          <w:sz w:val="44"/>
          <w:szCs w:val="44"/>
          <w:lang w:eastAsia="zh-CN"/>
        </w:rPr>
        <w:t>评估项目</w:t>
      </w: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44"/>
          <w:szCs w:val="44"/>
          <w:lang w:eastAsia="zh-CN"/>
        </w:rPr>
      </w:pPr>
    </w:p>
    <w:p>
      <w:pPr>
        <w:spacing w:line="360" w:lineRule="auto"/>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59"/>
        <w:spacing w:line="360" w:lineRule="auto"/>
        <w:rPr>
          <w:rFonts w:ascii="Times New Roman" w:hAnsi="Times New Roman"/>
        </w:rPr>
      </w:pPr>
    </w:p>
    <w:p>
      <w:pPr>
        <w:pStyle w:val="28"/>
        <w:spacing w:line="360" w:lineRule="auto"/>
        <w:rPr>
          <w:rFonts w:ascii="Times New Roman" w:hAnsi="Times New Roman" w:cs="Times New Roman"/>
          <w:lang w:eastAsia="zh-CN"/>
        </w:rPr>
      </w:pPr>
    </w:p>
    <w:p>
      <w:pPr>
        <w:pStyle w:val="28"/>
        <w:spacing w:line="360" w:lineRule="auto"/>
        <w:rPr>
          <w:rFonts w:ascii="Times New Roman" w:hAnsi="Times New Roman" w:cs="Times New Roman"/>
          <w:lang w:eastAsia="zh-CN"/>
        </w:rPr>
      </w:pPr>
    </w:p>
    <w:p>
      <w:pPr>
        <w:pStyle w:val="28"/>
        <w:spacing w:line="360" w:lineRule="auto"/>
        <w:rPr>
          <w:rFonts w:ascii="Times New Roman" w:hAnsi="Times New Roman" w:cs="Times New Roman"/>
          <w:lang w:eastAsia="zh-CN"/>
        </w:rPr>
      </w:pPr>
    </w:p>
    <w:p>
      <w:pPr>
        <w:pStyle w:val="28"/>
        <w:spacing w:line="360" w:lineRule="auto"/>
        <w:rPr>
          <w:rFonts w:ascii="Times New Roman" w:hAnsi="Times New Roman" w:cs="Times New Roman"/>
          <w:b/>
          <w:bCs/>
          <w:sz w:val="32"/>
          <w:szCs w:val="32"/>
          <w:lang w:eastAsia="zh-CN"/>
        </w:rPr>
      </w:pPr>
    </w:p>
    <w:p>
      <w:pPr>
        <w:pStyle w:val="28"/>
        <w:spacing w:line="360" w:lineRule="auto"/>
        <w:rPr>
          <w:rFonts w:ascii="Times New Roman" w:hAnsi="Times New Roman" w:cs="Times New Roman"/>
          <w:b/>
          <w:bCs/>
          <w:sz w:val="32"/>
          <w:szCs w:val="32"/>
          <w:lang w:eastAsia="zh-CN"/>
        </w:rPr>
      </w:pPr>
    </w:p>
    <w:p>
      <w:pPr>
        <w:pStyle w:val="28"/>
        <w:spacing w:line="360" w:lineRule="auto"/>
        <w:rPr>
          <w:rFonts w:ascii="Times New Roman" w:hAnsi="Times New Roman" w:cs="Times New Roman"/>
          <w:b/>
          <w:bCs/>
          <w:sz w:val="32"/>
          <w:szCs w:val="32"/>
          <w:lang w:eastAsia="zh-CN"/>
        </w:rPr>
      </w:pPr>
    </w:p>
    <w:p>
      <w:pPr>
        <w:pStyle w:val="28"/>
        <w:spacing w:line="360" w:lineRule="auto"/>
        <w:rPr>
          <w:rFonts w:ascii="Times New Roman" w:hAnsi="Times New Roman" w:cs="Times New Roman"/>
          <w:b/>
          <w:bCs/>
          <w:sz w:val="32"/>
          <w:szCs w:val="32"/>
          <w:lang w:eastAsia="zh-CN"/>
        </w:rPr>
      </w:pPr>
    </w:p>
    <w:p>
      <w:pPr>
        <w:pStyle w:val="28"/>
        <w:spacing w:line="360" w:lineRule="auto"/>
        <w:rPr>
          <w:rFonts w:ascii="Times New Roman" w:hAnsi="Times New Roman" w:cs="Times New Roman"/>
          <w:b/>
          <w:bCs/>
          <w:sz w:val="32"/>
          <w:szCs w:val="32"/>
          <w:lang w:eastAsia="zh-CN"/>
        </w:rPr>
      </w:pPr>
    </w:p>
    <w:p>
      <w:pPr>
        <w:pStyle w:val="28"/>
        <w:spacing w:line="360" w:lineRule="auto"/>
        <w:rPr>
          <w:rFonts w:ascii="Times New Roman" w:hAnsi="Times New Roman" w:cs="Times New Roman"/>
          <w:b/>
          <w:bCs/>
          <w:sz w:val="32"/>
          <w:szCs w:val="36"/>
          <w:lang w:eastAsia="zh-CN"/>
        </w:rPr>
      </w:pPr>
    </w:p>
    <w:p>
      <w:pPr>
        <w:pStyle w:val="28"/>
        <w:spacing w:line="360" w:lineRule="auto"/>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28"/>
        <w:spacing w:line="360" w:lineRule="auto"/>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eastAsia="zh-CN"/>
        </w:rPr>
        <w:t>09</w:t>
      </w:r>
      <w:r>
        <w:rPr>
          <w:rFonts w:ascii="Times New Roman" w:hAnsi="Times New Roman" w:cs="Times New Roman"/>
          <w:b/>
          <w:bCs/>
          <w:w w:val="95"/>
          <w:sz w:val="32"/>
          <w:lang w:eastAsia="zh-CN"/>
        </w:rPr>
        <w:t>月</w:t>
      </w:r>
    </w:p>
    <w:p>
      <w:pPr>
        <w:spacing w:line="360" w:lineRule="auto"/>
        <w:rPr>
          <w:rFonts w:ascii="Times New Roman" w:hAnsi="Times New Roman" w:cs="Times New Roman"/>
          <w:lang w:eastAsia="zh-CN"/>
        </w:rPr>
      </w:pPr>
    </w:p>
    <w:p>
      <w:pPr>
        <w:pStyle w:val="59"/>
      </w:pPr>
    </w:p>
    <w:p>
      <w:pPr>
        <w:pStyle w:val="59"/>
        <w:spacing w:line="360" w:lineRule="auto"/>
        <w:rPr>
          <w:rFonts w:ascii="Times New Roman" w:hAnsi="Times New Roman"/>
        </w:rPr>
      </w:pPr>
    </w:p>
    <w:p>
      <w:pPr>
        <w:spacing w:line="360" w:lineRule="auto"/>
        <w:jc w:val="center"/>
        <w:rPr>
          <w:rFonts w:ascii="Times New Roman" w:hAnsi="Times New Roman" w:cs="Times New Roman"/>
          <w:b/>
          <w:i/>
          <w:iCs/>
          <w:color w:val="C00000"/>
          <w:sz w:val="44"/>
          <w:szCs w:val="44"/>
          <w:lang w:eastAsia="zh-CN"/>
        </w:rPr>
      </w:pPr>
    </w:p>
    <w:p>
      <w:pPr>
        <w:spacing w:line="360" w:lineRule="auto"/>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360" w:lineRule="auto"/>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rFonts w:ascii="Times New Roman" w:hAnsi="Times New Roman" w:cs="Times New Roman"/>
          <w:szCs w:val="21"/>
          <w:lang w:eastAsia="zh-CN"/>
        </w:rPr>
      </w:pPr>
      <w:r>
        <w:rPr>
          <w:rFonts w:ascii="Times New Roman" w:hAnsi="Times New Roman" w:cs="Times New Roman"/>
          <w:lang w:eastAsia="zh-CN"/>
        </w:rPr>
        <w:pict>
          <v:shape id="_x0000_s1026" o:spid="_x0000_s1026" o:spt="202" type="#_x0000_t202" style="position:absolute;left:0pt;margin-left:5.25pt;margin-top:0.5pt;height:147.2pt;width:363.2pt;z-index:251661312;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77"/>
        <w:spacing w:beforeLines="0" w:afterLines="0"/>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59"/>
        <w:spacing w:line="360" w:lineRule="auto"/>
        <w:rPr>
          <w:rFonts w:ascii="Times New Roman" w:hAnsi="Times New Roman"/>
        </w:rPr>
      </w:pPr>
    </w:p>
    <w:p>
      <w:pPr>
        <w:spacing w:line="360" w:lineRule="auto"/>
        <w:jc w:val="center"/>
        <w:rPr>
          <w:rFonts w:ascii="Times New Roman" w:hAnsi="Times New Roman" w:cs="Times New Roman"/>
          <w:b/>
          <w:sz w:val="44"/>
          <w:szCs w:val="44"/>
          <w:lang w:eastAsia="zh-CN"/>
        </w:rPr>
      </w:pPr>
    </w:p>
    <w:p>
      <w:pPr>
        <w:pStyle w:val="59"/>
      </w:pP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360" w:lineRule="auto"/>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360" w:lineRule="auto"/>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360" w:lineRule="auto"/>
        <w:jc w:val="center"/>
        <w:rPr>
          <w:rFonts w:ascii="Times New Roman" w:hAnsi="Times New Roman" w:cs="Times New Roman"/>
          <w:b/>
          <w:bCs/>
          <w:sz w:val="24"/>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spacing w:line="360" w:lineRule="auto"/>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spacing w:line="360" w:lineRule="auto"/>
        <w:jc w:val="center"/>
        <w:rPr>
          <w:rFonts w:ascii="Times New Roman" w:hAnsi="Times New Roman" w:cs="Times New Roman"/>
          <w:b/>
          <w:bCs/>
          <w:sz w:val="36"/>
          <w:szCs w:val="36"/>
        </w:rPr>
      </w:pPr>
    </w:p>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59"/>
        <w:spacing w:line="360" w:lineRule="auto"/>
        <w:rPr>
          <w:rFonts w:ascii="Times New Roman" w:hAnsi="Times New Roman"/>
        </w:rPr>
      </w:pPr>
    </w:p>
    <w:p>
      <w:pPr>
        <w:pStyle w:val="59"/>
        <w:spacing w:line="360" w:lineRule="auto"/>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59"/>
        <w:spacing w:line="360" w:lineRule="auto"/>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pPr>
        <w:spacing w:line="360" w:lineRule="auto"/>
        <w:jc w:val="both"/>
        <w:rPr>
          <w:rFonts w:ascii="Times New Roman" w:hAnsi="Times New Roman" w:cs="Times New Roman"/>
          <w:sz w:val="34"/>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59"/>
        <w:spacing w:line="360" w:lineRule="auto"/>
        <w:jc w:val="center"/>
        <w:rPr>
          <w:rFonts w:ascii="Times New Roman" w:hAnsi="Times New Roman"/>
        </w:rPr>
      </w:pPr>
    </w:p>
    <w:p>
      <w:pPr>
        <w:widowControl/>
        <w:spacing w:line="480" w:lineRule="auto"/>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color w:val="00B050"/>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color w:val="00B050"/>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color w:val="00B050"/>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color w:val="00B050"/>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hint="eastAsia" w:ascii="Times New Roman" w:hAnsi="Times New Roman" w:cs="Times New Roman"/>
          <w:sz w:val="24"/>
          <w:u w:val="single"/>
          <w:lang w:eastAsia="zh-CN"/>
        </w:rPr>
        <w:t>2</w:t>
      </w:r>
      <w:r>
        <w:rPr>
          <w:rFonts w:ascii="Times New Roman" w:hAnsi="Times New Roman" w:cs="Times New Roman"/>
          <w:sz w:val="24"/>
          <w:u w:val="single"/>
          <w:lang w:eastAsia="zh-CN"/>
        </w:rPr>
        <w:t>022年度</w:t>
      </w:r>
      <w:r>
        <w:rPr>
          <w:rFonts w:hint="eastAsia" w:ascii="Times New Roman" w:hAnsi="Times New Roman" w:cs="Times New Roman"/>
          <w:sz w:val="24"/>
          <w:u w:val="single"/>
          <w:lang w:eastAsia="zh-CN"/>
        </w:rPr>
        <w:t>火灾高危单位PX厂区及PTA厂区消防安全评估项目</w:t>
      </w:r>
      <w:r>
        <w:rPr>
          <w:rFonts w:ascii="Times New Roman" w:hAnsi="Times New Roman" w:cs="Times New Roman"/>
          <w:sz w:val="24"/>
          <w:szCs w:val="24"/>
          <w:lang w:eastAsia="zh-CN"/>
        </w:rPr>
        <w:t>公开自主比选，以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color w:val="00B050"/>
          <w:sz w:val="28"/>
          <w:szCs w:val="28"/>
          <w:u w:val="single"/>
          <w:lang w:eastAsia="zh-CN"/>
        </w:rPr>
        <w:t>2022年</w:t>
      </w:r>
      <w:r>
        <w:rPr>
          <w:rFonts w:hint="eastAsia" w:ascii="Times New Roman" w:hAnsi="Times New Roman" w:cs="Times New Roman"/>
          <w:color w:val="00B050"/>
          <w:sz w:val="28"/>
          <w:szCs w:val="28"/>
          <w:u w:val="single"/>
          <w:lang w:eastAsia="zh-CN"/>
        </w:rPr>
        <w:t>9</w:t>
      </w:r>
      <w:r>
        <w:rPr>
          <w:rFonts w:ascii="Times New Roman" w:hAnsi="Times New Roman" w:cs="Times New Roman"/>
          <w:color w:val="00B050"/>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59"/>
        <w:spacing w:line="360" w:lineRule="auto"/>
        <w:rPr>
          <w:rFonts w:ascii="Times New Roman" w:hAnsi="Times New Roma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360" w:lineRule="auto"/>
        <w:rPr>
          <w:rFonts w:ascii="Times New Roman" w:hAnsi="Times New Roman" w:cs="Times New Roman"/>
          <w:sz w:val="24"/>
          <w:lang w:eastAsia="zh-C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360" w:lineRule="auto"/>
        <w:rPr>
          <w:rFonts w:ascii="Times New Roman" w:hAnsi="Times New Roman" w:cs="Times New Roman"/>
          <w:sz w:val="24"/>
          <w:lang w:eastAsia="zh-CN"/>
        </w:rPr>
      </w:pPr>
    </w:p>
    <w:p>
      <w:pPr>
        <w:pStyle w:val="59"/>
        <w:spacing w:line="360" w:lineRule="auto"/>
        <w:rPr>
          <w:rFonts w:ascii="Times New Roman" w:hAnsi="Times New Roman"/>
        </w:rPr>
      </w:pPr>
    </w:p>
    <w:p>
      <w:pPr>
        <w:pStyle w:val="59"/>
        <w:spacing w:line="360" w:lineRule="auto"/>
        <w:rPr>
          <w:rFonts w:ascii="Times New Roman" w:hAnsi="Times New Roman"/>
        </w:rPr>
      </w:pPr>
    </w:p>
    <w:p>
      <w:pPr>
        <w:pStyle w:val="59"/>
        <w:spacing w:line="360" w:lineRule="auto"/>
        <w:rPr>
          <w:rFonts w:ascii="Times New Roman" w:hAnsi="Times New Roman"/>
        </w:rPr>
      </w:pPr>
    </w:p>
    <w:p>
      <w:pPr>
        <w:pStyle w:val="59"/>
        <w:spacing w:line="360" w:lineRule="auto"/>
        <w:rPr>
          <w:rFonts w:ascii="Times New Roman" w:hAnsi="Times New Roman"/>
        </w:rPr>
      </w:pPr>
    </w:p>
    <w:p>
      <w:pPr>
        <w:pStyle w:val="59"/>
        <w:spacing w:line="360" w:lineRule="auto"/>
        <w:jc w:val="center"/>
        <w:rPr>
          <w:rFonts w:ascii="Times New Roman" w:hAnsi="Times New Roman"/>
          <w:color w:val="4E6127"/>
        </w:rPr>
      </w:pPr>
      <w:r>
        <w:rPr>
          <w:rFonts w:ascii="Times New Roman" w:hAnsi="Times New Roman"/>
          <w:sz w:val="24"/>
          <w:szCs w:val="24"/>
        </w:rPr>
        <w:t xml:space="preserve">               单位名称：</w:t>
      </w:r>
      <w:r>
        <w:rPr>
          <w:rFonts w:ascii="Times New Roman" w:hAnsi="Times New Roman"/>
          <w:color w:val="00B050"/>
          <w:kern w:val="2"/>
          <w:sz w:val="28"/>
          <w:szCs w:val="28"/>
        </w:rPr>
        <w:t>（公章）</w:t>
      </w:r>
    </w:p>
    <w:p>
      <w:pPr>
        <w:pStyle w:val="59"/>
        <w:spacing w:line="360" w:lineRule="auto"/>
        <w:jc w:val="center"/>
        <w:rPr>
          <w:rFonts w:ascii="Times New Roman" w:hAnsi="Times New Roman"/>
          <w:color w:val="4E6127"/>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360" w:lineRule="auto"/>
        <w:jc w:val="center"/>
        <w:rPr>
          <w:rFonts w:ascii="Times New Roman" w:hAnsi="Times New Roman" w:cs="Times New Roman"/>
          <w:b/>
          <w:bCs/>
          <w:color w:val="4E6127"/>
          <w:sz w:val="28"/>
          <w:szCs w:val="28"/>
          <w:lang w:eastAsia="zh-CN"/>
        </w:rPr>
      </w:pPr>
    </w:p>
    <w:p>
      <w:pPr>
        <w:pStyle w:val="59"/>
        <w:spacing w:line="360" w:lineRule="auto"/>
        <w:jc w:val="center"/>
        <w:rPr>
          <w:rFonts w:ascii="Times New Roman" w:hAnsi="Times New Roman"/>
          <w:b/>
          <w:bCs/>
          <w:color w:val="4E6127"/>
          <w:sz w:val="28"/>
          <w:szCs w:val="28"/>
        </w:rPr>
      </w:pPr>
    </w:p>
    <w:p>
      <w:pPr>
        <w:pStyle w:val="77"/>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59"/>
        <w:spacing w:line="360" w:lineRule="auto"/>
        <w:jc w:val="center"/>
        <w:rPr>
          <w:rFonts w:ascii="Times New Roman" w:hAnsi="Times New Roman"/>
          <w:b/>
          <w:bCs/>
          <w:sz w:val="28"/>
          <w:szCs w:val="28"/>
        </w:rPr>
      </w:pPr>
    </w:p>
    <w:p>
      <w:pPr>
        <w:pStyle w:val="77"/>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7"/>
        <w:spacing w:beforeLines="0" w:afterLines="0"/>
        <w:ind w:firstLine="0" w:firstLineChars="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pPr>
        <w:spacing w:line="360" w:lineRule="auto"/>
        <w:jc w:val="center"/>
        <w:rPr>
          <w:rFonts w:ascii="Times New Roman" w:hAnsi="Times New Roman" w:cs="Times New Roman"/>
          <w:b/>
          <w:bCs/>
          <w:sz w:val="28"/>
          <w:szCs w:val="28"/>
          <w:lang w:eastAsia="zh-CN"/>
        </w:rPr>
      </w:pPr>
    </w:p>
    <w:p>
      <w:pPr>
        <w:spacing w:line="360" w:lineRule="auto"/>
        <w:jc w:val="center"/>
        <w:rPr>
          <w:rFonts w:ascii="Times New Roman" w:hAnsi="Times New Roman" w:cs="Times New Roman"/>
          <w:b/>
          <w:bCs/>
          <w:sz w:val="28"/>
          <w:szCs w:val="28"/>
          <w:lang w:eastAsia="zh-CN"/>
        </w:rPr>
      </w:pPr>
    </w:p>
    <w:p>
      <w:pPr>
        <w:pStyle w:val="59"/>
        <w:spacing w:line="360" w:lineRule="auto"/>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59"/>
        <w:spacing w:line="360" w:lineRule="auto"/>
        <w:jc w:val="center"/>
        <w:rPr>
          <w:rFonts w:ascii="Times New Roman" w:hAnsi="Times New Roman"/>
          <w:b/>
          <w:bCs/>
          <w:sz w:val="28"/>
          <w:szCs w:val="28"/>
        </w:rPr>
      </w:pPr>
    </w:p>
    <w:p>
      <w:pPr>
        <w:pStyle w:val="59"/>
        <w:spacing w:line="360" w:lineRule="auto"/>
        <w:jc w:val="center"/>
        <w:rPr>
          <w:rFonts w:ascii="Times New Roman" w:hAnsi="Times New Roman"/>
          <w:b/>
          <w:bCs/>
          <w:sz w:val="28"/>
          <w:szCs w:val="28"/>
        </w:rPr>
      </w:pPr>
      <w:r>
        <w:rPr>
          <w:rFonts w:ascii="Times New Roman" w:hAnsi="Times New Roman"/>
          <w:b/>
          <w:bCs/>
          <w:sz w:val="28"/>
          <w:szCs w:val="28"/>
        </w:rPr>
        <w:t>相关资质要求证明材料</w:t>
      </w:r>
    </w:p>
    <w:p>
      <w:pPr>
        <w:pStyle w:val="59"/>
        <w:spacing w:line="360" w:lineRule="auto"/>
        <w:jc w:val="center"/>
        <w:rPr>
          <w:rFonts w:ascii="Times New Roman" w:hAnsi="Times New Roman"/>
          <w:b/>
          <w:bCs/>
          <w:sz w:val="28"/>
          <w:szCs w:val="28"/>
        </w:rPr>
      </w:pPr>
    </w:p>
    <w:p>
      <w:pPr>
        <w:pStyle w:val="77"/>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7"/>
        <w:spacing w:beforeLines="0" w:afterLines="0"/>
        <w:ind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77"/>
        <w:spacing w:beforeLines="0" w:afterLines="0"/>
        <w:ind w:firstLine="0" w:firstLineChars="0"/>
        <w:jc w:val="center"/>
        <w:rPr>
          <w:rFonts w:ascii="Times New Roman" w:hAnsi="Times New Roman" w:cs="Times New Roman"/>
          <w:b/>
          <w:lang w:eastAsia="zh-CN"/>
        </w:rPr>
      </w:pPr>
    </w:p>
    <w:p>
      <w:pPr>
        <w:pStyle w:val="77"/>
        <w:spacing w:beforeLines="0" w:afterLines="0"/>
        <w:ind w:firstLine="0" w:firstLineChars="0"/>
        <w:jc w:val="center"/>
        <w:rPr>
          <w:rFonts w:ascii="Times New Roman" w:hAnsi="Times New Roman" w:cs="Times New Roman"/>
          <w:b/>
          <w:sz w:val="36"/>
          <w:szCs w:val="36"/>
          <w:lang w:eastAsia="zh-C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spacing w:line="360" w:lineRule="auto"/>
        <w:rPr>
          <w:rFonts w:ascii="Times New Roman" w:hAnsi="Times New Roman" w:cs="Times New Roman"/>
          <w:b/>
          <w:sz w:val="32"/>
          <w:szCs w:val="32"/>
          <w:lang w:eastAsia="zh-CN"/>
        </w:rPr>
      </w:pPr>
      <w:r>
        <w:rPr>
          <w:rFonts w:ascii="Times New Roman" w:hAnsi="Times New Roman" w:cs="Times New Roman"/>
          <w:b/>
          <w:sz w:val="32"/>
          <w:szCs w:val="32"/>
          <w:lang w:eastAsia="zh-CN"/>
        </w:rPr>
        <w:t>附件三：</w:t>
      </w:r>
    </w:p>
    <w:p>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hint="eastAsia" w:ascii="Times New Roman" w:hAnsi="Times New Roman" w:cs="Times New Roman"/>
          <w:sz w:val="28"/>
          <w:szCs w:val="28"/>
          <w:u w:val="single"/>
          <w:lang w:eastAsia="zh-CN"/>
        </w:rPr>
        <w:t>2</w:t>
      </w:r>
      <w:r>
        <w:rPr>
          <w:rFonts w:ascii="Times New Roman" w:hAnsi="Times New Roman" w:cs="Times New Roman"/>
          <w:sz w:val="28"/>
          <w:szCs w:val="28"/>
          <w:u w:val="single"/>
          <w:lang w:eastAsia="zh-CN"/>
        </w:rPr>
        <w:t>022年度</w:t>
      </w:r>
      <w:r>
        <w:rPr>
          <w:rFonts w:hint="eastAsia" w:ascii="Times New Roman" w:hAnsi="Times New Roman" w:cs="Times New Roman"/>
          <w:sz w:val="28"/>
          <w:szCs w:val="28"/>
          <w:u w:val="single"/>
          <w:lang w:eastAsia="zh-CN"/>
        </w:rPr>
        <w:t>火灾高危单位PX厂区及PTA厂区消防安全评估</w:t>
      </w:r>
      <w:r>
        <w:rPr>
          <w:rFonts w:ascii="Times New Roman" w:hAnsi="Times New Roman" w:cs="Times New Roman"/>
          <w:sz w:val="28"/>
          <w:szCs w:val="28"/>
          <w:u w:val="single"/>
          <w:lang w:eastAsia="zh-CN"/>
        </w:rPr>
        <w:t>项目</w:t>
      </w:r>
      <w:r>
        <w:rPr>
          <w:rFonts w:ascii="Times New Roman" w:hAnsi="Times New Roman" w:cs="Times New Roman"/>
          <w:sz w:val="28"/>
          <w:szCs w:val="28"/>
          <w:lang w:eastAsia="zh-CN"/>
        </w:rPr>
        <w:t>比选文件的全部内容后，我方愿以以下报价，严格按照自主比选文件的要求，交付本项目并维修其中的任何缺陷。</w:t>
      </w:r>
    </w:p>
    <w:p>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p>
    <w:p>
      <w:pPr>
        <w:spacing w:line="360" w:lineRule="auto"/>
        <w:ind w:firstLine="3080" w:firstLineChars="110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     %） </w:t>
      </w:r>
    </w:p>
    <w:p>
      <w:pPr>
        <w:pStyle w:val="209"/>
        <w:spacing w:line="360" w:lineRule="auto"/>
        <w:rPr>
          <w:rFonts w:ascii="Times New Roman" w:hAnsi="Times New Roman" w:cs="Times New Roman"/>
          <w:color w:val="000000"/>
          <w:szCs w:val="24"/>
          <w:lang w:eastAsia="zh-CN"/>
        </w:rPr>
      </w:pPr>
    </w:p>
    <w:p>
      <w:pPr>
        <w:pStyle w:val="209"/>
        <w:spacing w:line="360" w:lineRule="auto"/>
        <w:jc w:val="left"/>
        <w:rPr>
          <w:rFonts w:ascii="Times New Roman" w:hAnsi="Times New Roman" w:cs="Times New Roman"/>
          <w:b/>
          <w:color w:val="000000"/>
          <w:sz w:val="32"/>
          <w:szCs w:val="32"/>
          <w:lang w:eastAsia="zh-CN"/>
        </w:rPr>
      </w:pPr>
      <w:r>
        <w:rPr>
          <w:rFonts w:hint="eastAsia" w:ascii="Times New Roman" w:hAnsi="Times New Roman" w:cs="Times New Roman"/>
          <w:b/>
          <w:color w:val="000000"/>
          <w:sz w:val="32"/>
          <w:szCs w:val="32"/>
          <w:u w:val="single"/>
          <w:lang w:eastAsia="zh-CN"/>
        </w:rPr>
        <w:t>2</w:t>
      </w:r>
      <w:r>
        <w:rPr>
          <w:rFonts w:ascii="Times New Roman" w:hAnsi="Times New Roman" w:cs="Times New Roman"/>
          <w:b/>
          <w:color w:val="000000"/>
          <w:sz w:val="32"/>
          <w:szCs w:val="32"/>
          <w:u w:val="single"/>
          <w:lang w:eastAsia="zh-CN"/>
        </w:rPr>
        <w:t>022年度</w:t>
      </w:r>
      <w:r>
        <w:rPr>
          <w:rFonts w:hint="eastAsia" w:ascii="Times New Roman" w:hAnsi="Times New Roman" w:cs="Times New Roman"/>
          <w:b/>
          <w:color w:val="000000"/>
          <w:sz w:val="32"/>
          <w:szCs w:val="32"/>
          <w:u w:val="single"/>
          <w:lang w:eastAsia="zh-CN"/>
        </w:rPr>
        <w:t>火灾高危单位消防安全评估项目</w:t>
      </w:r>
      <w:r>
        <w:rPr>
          <w:rFonts w:ascii="Times New Roman" w:hAnsi="Times New Roman" w:cs="Times New Roman"/>
          <w:b/>
          <w:color w:val="000000"/>
          <w:sz w:val="32"/>
          <w:szCs w:val="32"/>
          <w:lang w:eastAsia="zh-CN"/>
        </w:rPr>
        <w:t>计划如下表：</w:t>
      </w:r>
    </w:p>
    <w:tbl>
      <w:tblPr>
        <w:tblStyle w:val="57"/>
        <w:tblW w:w="10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4869"/>
        <w:gridCol w:w="1430"/>
        <w:gridCol w:w="33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748"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color w:val="000000"/>
                <w:kern w:val="2"/>
                <w:sz w:val="24"/>
                <w:szCs w:val="24"/>
                <w:lang w:eastAsia="zh-CN"/>
              </w:rPr>
            </w:pPr>
            <w:r>
              <w:rPr>
                <w:rFonts w:ascii="Times New Roman"/>
                <w:color w:val="000000"/>
                <w:kern w:val="2"/>
                <w:sz w:val="24"/>
                <w:szCs w:val="24"/>
                <w:lang w:eastAsia="zh-CN"/>
              </w:rPr>
              <w:t>序号</w:t>
            </w:r>
          </w:p>
        </w:tc>
        <w:tc>
          <w:tcPr>
            <w:tcW w:w="4869"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color w:val="000000"/>
                <w:kern w:val="2"/>
                <w:sz w:val="24"/>
                <w:szCs w:val="24"/>
                <w:lang w:eastAsia="zh-CN"/>
              </w:rPr>
            </w:pPr>
            <w:r>
              <w:rPr>
                <w:rFonts w:ascii="Times New Roman"/>
                <w:color w:val="000000"/>
                <w:kern w:val="2"/>
                <w:sz w:val="24"/>
                <w:szCs w:val="24"/>
                <w:lang w:eastAsia="zh-CN"/>
              </w:rPr>
              <w:t>项目</w:t>
            </w:r>
          </w:p>
        </w:tc>
        <w:tc>
          <w:tcPr>
            <w:tcW w:w="1430"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b/>
                <w:bCs/>
                <w:color w:val="000000"/>
                <w:kern w:val="2"/>
                <w:sz w:val="24"/>
                <w:szCs w:val="24"/>
                <w:lang w:eastAsia="zh-CN"/>
              </w:rPr>
            </w:pPr>
            <w:r>
              <w:rPr>
                <w:rFonts w:hint="eastAsia" w:ascii="Times New Roman"/>
                <w:b/>
                <w:bCs/>
                <w:color w:val="000000"/>
                <w:kern w:val="2"/>
                <w:sz w:val="24"/>
                <w:szCs w:val="24"/>
                <w:lang w:eastAsia="zh-CN"/>
              </w:rPr>
              <w:t>包干含税价</w:t>
            </w:r>
          </w:p>
          <w:p>
            <w:pPr>
              <w:pStyle w:val="210"/>
              <w:spacing w:line="360" w:lineRule="auto"/>
              <w:rPr>
                <w:rFonts w:ascii="Times New Roman"/>
                <w:color w:val="000000"/>
                <w:kern w:val="2"/>
                <w:sz w:val="24"/>
                <w:szCs w:val="24"/>
                <w:lang w:eastAsia="zh-CN"/>
              </w:rPr>
            </w:pPr>
            <w:r>
              <w:rPr>
                <w:rFonts w:hint="eastAsia" w:ascii="Times New Roman"/>
                <w:b/>
                <w:bCs/>
                <w:color w:val="000000"/>
                <w:kern w:val="2"/>
                <w:sz w:val="24"/>
                <w:szCs w:val="24"/>
                <w:lang w:eastAsia="zh-CN"/>
              </w:rPr>
              <w:t>（元）</w:t>
            </w:r>
          </w:p>
        </w:tc>
        <w:tc>
          <w:tcPr>
            <w:tcW w:w="3390"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color w:val="000000"/>
                <w:kern w:val="2"/>
                <w:sz w:val="24"/>
                <w:szCs w:val="24"/>
                <w:lang w:eastAsia="zh-CN"/>
              </w:rPr>
            </w:pPr>
            <w:r>
              <w:rPr>
                <w:rFonts w:hint="eastAsia" w:ascii="Times New Roman"/>
                <w:color w:val="000000"/>
                <w:kern w:val="2"/>
                <w:sz w:val="24"/>
                <w:szCs w:val="24"/>
                <w:lang w:eastAsia="zh-CN"/>
              </w:rPr>
              <w:t>评估内容要求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1448"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rPr>
            </w:pPr>
            <w:r>
              <w:rPr>
                <w:rFonts w:ascii="Times New Roman"/>
                <w:kern w:val="2"/>
                <w:sz w:val="24"/>
                <w:szCs w:val="24"/>
              </w:rPr>
              <w:t>1</w:t>
            </w:r>
          </w:p>
        </w:tc>
        <w:tc>
          <w:tcPr>
            <w:tcW w:w="48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腾龙芳烃（漳州）有限公司</w:t>
            </w:r>
          </w:p>
          <w:p>
            <w:pPr>
              <w:spacing w:line="360" w:lineRule="auto"/>
              <w:jc w:val="center"/>
              <w:rPr>
                <w:rFonts w:ascii="Times New Roman"/>
                <w:kern w:val="2"/>
                <w:sz w:val="24"/>
                <w:szCs w:val="24"/>
                <w:lang w:eastAsia="zh-CN"/>
              </w:rPr>
            </w:pPr>
            <w:r>
              <w:rPr>
                <w:rFonts w:hint="eastAsia" w:ascii="Times New Roman" w:hAnsi="Times New Roman" w:cs="Times New Roman"/>
                <w:kern w:val="2"/>
                <w:sz w:val="24"/>
                <w:szCs w:val="24"/>
                <w:lang w:eastAsia="zh-CN"/>
              </w:rPr>
              <w:t>2</w:t>
            </w:r>
            <w:r>
              <w:rPr>
                <w:rFonts w:ascii="Times New Roman" w:hAnsi="Times New Roman" w:cs="Times New Roman"/>
                <w:kern w:val="2"/>
                <w:sz w:val="24"/>
                <w:szCs w:val="24"/>
                <w:lang w:eastAsia="zh-CN"/>
              </w:rPr>
              <w:t>022年度</w:t>
            </w:r>
            <w:r>
              <w:rPr>
                <w:rFonts w:hint="eastAsia" w:ascii="Times New Roman" w:hAnsi="Times New Roman" w:cs="Times New Roman"/>
                <w:kern w:val="2"/>
                <w:sz w:val="24"/>
                <w:szCs w:val="24"/>
                <w:lang w:eastAsia="zh-CN"/>
              </w:rPr>
              <w:t>火灾高危单位PX厂区消防安全评估</w:t>
            </w:r>
          </w:p>
        </w:tc>
        <w:tc>
          <w:tcPr>
            <w:tcW w:w="1430"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c>
          <w:tcPr>
            <w:tcW w:w="3390" w:type="dxa"/>
            <w:vMerge w:val="restart"/>
            <w:tcBorders>
              <w:top w:val="single" w:color="auto" w:sz="2" w:space="0"/>
              <w:left w:val="single" w:color="auto" w:sz="2" w:space="0"/>
              <w:right w:val="single" w:color="auto" w:sz="2" w:space="0"/>
            </w:tcBorders>
            <w:vAlign w:val="center"/>
          </w:tcPr>
          <w:p>
            <w:pPr>
              <w:numPr>
                <w:ilvl w:val="0"/>
                <w:numId w:val="10"/>
              </w:numPr>
              <w:ind w:left="218" w:hanging="218" w:hangingChars="91"/>
              <w:rPr>
                <w:sz w:val="24"/>
                <w:szCs w:val="24"/>
                <w:lang w:eastAsia="zh-CN"/>
              </w:rPr>
            </w:pPr>
            <w:r>
              <w:rPr>
                <w:rFonts w:hint="eastAsia"/>
                <w:sz w:val="24"/>
                <w:szCs w:val="24"/>
                <w:lang w:eastAsia="zh-CN"/>
              </w:rPr>
              <w:t>按照《福建省火灾高危单位消防安全管理规定》要求，需每年开展一次消防安全评估工作，现拟委托有资质的消防服务单位开展消防安全评估工作；</w:t>
            </w:r>
          </w:p>
          <w:p>
            <w:pPr>
              <w:numPr>
                <w:ilvl w:val="0"/>
                <w:numId w:val="10"/>
              </w:numPr>
              <w:ind w:left="218" w:hanging="218" w:hangingChars="91"/>
              <w:rPr>
                <w:rFonts w:ascii="Times New Roman"/>
                <w:kern w:val="2"/>
                <w:sz w:val="24"/>
                <w:szCs w:val="24"/>
                <w:lang w:eastAsia="zh-CN"/>
              </w:rPr>
            </w:pPr>
            <w:r>
              <w:rPr>
                <w:rFonts w:hint="eastAsia"/>
                <w:sz w:val="24"/>
                <w:szCs w:val="24"/>
                <w:lang w:eastAsia="zh-CN"/>
              </w:rPr>
              <w:t>本次评估，严格按照中华人民共和国应急管理部令（第7号）《社会消防技术服务管理规定》相关要求执行，具体发包内容详见发包文件。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1338"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rPr>
            </w:pPr>
            <w:r>
              <w:rPr>
                <w:rFonts w:ascii="Times New Roman"/>
                <w:kern w:val="2"/>
                <w:sz w:val="24"/>
                <w:szCs w:val="24"/>
              </w:rPr>
              <w:t>2</w:t>
            </w:r>
          </w:p>
        </w:tc>
        <w:tc>
          <w:tcPr>
            <w:tcW w:w="48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翔鹭石化（漳州）有限公司</w:t>
            </w:r>
          </w:p>
          <w:p>
            <w:pPr>
              <w:spacing w:line="360" w:lineRule="auto"/>
              <w:jc w:val="center"/>
              <w:rPr>
                <w:rFonts w:ascii="Times New Roman"/>
                <w:kern w:val="2"/>
                <w:sz w:val="24"/>
                <w:szCs w:val="24"/>
                <w:lang w:eastAsia="zh-CN"/>
              </w:rPr>
            </w:pPr>
            <w:r>
              <w:rPr>
                <w:rFonts w:hint="eastAsia" w:ascii="Times New Roman" w:hAnsi="Times New Roman" w:cs="Times New Roman"/>
                <w:kern w:val="2"/>
                <w:sz w:val="24"/>
                <w:szCs w:val="24"/>
                <w:lang w:eastAsia="zh-CN"/>
              </w:rPr>
              <w:t>2</w:t>
            </w:r>
            <w:r>
              <w:rPr>
                <w:rFonts w:ascii="Times New Roman" w:hAnsi="Times New Roman" w:cs="Times New Roman"/>
                <w:kern w:val="2"/>
                <w:sz w:val="24"/>
                <w:szCs w:val="24"/>
                <w:lang w:eastAsia="zh-CN"/>
              </w:rPr>
              <w:t>022年度</w:t>
            </w:r>
            <w:r>
              <w:rPr>
                <w:rFonts w:hint="eastAsia" w:ascii="Times New Roman" w:hAnsi="Times New Roman" w:cs="Times New Roman"/>
                <w:kern w:val="2"/>
                <w:sz w:val="24"/>
                <w:szCs w:val="24"/>
                <w:lang w:eastAsia="zh-CN"/>
              </w:rPr>
              <w:t>火灾高危单位PTA厂区消防安全评估</w:t>
            </w:r>
          </w:p>
        </w:tc>
        <w:tc>
          <w:tcPr>
            <w:tcW w:w="1430"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c>
          <w:tcPr>
            <w:tcW w:w="3390" w:type="dxa"/>
            <w:vMerge w:val="continue"/>
            <w:tcBorders>
              <w:left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844" w:hRule="atLeast"/>
        </w:trPr>
        <w:tc>
          <w:tcPr>
            <w:tcW w:w="5500" w:type="dxa"/>
            <w:gridSpan w:val="2"/>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r>
              <w:rPr>
                <w:rFonts w:hint="eastAsia" w:ascii="Times New Roman"/>
                <w:b/>
                <w:bCs/>
                <w:kern w:val="2"/>
                <w:sz w:val="24"/>
                <w:szCs w:val="24"/>
                <w:lang w:eastAsia="zh-CN"/>
              </w:rPr>
              <w:t>总合计（人民币，元）</w:t>
            </w:r>
          </w:p>
        </w:tc>
        <w:tc>
          <w:tcPr>
            <w:tcW w:w="1430"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c>
          <w:tcPr>
            <w:tcW w:w="3390" w:type="dxa"/>
            <w:vMerge w:val="continue"/>
            <w:tcBorders>
              <w:left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30" w:hRule="atLeast"/>
        </w:trPr>
        <w:tc>
          <w:tcPr>
            <w:tcW w:w="10320" w:type="dxa"/>
            <w:gridSpan w:val="4"/>
            <w:tcBorders>
              <w:top w:val="single" w:color="auto" w:sz="2" w:space="0"/>
              <w:left w:val="single" w:color="auto" w:sz="2" w:space="0"/>
              <w:bottom w:val="single" w:color="auto" w:sz="2" w:space="0"/>
              <w:right w:val="single" w:color="auto" w:sz="2" w:space="0"/>
            </w:tcBorders>
            <w:vAlign w:val="bottom"/>
          </w:tcPr>
          <w:p>
            <w:pPr>
              <w:pStyle w:val="210"/>
              <w:spacing w:line="360" w:lineRule="auto"/>
              <w:ind w:firstLine="240" w:firstLineChars="100"/>
              <w:jc w:val="left"/>
              <w:rPr>
                <w:rFonts w:ascii="Times New Roman"/>
                <w:kern w:val="2"/>
                <w:sz w:val="24"/>
                <w:szCs w:val="24"/>
                <w:lang w:eastAsia="zh-CN"/>
              </w:rPr>
            </w:pPr>
            <w:r>
              <w:rPr>
                <w:rFonts w:hint="eastAsia" w:ascii="Times New Roman"/>
                <w:kern w:val="2"/>
                <w:sz w:val="24"/>
                <w:szCs w:val="24"/>
                <w:lang w:eastAsia="zh-CN"/>
              </w:rPr>
              <w:t xml:space="preserve">发票类型及税率：增值税专用发票 </w:t>
            </w:r>
            <w:r>
              <w:rPr>
                <w:rFonts w:hint="eastAsia" w:ascii="Times New Roman"/>
                <w:kern w:val="2"/>
                <w:sz w:val="24"/>
                <w:szCs w:val="24"/>
                <w:u w:val="single"/>
                <w:lang w:eastAsia="zh-CN"/>
              </w:rPr>
              <w:t xml:space="preserve">             %</w:t>
            </w:r>
          </w:p>
        </w:tc>
      </w:tr>
    </w:tbl>
    <w:p>
      <w:pPr>
        <w:spacing w:line="360" w:lineRule="auto"/>
        <w:ind w:firstLine="560" w:firstLineChars="200"/>
        <w:jc w:val="right"/>
        <w:rPr>
          <w:rFonts w:ascii="Times New Roman" w:hAnsi="Times New Roman" w:cs="Times New Roman"/>
          <w:sz w:val="28"/>
          <w:lang w:eastAsia="zh-CN"/>
        </w:rPr>
      </w:pP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sz w:val="28"/>
          <w:lang w:eastAsia="zh-CN"/>
        </w:rPr>
        <w:t>（加盖参选单位章）</w:t>
      </w:r>
    </w:p>
    <w:p>
      <w:pPr>
        <w:spacing w:line="360" w:lineRule="auto"/>
        <w:ind w:firstLine="560" w:firstLineChars="200"/>
        <w:jc w:val="right"/>
        <w:rPr>
          <w:rFonts w:ascii="Times New Roman" w:hAnsi="Times New Roman" w:cs="Times New Roman"/>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bookmarkEnd w:id="0"/>
    </w:p>
    <w:p>
      <w:pPr>
        <w:rPr>
          <w:rFonts w:asciiTheme="majorEastAsia" w:hAnsiTheme="majorEastAsia" w:eastAsiaTheme="majorEastAsia" w:cstheme="majorEastAsia"/>
          <w:b/>
          <w:bCs/>
          <w:sz w:val="30"/>
          <w:szCs w:val="30"/>
          <w:lang w:eastAsia="zh-CN"/>
        </w:rPr>
      </w:pPr>
      <w:r>
        <w:rPr>
          <w:rFonts w:hint="eastAsia" w:asciiTheme="majorEastAsia" w:hAnsiTheme="majorEastAsia" w:eastAsiaTheme="majorEastAsia" w:cstheme="majorEastAsia"/>
          <w:b/>
          <w:bCs/>
          <w:sz w:val="30"/>
          <w:szCs w:val="30"/>
          <w:lang w:eastAsia="zh-CN"/>
        </w:rPr>
        <w:t>附件四</w:t>
      </w:r>
    </w:p>
    <w:p>
      <w:pPr>
        <w:jc w:val="center"/>
        <w:rPr>
          <w:b/>
          <w:sz w:val="32"/>
          <w:szCs w:val="32"/>
          <w:lang w:eastAsia="zh-CN"/>
        </w:rPr>
      </w:pPr>
      <w:r>
        <w:rPr>
          <w:rFonts w:hint="eastAsia"/>
          <w:b/>
          <w:sz w:val="32"/>
          <w:szCs w:val="32"/>
          <w:lang w:eastAsia="zh-CN"/>
        </w:rPr>
        <w:t>福建福海创石油化工有限公司</w:t>
      </w:r>
    </w:p>
    <w:p>
      <w:pPr>
        <w:widowControl/>
        <w:spacing w:line="480" w:lineRule="auto"/>
        <w:jc w:val="center"/>
        <w:rPr>
          <w:b/>
          <w:sz w:val="32"/>
          <w:szCs w:val="32"/>
          <w:lang w:eastAsia="zh-CN"/>
        </w:rPr>
      </w:pPr>
      <w:r>
        <w:rPr>
          <w:rFonts w:hint="eastAsia"/>
          <w:b/>
          <w:sz w:val="32"/>
          <w:szCs w:val="32"/>
          <w:lang w:eastAsia="zh-CN"/>
        </w:rPr>
        <w:t>2</w:t>
      </w:r>
      <w:r>
        <w:rPr>
          <w:b/>
          <w:sz w:val="32"/>
          <w:szCs w:val="32"/>
          <w:lang w:eastAsia="zh-CN"/>
        </w:rPr>
        <w:t>022年度</w:t>
      </w:r>
      <w:r>
        <w:rPr>
          <w:rFonts w:hint="eastAsia"/>
          <w:b/>
          <w:sz w:val="32"/>
          <w:szCs w:val="32"/>
          <w:lang w:eastAsia="zh-CN"/>
        </w:rPr>
        <w:t>火灾高危单位消防安全评估项目</w:t>
      </w:r>
    </w:p>
    <w:p>
      <w:pPr>
        <w:widowControl/>
        <w:spacing w:line="480" w:lineRule="auto"/>
        <w:jc w:val="center"/>
        <w:rPr>
          <w:b/>
          <w:sz w:val="32"/>
          <w:szCs w:val="32"/>
          <w:lang w:eastAsia="zh-CN"/>
        </w:rPr>
      </w:pPr>
      <w:r>
        <w:rPr>
          <w:rFonts w:hint="eastAsia"/>
          <w:b/>
          <w:sz w:val="32"/>
          <w:szCs w:val="32"/>
          <w:lang w:eastAsia="zh-CN"/>
        </w:rPr>
        <w:t>发包说明书</w:t>
      </w:r>
    </w:p>
    <w:p>
      <w:pPr>
        <w:spacing w:line="520" w:lineRule="exact"/>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一、公司简介</w:t>
      </w:r>
    </w:p>
    <w:p>
      <w:pPr>
        <w:spacing w:line="520" w:lineRule="exact"/>
        <w:ind w:firstLine="420" w:firstLineChars="200"/>
        <w:rPr>
          <w:rFonts w:cs="华文中宋"/>
          <w:snapToGrid w:val="0"/>
          <w:color w:val="000000"/>
          <w:sz w:val="21"/>
          <w:szCs w:val="21"/>
          <w:lang w:eastAsia="zh-CN"/>
        </w:rPr>
      </w:pPr>
      <w:r>
        <w:rPr>
          <w:rFonts w:hint="eastAsia" w:cs="华文中宋"/>
          <w:snapToGrid w:val="0"/>
          <w:color w:val="000000"/>
          <w:sz w:val="21"/>
          <w:szCs w:val="21"/>
          <w:lang w:eastAsia="zh-CN"/>
        </w:rPr>
        <w:t>2017 年 10 月 27日，根据省委、省政府决策部署，由</w:t>
      </w:r>
      <w:r>
        <w:rPr>
          <w:rFonts w:eastAsiaTheme="minorEastAsia"/>
          <w:snapToGrid w:val="0"/>
          <w:sz w:val="21"/>
          <w:szCs w:val="21"/>
          <w:lang w:eastAsia="zh-CN"/>
        </w:rPr>
        <w:t>福建省福化古雷石油化工有限公司</w:t>
      </w:r>
      <w:r>
        <w:rPr>
          <w:rFonts w:hint="eastAsia" w:cs="华文中宋"/>
          <w:snapToGrid w:val="0"/>
          <w:color w:val="000000"/>
          <w:sz w:val="21"/>
          <w:szCs w:val="21"/>
          <w:lang w:eastAsia="zh-CN"/>
        </w:rPr>
        <w:t>对腾龙芳烃（漳州）有限公司、翔鹭石化（漳州）有限公司、星誉化工（漳州）有限公司、翔鹭码头投资管理（漳州）有限公司、漳州古雷海腾码头投资管理有限公司等5家公司进行重组，成立福建福海创石油化工有限公司。由福海创公司统一管理，但经营主体暂仍按照原有公司运营。</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福建福海创石油化工有限公司选址在福建漳州漳浦县古雷区域，古雷港</w:t>
      </w:r>
      <w:r>
        <w:rPr>
          <w:rFonts w:hAnsi="宋体" w:eastAsiaTheme="minorEastAsia"/>
          <w:snapToGrid w:val="0"/>
          <w:sz w:val="21"/>
          <w:szCs w:val="21"/>
        </w:rPr>
        <w:t>经济</w:t>
      </w:r>
      <w:r>
        <w:rPr>
          <w:rFonts w:hint="eastAsia" w:hAnsi="宋体" w:eastAsiaTheme="minorEastAsia"/>
          <w:snapToGrid w:val="0"/>
          <w:sz w:val="21"/>
          <w:szCs w:val="21"/>
        </w:rPr>
        <w:t>开发区腾龙路1号。福建漳州古雷半岛位于福建省南端，东经117°30′～117°45′，北纬23°25′～24°，古雷区域东临浮头湾、台湾海峡，西靠东山湾，面对东山县、云霄县，三面环海。 水路至厦门77海里，至汕头73海里，至台湾澎湖98海里；陆路至漳州112公里，至厦门138公里，至汕头146公里。沈海高速公路从规划区北面穿过并设有互通口；国道324线、漳州沿海大通道和规划建设的厦深铁路横贯规划区北面，交通便利。</w:t>
      </w:r>
    </w:p>
    <w:p>
      <w:pPr>
        <w:pStyle w:val="78"/>
        <w:spacing w:line="520" w:lineRule="exact"/>
        <w:ind w:firstLine="420" w:firstLineChars="200"/>
        <w:rPr>
          <w:rFonts w:hAnsi="宋体" w:eastAsiaTheme="minorEastAsia"/>
          <w:snapToGrid w:val="0"/>
          <w:sz w:val="21"/>
          <w:szCs w:val="21"/>
        </w:rPr>
      </w:pPr>
      <w:r>
        <w:rPr>
          <w:rFonts w:hAnsi="宋体" w:eastAsiaTheme="minorEastAsia"/>
          <w:snapToGrid w:val="0"/>
          <w:sz w:val="21"/>
          <w:szCs w:val="21"/>
        </w:rPr>
        <w:t>本次发包项目范围为</w:t>
      </w:r>
      <w:r>
        <w:rPr>
          <w:rFonts w:hint="eastAsia" w:hAnsi="宋体" w:eastAsiaTheme="minorEastAsia"/>
          <w:snapToGrid w:val="0"/>
          <w:sz w:val="21"/>
          <w:szCs w:val="21"/>
        </w:rPr>
        <w:t>腾龙芳烃（漳州）有限公司、翔鹭石化（漳州）有限公司两个厂区；</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腾龙芳烃厂区占地面积163.33公顷，主要产品PX、OX、苯、液化石油气。主投资装置有300万吨减压蒸馏装置、130万吨减粘裂化装置、500万吨凝析油加氢装置、500万吨凝析油分离装置、8万吨硫磺回收装置、316万吨加氢裂化装置、270万吨连续重整装置、90万吨抽提装置、 300万吨歧化装置及160万年对二甲苯装置等；储运罐区。厂区主要包括16套工艺装置以及配套的储运设施、总降站、公用工程、辅助工程以及厂外管廊。16套工艺装置包括：凝析油加氢装置、凝析油分离装置、加氢裂化装置、芳烃联合装置（石脑油预加氢装置、连续重整装置、芳烃抽提装置、歧化及烷基转移装置、对二甲苯装置-Ⅰ、对二甲苯装置-Ⅱ、邻二甲苯装置）、硫磺回收联合装置（硫磺回收装置、酸性水汽提装置、溶剂再生装置）、重整氢PSA装置、高纯氢PSA装置、制氢装置、减压蒸馏和减粘裂化装置。具体详见附件1：腾龙芳烃厂区总平面布置图。</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翔鹭石化厂区占地面积83公顷，产能450万吨/年，综合竞争力位居全球PTA行业前三名。主要产品精对苯二甲酸（PTA），是聚酯工业的主要生产原料，产品广泛应用于化学纤维、薄膜、包装材料等方面。该厂区平面布置分四个功能区：年产450万吨精对苯二甲酸生产装置包括CTA装置、PTA装置；辅助工程区在生产装置区周围，东侧为装置区35KV变电站、总MCC中控室、IA/PA站（压缩空气和仪表风装置），西侧为污水处理场，南侧为空压机房、公用35KV变电站、海水冷却站、装卸站，北侧为H2/N2加压站、风送系统；原辅料灌区在场地南侧，自西向东依次为醋酸储罐、柴油储罐、对二甲苯储罐、醋酸异丁酯储罐、烧碱储罐、甲醇储罐、混合溶剂储罐；产品仓储设施区主要包括A/B/C/D/E打包仓库。建筑为钢结构，共六层，另有单体单层或两层建筑，生产中心控制室、配电室，公用办公室，维修车间，包装工场，成品仓库等。具体详见附件2：翔鹭石化厂区总平面布置图。</w:t>
      </w:r>
    </w:p>
    <w:p>
      <w:pPr>
        <w:numPr>
          <w:ilvl w:val="0"/>
          <w:numId w:val="11"/>
        </w:numPr>
        <w:spacing w:line="52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项目名称</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2</w:t>
      </w:r>
      <w:r>
        <w:rPr>
          <w:rFonts w:hAnsi="宋体" w:eastAsiaTheme="minorEastAsia"/>
          <w:snapToGrid w:val="0"/>
          <w:sz w:val="21"/>
          <w:szCs w:val="21"/>
        </w:rPr>
        <w:t>022年度</w:t>
      </w:r>
      <w:r>
        <w:rPr>
          <w:rFonts w:hint="eastAsia" w:hAnsi="宋体" w:eastAsiaTheme="minorEastAsia"/>
          <w:snapToGrid w:val="0"/>
          <w:sz w:val="21"/>
          <w:szCs w:val="21"/>
        </w:rPr>
        <w:t>高危单位消防安全评估项目</w:t>
      </w:r>
    </w:p>
    <w:p>
      <w:pPr>
        <w:spacing w:line="520" w:lineRule="exact"/>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三、招标范围及内容</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1、招标范围：腾龙芳烃（漳州）有限公司、翔鹭石化（漳州）有限公司两个厂区分别签订合同、出具评估报告；</w:t>
      </w:r>
    </w:p>
    <w:p>
      <w:pPr>
        <w:pStyle w:val="78"/>
        <w:spacing w:line="520" w:lineRule="exact"/>
        <w:ind w:firstLine="420" w:firstLineChars="200"/>
        <w:rPr>
          <w:rFonts w:hAnsi="宋体" w:eastAsiaTheme="minorEastAsia"/>
          <w:snapToGrid w:val="0"/>
          <w:sz w:val="21"/>
          <w:szCs w:val="21"/>
        </w:rPr>
      </w:pPr>
      <w:r>
        <w:rPr>
          <w:rFonts w:hAnsi="宋体" w:eastAsiaTheme="minorEastAsia"/>
          <w:snapToGrid w:val="0"/>
          <w:sz w:val="21"/>
          <w:szCs w:val="21"/>
        </w:rPr>
        <w:t>2</w:t>
      </w:r>
      <w:r>
        <w:rPr>
          <w:rFonts w:hint="eastAsia" w:hAnsi="宋体" w:eastAsiaTheme="minorEastAsia"/>
          <w:snapToGrid w:val="0"/>
          <w:sz w:val="21"/>
          <w:szCs w:val="21"/>
        </w:rPr>
        <w:t>、消防安全评估工作内容包括：</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（1）审核、验收、竣工验收消防备案文件</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（2）公安机关消防机构消防监督检查发现问题的整改情况</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（3）单位总平面布置情况（总平面布置、厂内道路）；</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（4）工艺流程情况；</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（5）储罐及生产装置情况（储罐存储物质及储量、装置的火灾危险性）</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（6）消防设施情况（消防站、消防水源及泵房、消防用水量、消防给水及消火栓系统、自动灭火系统）；</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（7）电气设施情况（消防电源、防雷及防静电）；</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（8）消防设施检测报告；</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（9）员工消防安全教育培训制度及记录；</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（10）防火巡查、检查制度及记录；</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（11）消防设施、器材维护管理制度及记录；</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（12）灭火和应急疏散预案演练制度及记录；</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（13）火灾隐患整改制度及记录；</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（14）安全疏散设施管理制度；</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（15）消防(控制室)值班制度；</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（16）用火、用电安全管理制度；</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（17）易燃易爆危险物品和场所防火防爆制度；</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（18）消防安全管理组织机构和各级消防安全责任人制度；</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（19）消防控制室值班及自动消防系统操作人员职业资格证书；</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（20）依法建立专（兼）职消防队情况；</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（21）以往火灾记录情况。</w:t>
      </w:r>
    </w:p>
    <w:p>
      <w:pPr>
        <w:spacing w:line="520" w:lineRule="exact"/>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四、资质要求</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1、单位资质</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在福建省消防救援总队的“福建省消防技术服务信息平台”中服务水平评级消防安全评估项目为四星级的消防服务机构。</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2、项目技术负责人</w:t>
      </w:r>
    </w:p>
    <w:p>
      <w:pPr>
        <w:pStyle w:val="78"/>
        <w:spacing w:line="520" w:lineRule="exact"/>
        <w:ind w:firstLine="420" w:firstLineChars="200"/>
        <w:rPr>
          <w:rFonts w:hAnsi="宋体" w:eastAsiaTheme="minorEastAsia"/>
          <w:snapToGrid w:val="0"/>
          <w:color w:val="auto"/>
          <w:sz w:val="21"/>
          <w:szCs w:val="21"/>
        </w:rPr>
      </w:pPr>
      <w:r>
        <w:rPr>
          <w:rFonts w:hint="eastAsia" w:hAnsi="宋体" w:eastAsiaTheme="minorEastAsia"/>
          <w:snapToGrid w:val="0"/>
          <w:sz w:val="21"/>
          <w:szCs w:val="21"/>
        </w:rPr>
        <w:t>项目技术负责人具有一级注册消防工程师资格，另外需要有</w:t>
      </w:r>
      <w:r>
        <w:rPr>
          <w:rFonts w:hint="eastAsia" w:hAnsi="宋体" w:eastAsiaTheme="minorEastAsia"/>
          <w:snapToGrid w:val="0"/>
          <w:color w:val="auto"/>
          <w:sz w:val="21"/>
          <w:szCs w:val="21"/>
        </w:rPr>
        <w:t>（机电、电气、智能化、给排水、暖通等专业任意一项）的专业职称。</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3、现场人员</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color w:val="auto"/>
          <w:sz w:val="21"/>
          <w:szCs w:val="21"/>
        </w:rPr>
        <w:t>现场评估人员要求具备一级注册消防工程师，人员不少于四人，并提供</w:t>
      </w:r>
      <w:r>
        <w:rPr>
          <w:rFonts w:hint="eastAsia" w:hAnsi="宋体" w:eastAsiaTheme="minorEastAsia"/>
          <w:snapToGrid w:val="0"/>
          <w:sz w:val="21"/>
          <w:szCs w:val="21"/>
        </w:rPr>
        <w:t>相应人员至少6个月的执业单位社保证明。</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4、投标人提供近三年的评估业绩，至少包含一个石油化工行业项目的消防评估业绩（需提供业绩合同复印件加盖公章）；无石油化工企业消防评估业绩，未实质性响应招标文件要求，视为无效报价。</w:t>
      </w:r>
    </w:p>
    <w:p>
      <w:pPr>
        <w:pStyle w:val="78"/>
        <w:spacing w:line="520" w:lineRule="exact"/>
        <w:ind w:firstLine="420" w:firstLineChars="200"/>
        <w:rPr>
          <w:rFonts w:hAnsi="宋体" w:eastAsiaTheme="minorEastAsia"/>
          <w:snapToGrid w:val="0"/>
          <w:sz w:val="21"/>
          <w:szCs w:val="21"/>
        </w:rPr>
      </w:pPr>
      <w:r>
        <w:rPr>
          <w:rFonts w:hAnsi="宋体" w:eastAsiaTheme="minorEastAsia"/>
          <w:snapToGrid w:val="0"/>
          <w:sz w:val="21"/>
          <w:szCs w:val="21"/>
        </w:rPr>
        <w:t>5</w:t>
      </w:r>
      <w:r>
        <w:rPr>
          <w:rFonts w:hint="eastAsia" w:hAnsi="宋体" w:eastAsiaTheme="minorEastAsia"/>
          <w:snapToGrid w:val="0"/>
          <w:sz w:val="21"/>
          <w:szCs w:val="21"/>
        </w:rPr>
        <w:t>、检测设备要求</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消防安全评估机构所配备专业的消防设施检查测试仪器、仪表和工具，应符合国家计量要求，并提供仪器仪表和工具的清单和合格证书；</w:t>
      </w:r>
    </w:p>
    <w:p>
      <w:pPr>
        <w:pStyle w:val="78"/>
        <w:spacing w:line="520" w:lineRule="exact"/>
        <w:ind w:firstLine="420" w:firstLineChars="200"/>
        <w:rPr>
          <w:rFonts w:hAnsi="宋体" w:eastAsiaTheme="minorEastAsia"/>
          <w:snapToGrid w:val="0"/>
          <w:sz w:val="21"/>
          <w:szCs w:val="21"/>
        </w:rPr>
      </w:pPr>
      <w:r>
        <w:rPr>
          <w:rFonts w:hAnsi="宋体" w:eastAsiaTheme="minorEastAsia"/>
          <w:snapToGrid w:val="0"/>
          <w:sz w:val="21"/>
          <w:szCs w:val="21"/>
        </w:rPr>
        <w:t>6</w:t>
      </w:r>
      <w:r>
        <w:rPr>
          <w:rFonts w:hint="eastAsia" w:hAnsi="宋体" w:eastAsiaTheme="minorEastAsia"/>
          <w:snapToGrid w:val="0"/>
          <w:sz w:val="21"/>
          <w:szCs w:val="21"/>
        </w:rPr>
        <w:t>、其他要求</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（1）在中华人民共和国注册的、具有独立法人资格并保持良好履约记录；</w:t>
      </w:r>
    </w:p>
    <w:p>
      <w:pPr>
        <w:pStyle w:val="78"/>
        <w:spacing w:line="520" w:lineRule="exact"/>
        <w:ind w:firstLine="420" w:firstLineChars="200"/>
        <w:rPr>
          <w:rFonts w:hAnsi="宋体" w:eastAsiaTheme="minorEastAsia"/>
          <w:snapToGrid w:val="0"/>
          <w:color w:val="FF0000"/>
          <w:sz w:val="21"/>
          <w:szCs w:val="21"/>
        </w:rPr>
      </w:pPr>
      <w:r>
        <w:rPr>
          <w:rFonts w:hint="eastAsia" w:hAnsi="宋体" w:eastAsiaTheme="minorEastAsia"/>
          <w:snapToGrid w:val="0"/>
          <w:sz w:val="21"/>
          <w:szCs w:val="21"/>
        </w:rPr>
        <w:t>（2）信誉良好， 近三年无项目质量投诉事故或其它不良记录，并提供承诺书并加盖公章；</w:t>
      </w:r>
    </w:p>
    <w:p>
      <w:pPr>
        <w:spacing w:line="520" w:lineRule="exact"/>
        <w:rPr>
          <w:rFonts w:cs="华文中宋"/>
          <w:b/>
          <w:snapToGrid w:val="0"/>
          <w:color w:val="000000"/>
          <w:sz w:val="21"/>
          <w:szCs w:val="21"/>
          <w:lang w:eastAsia="zh-CN"/>
        </w:rPr>
      </w:pPr>
      <w:r>
        <w:rPr>
          <w:rFonts w:hint="eastAsia" w:cs="华文中宋"/>
          <w:b/>
          <w:snapToGrid w:val="0"/>
          <w:color w:val="000000"/>
          <w:sz w:val="21"/>
          <w:szCs w:val="21"/>
          <w:lang w:eastAsia="zh-CN"/>
        </w:rPr>
        <w:t>五、工期要求</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合同签订后两个月内完成腾龙芳烃（漳州）有限公司、翔鹭石化（漳州）有限公司两个厂区的2</w:t>
      </w:r>
      <w:r>
        <w:rPr>
          <w:rFonts w:hAnsi="宋体" w:eastAsiaTheme="minorEastAsia"/>
          <w:snapToGrid w:val="0"/>
          <w:sz w:val="21"/>
          <w:szCs w:val="21"/>
        </w:rPr>
        <w:t>022年度</w:t>
      </w:r>
      <w:r>
        <w:rPr>
          <w:rFonts w:hint="eastAsia" w:hAnsi="宋体" w:eastAsiaTheme="minorEastAsia"/>
          <w:snapToGrid w:val="0"/>
          <w:sz w:val="21"/>
          <w:szCs w:val="21"/>
        </w:rPr>
        <w:t>高危单位消防安全评估并提交评估报告；</w:t>
      </w:r>
    </w:p>
    <w:p>
      <w:pPr>
        <w:snapToGrid w:val="0"/>
        <w:spacing w:line="520" w:lineRule="exact"/>
        <w:contextualSpacing/>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六、评标方法</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1、评标按照技术标和商务标，共计100分。</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2、技术标（</w:t>
      </w:r>
      <w:r>
        <w:rPr>
          <w:rFonts w:hAnsi="宋体" w:eastAsiaTheme="minorEastAsia"/>
          <w:snapToGrid w:val="0"/>
          <w:sz w:val="21"/>
          <w:szCs w:val="21"/>
        </w:rPr>
        <w:t>满分3</w:t>
      </w:r>
      <w:r>
        <w:rPr>
          <w:rFonts w:hint="eastAsia" w:hAnsi="宋体" w:eastAsiaTheme="minorEastAsia"/>
          <w:snapToGrid w:val="0"/>
          <w:sz w:val="21"/>
          <w:szCs w:val="21"/>
        </w:rPr>
        <w:t>0分）</w:t>
      </w:r>
    </w:p>
    <w:tbl>
      <w:tblPr>
        <w:tblStyle w:val="57"/>
        <w:tblW w:w="10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
      <w:tblGrid>
        <w:gridCol w:w="792"/>
        <w:gridCol w:w="1559"/>
        <w:gridCol w:w="6962"/>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Ex>
        <w:trPr>
          <w:trHeight w:val="383" w:hRule="atLeast"/>
          <w:tblHeader/>
          <w:jc w:val="center"/>
        </w:trPr>
        <w:tc>
          <w:tcPr>
            <w:tcW w:w="792" w:type="dxa"/>
            <w:vAlign w:val="center"/>
          </w:tcPr>
          <w:p>
            <w:pPr>
              <w:adjustRightInd w:val="0"/>
              <w:snapToGrid w:val="0"/>
              <w:spacing w:line="440" w:lineRule="exact"/>
              <w:jc w:val="center"/>
              <w:rPr>
                <w:rFonts w:ascii="Arial" w:hAnsi="Arial" w:cs="Arial"/>
                <w:b/>
                <w:bCs/>
                <w:szCs w:val="21"/>
                <w:lang w:val="zh-CN"/>
              </w:rPr>
            </w:pPr>
            <w:r>
              <w:rPr>
                <w:rFonts w:ascii="Arial" w:cs="Arial"/>
                <w:b/>
                <w:bCs/>
                <w:szCs w:val="21"/>
                <w:lang w:val="zh-CN"/>
              </w:rPr>
              <w:t>序号</w:t>
            </w:r>
          </w:p>
        </w:tc>
        <w:tc>
          <w:tcPr>
            <w:tcW w:w="1559" w:type="dxa"/>
            <w:vAlign w:val="center"/>
          </w:tcPr>
          <w:p>
            <w:pPr>
              <w:adjustRightInd w:val="0"/>
              <w:snapToGrid w:val="0"/>
              <w:spacing w:line="440" w:lineRule="exact"/>
              <w:jc w:val="center"/>
              <w:rPr>
                <w:rFonts w:ascii="Arial" w:hAnsi="Arial" w:cs="Arial"/>
                <w:b/>
                <w:bCs/>
                <w:szCs w:val="21"/>
                <w:lang w:val="zh-CN"/>
              </w:rPr>
            </w:pPr>
            <w:r>
              <w:rPr>
                <w:rFonts w:ascii="Arial" w:cs="Arial"/>
                <w:b/>
                <w:bCs/>
                <w:szCs w:val="21"/>
                <w:lang w:val="zh-CN"/>
              </w:rPr>
              <w:t>评审内容</w:t>
            </w:r>
          </w:p>
        </w:tc>
        <w:tc>
          <w:tcPr>
            <w:tcW w:w="6962" w:type="dxa"/>
            <w:vAlign w:val="center"/>
          </w:tcPr>
          <w:p>
            <w:pPr>
              <w:adjustRightInd w:val="0"/>
              <w:snapToGrid w:val="0"/>
              <w:spacing w:line="440" w:lineRule="exact"/>
              <w:jc w:val="center"/>
              <w:rPr>
                <w:rFonts w:ascii="Arial" w:hAnsi="Arial" w:cs="Arial"/>
                <w:b/>
                <w:bCs/>
                <w:szCs w:val="21"/>
                <w:lang w:val="zh-CN"/>
              </w:rPr>
            </w:pPr>
            <w:r>
              <w:rPr>
                <w:rFonts w:ascii="Arial" w:cs="Arial"/>
                <w:b/>
                <w:bCs/>
                <w:szCs w:val="21"/>
                <w:lang w:val="zh-CN"/>
              </w:rPr>
              <w:t>评分细则</w:t>
            </w:r>
          </w:p>
        </w:tc>
        <w:tc>
          <w:tcPr>
            <w:tcW w:w="1134" w:type="dxa"/>
            <w:vAlign w:val="center"/>
          </w:tcPr>
          <w:p>
            <w:pPr>
              <w:adjustRightInd w:val="0"/>
              <w:snapToGrid w:val="0"/>
              <w:spacing w:line="440" w:lineRule="exact"/>
              <w:jc w:val="center"/>
              <w:rPr>
                <w:rFonts w:ascii="Arial" w:hAnsi="Arial" w:cs="Arial"/>
                <w:b/>
                <w:bCs/>
                <w:szCs w:val="21"/>
                <w:lang w:val="zh-CN"/>
              </w:rPr>
            </w:pPr>
            <w:r>
              <w:rPr>
                <w:rFonts w:ascii="Arial" w:cs="Arial"/>
                <w:b/>
                <w:bCs/>
                <w:szCs w:val="21"/>
                <w:lang w:val="zh-CN"/>
              </w:rPr>
              <w:t>分值范围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Ex>
        <w:trPr>
          <w:trHeight w:val="1122" w:hRule="atLeast"/>
          <w:tblHeader/>
          <w:jc w:val="center"/>
        </w:trPr>
        <w:tc>
          <w:tcPr>
            <w:tcW w:w="792" w:type="dxa"/>
            <w:vAlign w:val="center"/>
          </w:tcPr>
          <w:p>
            <w:pPr>
              <w:adjustRightInd w:val="0"/>
              <w:snapToGrid w:val="0"/>
              <w:spacing w:line="440" w:lineRule="exact"/>
              <w:jc w:val="center"/>
              <w:rPr>
                <w:rFonts w:cs="Arial" w:asciiTheme="minorEastAsia" w:hAnsiTheme="minorEastAsia" w:eastAsiaTheme="minorEastAsia"/>
                <w:szCs w:val="21"/>
                <w:lang w:val="zh-CN"/>
              </w:rPr>
            </w:pPr>
            <w:r>
              <w:rPr>
                <w:rFonts w:cs="Arial" w:asciiTheme="minorEastAsia" w:hAnsiTheme="minorEastAsia" w:eastAsiaTheme="minorEastAsia"/>
                <w:szCs w:val="21"/>
                <w:lang w:val="zh-CN"/>
              </w:rPr>
              <w:t>1</w:t>
            </w:r>
          </w:p>
        </w:tc>
        <w:tc>
          <w:tcPr>
            <w:tcW w:w="1559"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企业资质</w:t>
            </w:r>
          </w:p>
        </w:tc>
        <w:tc>
          <w:tcPr>
            <w:tcW w:w="6962" w:type="dxa"/>
            <w:vAlign w:val="center"/>
          </w:tcPr>
          <w:p>
            <w:pPr>
              <w:spacing w:line="440" w:lineRule="exact"/>
              <w:rPr>
                <w:rFonts w:cs="Arial" w:asciiTheme="minorEastAsia" w:hAnsiTheme="minorEastAsia" w:eastAsiaTheme="minorEastAsia"/>
                <w:szCs w:val="21"/>
                <w:lang w:eastAsia="zh-CN"/>
              </w:rPr>
            </w:pPr>
            <w:r>
              <w:rPr>
                <w:rFonts w:hint="eastAsia" w:cs="Arial" w:asciiTheme="minorEastAsia" w:hAnsiTheme="minorEastAsia" w:eastAsiaTheme="minorEastAsia"/>
                <w:szCs w:val="21"/>
                <w:lang w:eastAsia="zh-CN"/>
              </w:rPr>
              <w:t>1、在福建省消防技术信息服务平台消防评估栏具有</w:t>
            </w:r>
            <w:r>
              <w:rPr>
                <w:rFonts w:cs="Arial" w:asciiTheme="minorEastAsia" w:hAnsiTheme="minorEastAsia" w:eastAsiaTheme="minorEastAsia"/>
                <w:szCs w:val="21"/>
                <w:lang w:eastAsia="zh-CN"/>
              </w:rPr>
              <w:t>4星</w:t>
            </w:r>
            <w:r>
              <w:rPr>
                <w:rFonts w:hint="eastAsia" w:cs="Arial" w:asciiTheme="minorEastAsia" w:hAnsiTheme="minorEastAsia" w:eastAsiaTheme="minorEastAsia"/>
                <w:szCs w:val="21"/>
                <w:lang w:eastAsia="zh-CN"/>
              </w:rPr>
              <w:t xml:space="preserve"> </w:t>
            </w:r>
            <w:r>
              <w:rPr>
                <w:rFonts w:cs="Arial" w:asciiTheme="minorEastAsia" w:hAnsiTheme="minorEastAsia" w:eastAsiaTheme="minorEastAsia"/>
                <w:szCs w:val="21"/>
                <w:lang w:eastAsia="zh-CN"/>
              </w:rPr>
              <w:t xml:space="preserve"> 4</w:t>
            </w:r>
            <w:r>
              <w:rPr>
                <w:rFonts w:hint="eastAsia" w:cs="Arial" w:asciiTheme="minorEastAsia" w:hAnsiTheme="minorEastAsia" w:eastAsiaTheme="minorEastAsia"/>
                <w:szCs w:val="21"/>
                <w:lang w:eastAsia="zh-CN"/>
              </w:rPr>
              <w:t>分；</w:t>
            </w:r>
          </w:p>
          <w:p>
            <w:pPr>
              <w:spacing w:line="440" w:lineRule="exact"/>
              <w:rPr>
                <w:rFonts w:cs="Arial" w:asciiTheme="minorEastAsia" w:hAnsiTheme="minorEastAsia" w:eastAsiaTheme="minorEastAsia"/>
                <w:szCs w:val="21"/>
                <w:lang w:eastAsia="zh-CN"/>
              </w:rPr>
            </w:pPr>
            <w:r>
              <w:rPr>
                <w:rFonts w:cs="Arial" w:asciiTheme="minorEastAsia" w:hAnsiTheme="minorEastAsia" w:eastAsiaTheme="minorEastAsia"/>
                <w:szCs w:val="21"/>
                <w:lang w:eastAsia="zh-CN"/>
              </w:rPr>
              <w:t>2</w:t>
            </w:r>
            <w:r>
              <w:rPr>
                <w:rFonts w:hint="eastAsia" w:cs="Arial" w:asciiTheme="minorEastAsia" w:hAnsiTheme="minorEastAsia" w:eastAsiaTheme="minorEastAsia"/>
                <w:szCs w:val="21"/>
                <w:lang w:eastAsia="zh-CN"/>
              </w:rPr>
              <w:t xml:space="preserve">、安全许可证 </w:t>
            </w:r>
            <w:r>
              <w:rPr>
                <w:rFonts w:cs="Arial" w:asciiTheme="minorEastAsia" w:hAnsiTheme="minorEastAsia" w:eastAsiaTheme="minorEastAsia"/>
                <w:szCs w:val="21"/>
                <w:lang w:eastAsia="zh-CN"/>
              </w:rPr>
              <w:t xml:space="preserve"> 1</w:t>
            </w:r>
            <w:r>
              <w:rPr>
                <w:rFonts w:hint="eastAsia" w:cs="Arial" w:asciiTheme="minorEastAsia" w:hAnsiTheme="minorEastAsia" w:eastAsiaTheme="minorEastAsia"/>
                <w:szCs w:val="21"/>
                <w:lang w:eastAsia="zh-CN"/>
              </w:rPr>
              <w:t xml:space="preserve">分； </w:t>
            </w:r>
            <w:r>
              <w:rPr>
                <w:rFonts w:cs="Arial" w:asciiTheme="minorEastAsia" w:hAnsiTheme="minorEastAsia" w:eastAsiaTheme="minorEastAsia"/>
                <w:szCs w:val="21"/>
                <w:lang w:eastAsia="zh-CN"/>
              </w:rPr>
              <w:t xml:space="preserve">                                         </w:t>
            </w:r>
          </w:p>
          <w:p>
            <w:pPr>
              <w:spacing w:line="440" w:lineRule="exact"/>
              <w:rPr>
                <w:rFonts w:cs="Arial" w:asciiTheme="minorEastAsia" w:hAnsiTheme="minorEastAsia" w:eastAsiaTheme="minorEastAsia"/>
                <w:szCs w:val="21"/>
                <w:lang w:eastAsia="zh-CN"/>
              </w:rPr>
            </w:pPr>
            <w:r>
              <w:rPr>
                <w:rFonts w:cs="Arial" w:asciiTheme="minorEastAsia" w:hAnsiTheme="minorEastAsia" w:eastAsiaTheme="minorEastAsia"/>
                <w:szCs w:val="21"/>
                <w:lang w:eastAsia="zh-CN"/>
              </w:rPr>
              <w:t>3</w:t>
            </w:r>
            <w:r>
              <w:rPr>
                <w:rFonts w:hint="eastAsia" w:cs="Arial" w:asciiTheme="minorEastAsia" w:hAnsiTheme="minorEastAsia" w:eastAsiaTheme="minorEastAsia"/>
                <w:szCs w:val="21"/>
                <w:lang w:eastAsia="zh-CN"/>
              </w:rPr>
              <w:t>、有检测维保C</w:t>
            </w:r>
            <w:r>
              <w:rPr>
                <w:rFonts w:cs="Arial" w:asciiTheme="minorEastAsia" w:hAnsiTheme="minorEastAsia" w:eastAsiaTheme="minorEastAsia"/>
                <w:szCs w:val="21"/>
                <w:lang w:eastAsia="zh-CN"/>
              </w:rPr>
              <w:t>MA证</w:t>
            </w:r>
            <w:r>
              <w:rPr>
                <w:rFonts w:hint="eastAsia" w:cs="Arial" w:asciiTheme="minorEastAsia" w:hAnsiTheme="minorEastAsia" w:eastAsiaTheme="minorEastAsia"/>
                <w:szCs w:val="21"/>
                <w:lang w:eastAsia="zh-CN"/>
              </w:rPr>
              <w:t xml:space="preserve"> </w:t>
            </w:r>
            <w:r>
              <w:rPr>
                <w:rFonts w:cs="Arial" w:asciiTheme="minorEastAsia" w:hAnsiTheme="minorEastAsia" w:eastAsiaTheme="minorEastAsia"/>
                <w:szCs w:val="21"/>
                <w:lang w:eastAsia="zh-CN"/>
              </w:rPr>
              <w:t xml:space="preserve"> 1</w:t>
            </w:r>
            <w:r>
              <w:rPr>
                <w:rFonts w:hint="eastAsia" w:cs="Arial" w:asciiTheme="minorEastAsia" w:hAnsiTheme="minorEastAsia" w:eastAsiaTheme="minorEastAsia"/>
                <w:szCs w:val="21"/>
                <w:lang w:eastAsia="zh-CN"/>
              </w:rPr>
              <w:t>分；</w:t>
            </w:r>
          </w:p>
          <w:p>
            <w:pPr>
              <w:spacing w:line="440" w:lineRule="exact"/>
              <w:rPr>
                <w:rFonts w:asciiTheme="minorEastAsia" w:hAnsiTheme="minorEastAsia" w:eastAsiaTheme="minorEastAsia"/>
                <w:szCs w:val="21"/>
                <w:lang w:eastAsia="zh-CN"/>
              </w:rPr>
            </w:pPr>
            <w:r>
              <w:rPr>
                <w:rFonts w:cs="Arial" w:asciiTheme="minorEastAsia" w:hAnsiTheme="minorEastAsia" w:eastAsiaTheme="minorEastAsia"/>
                <w:szCs w:val="21"/>
                <w:lang w:eastAsia="zh-CN"/>
              </w:rPr>
              <w:t>4</w:t>
            </w:r>
            <w:r>
              <w:rPr>
                <w:rFonts w:hint="eastAsia" w:cs="Arial" w:asciiTheme="minorEastAsia" w:hAnsiTheme="minorEastAsia" w:eastAsiaTheme="minorEastAsia"/>
                <w:szCs w:val="21"/>
                <w:lang w:eastAsia="zh-CN"/>
              </w:rPr>
              <w:t>、</w:t>
            </w:r>
            <w:r>
              <w:rPr>
                <w:rFonts w:cs="Arial" w:asciiTheme="minorEastAsia" w:hAnsiTheme="minorEastAsia" w:eastAsiaTheme="minorEastAsia"/>
                <w:szCs w:val="21"/>
                <w:lang w:eastAsia="zh-CN"/>
              </w:rPr>
              <w:t>以上</w:t>
            </w:r>
            <w:r>
              <w:rPr>
                <w:rFonts w:hint="eastAsia" w:cs="Arial" w:asciiTheme="minorEastAsia" w:hAnsiTheme="minorEastAsia" w:eastAsiaTheme="minorEastAsia"/>
                <w:szCs w:val="21"/>
                <w:lang w:eastAsia="zh-CN"/>
              </w:rPr>
              <w:t>3条共计</w:t>
            </w:r>
            <w:r>
              <w:rPr>
                <w:rFonts w:cs="Arial" w:asciiTheme="minorEastAsia" w:hAnsiTheme="minorEastAsia" w:eastAsiaTheme="minorEastAsia"/>
                <w:szCs w:val="21"/>
                <w:lang w:eastAsia="zh-CN"/>
              </w:rPr>
              <w:t>6</w:t>
            </w:r>
            <w:r>
              <w:rPr>
                <w:rFonts w:hint="eastAsia" w:cs="Arial" w:asciiTheme="minorEastAsia" w:hAnsiTheme="minorEastAsia" w:eastAsiaTheme="minorEastAsia"/>
                <w:szCs w:val="21"/>
                <w:lang w:eastAsia="zh-CN"/>
              </w:rPr>
              <w:t>分。不满足第1条不推荐为中标人。</w:t>
            </w:r>
          </w:p>
        </w:tc>
        <w:tc>
          <w:tcPr>
            <w:tcW w:w="1134" w:type="dxa"/>
            <w:vAlign w:val="center"/>
          </w:tcPr>
          <w:p>
            <w:pPr>
              <w:adjustRightInd w:val="0"/>
              <w:snapToGrid w:val="0"/>
              <w:spacing w:line="440" w:lineRule="exact"/>
              <w:jc w:val="center"/>
              <w:rPr>
                <w:rFonts w:cs="Arial" w:asciiTheme="minorEastAsia" w:hAnsiTheme="minorEastAsia" w:eastAsiaTheme="minorEastAsia"/>
                <w:szCs w:val="21"/>
                <w:lang w:val="zh-CN"/>
              </w:rPr>
            </w:pPr>
            <w:r>
              <w:rPr>
                <w:rFonts w:cs="Arial" w:asciiTheme="minorEastAsia" w:hAnsiTheme="minorEastAsia" w:eastAsiaTheme="minorEastAsia"/>
                <w:szCs w:val="21"/>
                <w:lang w:val="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Ex>
        <w:trPr>
          <w:trHeight w:val="2242" w:hRule="atLeast"/>
          <w:tblHeader/>
          <w:jc w:val="center"/>
        </w:trPr>
        <w:tc>
          <w:tcPr>
            <w:tcW w:w="792" w:type="dxa"/>
            <w:vAlign w:val="center"/>
          </w:tcPr>
          <w:p>
            <w:pPr>
              <w:adjustRightInd w:val="0"/>
              <w:snapToGrid w:val="0"/>
              <w:spacing w:line="440" w:lineRule="exact"/>
              <w:jc w:val="center"/>
              <w:rPr>
                <w:rFonts w:cs="Arial" w:asciiTheme="minorEastAsia" w:hAnsiTheme="minorEastAsia" w:eastAsiaTheme="minorEastAsia"/>
                <w:szCs w:val="21"/>
                <w:lang w:val="zh-CN"/>
              </w:rPr>
            </w:pPr>
            <w:r>
              <w:rPr>
                <w:rFonts w:cs="Arial" w:asciiTheme="minorEastAsia" w:hAnsiTheme="minorEastAsia" w:eastAsiaTheme="minorEastAsia"/>
                <w:szCs w:val="21"/>
                <w:lang w:val="zh-CN"/>
              </w:rPr>
              <w:t>2</w:t>
            </w:r>
          </w:p>
        </w:tc>
        <w:tc>
          <w:tcPr>
            <w:tcW w:w="1559" w:type="dxa"/>
            <w:vAlign w:val="center"/>
          </w:tcPr>
          <w:p>
            <w:pPr>
              <w:adjustRightInd w:val="0"/>
              <w:snapToGrid w:val="0"/>
              <w:spacing w:line="440" w:lineRule="exact"/>
              <w:jc w:val="center"/>
              <w:rPr>
                <w:rFonts w:cs="Arial" w:asciiTheme="minorEastAsia" w:hAnsiTheme="minorEastAsia" w:eastAsiaTheme="minorEastAsia"/>
                <w:szCs w:val="21"/>
                <w:lang w:val="zh-CN"/>
              </w:rPr>
            </w:pPr>
            <w:r>
              <w:rPr>
                <w:rFonts w:cs="Arial" w:asciiTheme="minorEastAsia" w:hAnsiTheme="minorEastAsia" w:eastAsiaTheme="minorEastAsia"/>
                <w:szCs w:val="21"/>
                <w:lang w:val="zh-CN"/>
              </w:rPr>
              <w:t>人员配置</w:t>
            </w:r>
          </w:p>
        </w:tc>
        <w:tc>
          <w:tcPr>
            <w:tcW w:w="6962" w:type="dxa"/>
            <w:vAlign w:val="center"/>
          </w:tcPr>
          <w:p>
            <w:pPr>
              <w:spacing w:line="440" w:lineRule="exact"/>
              <w:rPr>
                <w:rFonts w:cs="仿宋" w:asciiTheme="minorEastAsia" w:hAnsiTheme="minorEastAsia" w:eastAsiaTheme="minorEastAsia"/>
                <w:color w:val="0000FF"/>
                <w:szCs w:val="21"/>
                <w:lang w:eastAsia="zh-CN"/>
              </w:rPr>
            </w:pPr>
            <w:r>
              <w:rPr>
                <w:rFonts w:hint="eastAsia" w:cs="Arial" w:asciiTheme="minorEastAsia" w:hAnsiTheme="minorEastAsia" w:eastAsiaTheme="minorEastAsia"/>
                <w:szCs w:val="21"/>
                <w:lang w:eastAsia="zh-CN"/>
              </w:rPr>
              <w:t>投标人拟为本项目配备的项目负责人(项目经理)需为本单位职工，同时持有国家一级注册消防工程师及另外需要有（机电、电气、智能化、给排水、暖通等专业任意一项）的专业职称。现场评估配备</w:t>
            </w:r>
            <w:r>
              <w:rPr>
                <w:rFonts w:cs="Arial" w:asciiTheme="minorEastAsia" w:hAnsiTheme="minorEastAsia" w:eastAsiaTheme="minorEastAsia"/>
                <w:szCs w:val="21"/>
                <w:lang w:eastAsia="zh-CN"/>
              </w:rPr>
              <w:t>4</w:t>
            </w:r>
            <w:r>
              <w:rPr>
                <w:rFonts w:hint="eastAsia" w:cs="Arial" w:asciiTheme="minorEastAsia" w:hAnsiTheme="minorEastAsia" w:eastAsiaTheme="minorEastAsia"/>
                <w:szCs w:val="21"/>
                <w:lang w:eastAsia="zh-CN"/>
              </w:rPr>
              <w:t>名一级消防注册工程师（其中含两名高工），得</w:t>
            </w:r>
            <w:r>
              <w:rPr>
                <w:rFonts w:cs="Arial" w:asciiTheme="minorEastAsia" w:hAnsiTheme="minorEastAsia" w:eastAsiaTheme="minorEastAsia"/>
                <w:szCs w:val="21"/>
                <w:lang w:eastAsia="zh-CN"/>
              </w:rPr>
              <w:t>7</w:t>
            </w:r>
            <w:r>
              <w:rPr>
                <w:rFonts w:hint="eastAsia" w:cs="Arial" w:asciiTheme="minorEastAsia" w:hAnsiTheme="minorEastAsia" w:eastAsiaTheme="minorEastAsia"/>
                <w:szCs w:val="21"/>
                <w:lang w:eastAsia="zh-CN"/>
              </w:rPr>
              <w:t>分；</w:t>
            </w:r>
            <w:r>
              <w:rPr>
                <w:rFonts w:cs="Arial" w:asciiTheme="minorEastAsia" w:hAnsiTheme="minorEastAsia" w:eastAsiaTheme="minorEastAsia"/>
                <w:szCs w:val="21"/>
                <w:lang w:eastAsia="zh-CN"/>
              </w:rPr>
              <w:t>4</w:t>
            </w:r>
            <w:r>
              <w:rPr>
                <w:rFonts w:hint="eastAsia" w:cs="Arial" w:asciiTheme="minorEastAsia" w:hAnsiTheme="minorEastAsia" w:eastAsiaTheme="minorEastAsia"/>
                <w:szCs w:val="21"/>
                <w:lang w:eastAsia="zh-CN"/>
              </w:rPr>
              <w:t>名一级消防注册工程师（其中含一名高工），得</w:t>
            </w:r>
            <w:r>
              <w:rPr>
                <w:rFonts w:cs="Arial" w:asciiTheme="minorEastAsia" w:hAnsiTheme="minorEastAsia" w:eastAsiaTheme="minorEastAsia"/>
                <w:szCs w:val="21"/>
                <w:lang w:eastAsia="zh-CN"/>
              </w:rPr>
              <w:t>5</w:t>
            </w:r>
            <w:r>
              <w:rPr>
                <w:rFonts w:hint="eastAsia" w:cs="Arial" w:asciiTheme="minorEastAsia" w:hAnsiTheme="minorEastAsia" w:eastAsiaTheme="minorEastAsia"/>
                <w:szCs w:val="21"/>
                <w:lang w:eastAsia="zh-CN"/>
              </w:rPr>
              <w:t>分；</w:t>
            </w:r>
            <w:r>
              <w:rPr>
                <w:rFonts w:cs="Arial" w:asciiTheme="minorEastAsia" w:hAnsiTheme="minorEastAsia" w:eastAsiaTheme="minorEastAsia"/>
                <w:szCs w:val="21"/>
                <w:lang w:eastAsia="zh-CN"/>
              </w:rPr>
              <w:t>4</w:t>
            </w:r>
            <w:r>
              <w:rPr>
                <w:rFonts w:hint="eastAsia" w:cs="Arial" w:asciiTheme="minorEastAsia" w:hAnsiTheme="minorEastAsia" w:eastAsiaTheme="minorEastAsia"/>
                <w:szCs w:val="21"/>
                <w:lang w:eastAsia="zh-CN"/>
              </w:rPr>
              <w:t>名一级消防注册工程师，得</w:t>
            </w:r>
            <w:r>
              <w:rPr>
                <w:rFonts w:cs="Arial" w:asciiTheme="minorEastAsia" w:hAnsiTheme="minorEastAsia" w:eastAsiaTheme="minorEastAsia"/>
                <w:szCs w:val="21"/>
                <w:lang w:eastAsia="zh-CN"/>
              </w:rPr>
              <w:t>3</w:t>
            </w:r>
            <w:r>
              <w:rPr>
                <w:rFonts w:hint="eastAsia" w:cs="Arial" w:asciiTheme="minorEastAsia" w:hAnsiTheme="minorEastAsia" w:eastAsiaTheme="minorEastAsia"/>
                <w:szCs w:val="21"/>
                <w:lang w:eastAsia="zh-CN"/>
              </w:rPr>
              <w:t>分；未满足</w:t>
            </w:r>
            <w:r>
              <w:rPr>
                <w:rFonts w:cs="Arial" w:asciiTheme="minorEastAsia" w:hAnsiTheme="minorEastAsia" w:eastAsiaTheme="minorEastAsia"/>
                <w:szCs w:val="21"/>
                <w:lang w:eastAsia="zh-CN"/>
              </w:rPr>
              <w:t>4</w:t>
            </w:r>
            <w:r>
              <w:rPr>
                <w:rFonts w:hint="eastAsia" w:cs="Arial" w:asciiTheme="minorEastAsia" w:hAnsiTheme="minorEastAsia" w:eastAsiaTheme="minorEastAsia"/>
                <w:szCs w:val="21"/>
                <w:lang w:eastAsia="zh-CN"/>
              </w:rPr>
              <w:t>名一级消防注册工程师不推荐为中标人。（需提供有效职称证书和投标截止前半年内连续半年在投标人单位缴纳社会保险的证明的扫描件并加盖单位公章，否则不得分）</w:t>
            </w:r>
            <w:r>
              <w:rPr>
                <w:rFonts w:cs="Arial" w:asciiTheme="minorEastAsia" w:hAnsiTheme="minorEastAsia" w:eastAsiaTheme="minorEastAsia"/>
                <w:szCs w:val="21"/>
                <w:lang w:eastAsia="zh-CN"/>
              </w:rPr>
              <w:t xml:space="preserve"> </w:t>
            </w:r>
          </w:p>
        </w:tc>
        <w:tc>
          <w:tcPr>
            <w:tcW w:w="1134" w:type="dxa"/>
            <w:vAlign w:val="center"/>
          </w:tcPr>
          <w:p>
            <w:pPr>
              <w:adjustRightInd w:val="0"/>
              <w:snapToGrid w:val="0"/>
              <w:spacing w:line="440" w:lineRule="exact"/>
              <w:jc w:val="center"/>
              <w:rPr>
                <w:rFonts w:cs="Arial" w:asciiTheme="minorEastAsia" w:hAnsiTheme="minorEastAsia" w:eastAsiaTheme="minorEastAsia"/>
                <w:szCs w:val="21"/>
                <w:lang w:val="zh-CN"/>
              </w:rPr>
            </w:pPr>
            <w:r>
              <w:rPr>
                <w:rFonts w:cs="Arial" w:asciiTheme="minorEastAsia" w:hAnsiTheme="minorEastAsia" w:eastAsiaTheme="minorEastAsia"/>
                <w:szCs w:val="21"/>
                <w:lang w:val="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tblHeader/>
          <w:jc w:val="center"/>
        </w:trPr>
        <w:tc>
          <w:tcPr>
            <w:tcW w:w="792" w:type="dxa"/>
            <w:vAlign w:val="center"/>
          </w:tcPr>
          <w:p>
            <w:pPr>
              <w:adjustRightInd w:val="0"/>
              <w:snapToGrid w:val="0"/>
              <w:spacing w:line="440" w:lineRule="exact"/>
              <w:jc w:val="center"/>
              <w:rPr>
                <w:rFonts w:cs="Arial" w:asciiTheme="minorEastAsia" w:hAnsiTheme="minorEastAsia" w:eastAsiaTheme="minorEastAsia"/>
                <w:szCs w:val="21"/>
                <w:lang w:val="zh-CN"/>
              </w:rPr>
            </w:pPr>
            <w:r>
              <w:rPr>
                <w:rFonts w:cs="Arial" w:asciiTheme="minorEastAsia" w:hAnsiTheme="minorEastAsia" w:eastAsiaTheme="minorEastAsia"/>
                <w:szCs w:val="21"/>
                <w:lang w:val="zh-CN"/>
              </w:rPr>
              <w:t>3</w:t>
            </w:r>
          </w:p>
        </w:tc>
        <w:tc>
          <w:tcPr>
            <w:tcW w:w="1559" w:type="dxa"/>
            <w:vAlign w:val="center"/>
          </w:tcPr>
          <w:p>
            <w:pPr>
              <w:adjustRightInd w:val="0"/>
              <w:snapToGrid w:val="0"/>
              <w:spacing w:line="440" w:lineRule="exact"/>
              <w:jc w:val="center"/>
              <w:rPr>
                <w:rFonts w:cs="Arial" w:asciiTheme="minorEastAsia" w:hAnsiTheme="minorEastAsia" w:eastAsiaTheme="minorEastAsia"/>
                <w:szCs w:val="21"/>
              </w:rPr>
            </w:pPr>
            <w:r>
              <w:rPr>
                <w:rFonts w:hint="eastAsia" w:cs="Arial" w:asciiTheme="minorEastAsia" w:hAnsiTheme="minorEastAsia" w:eastAsiaTheme="minorEastAsia"/>
                <w:szCs w:val="21"/>
              </w:rPr>
              <w:t>评估方案</w:t>
            </w:r>
          </w:p>
        </w:tc>
        <w:tc>
          <w:tcPr>
            <w:tcW w:w="6962" w:type="dxa"/>
            <w:vAlign w:val="center"/>
          </w:tcPr>
          <w:p>
            <w:pPr>
              <w:spacing w:line="440" w:lineRule="exact"/>
              <w:rPr>
                <w:rFonts w:cs="Arial" w:asciiTheme="minorEastAsia" w:hAnsiTheme="minorEastAsia" w:eastAsiaTheme="minorEastAsia"/>
                <w:szCs w:val="21"/>
                <w:lang w:eastAsia="zh-CN"/>
              </w:rPr>
            </w:pPr>
            <w:r>
              <w:rPr>
                <w:rFonts w:hint="eastAsia" w:cs="Arial" w:asciiTheme="minorEastAsia" w:hAnsiTheme="minorEastAsia" w:eastAsiaTheme="minorEastAsia"/>
                <w:szCs w:val="21"/>
                <w:lang w:eastAsia="zh-CN"/>
              </w:rPr>
              <w:t>评估方案的组织措施、技术措施、安全措施、服务承诺、服务级别、服务质量保障、技术支持力量、支持方式、人员及装备配置、进度安排、响应速度、应急预案等方面评价：</w:t>
            </w:r>
          </w:p>
          <w:p>
            <w:pPr>
              <w:spacing w:line="440" w:lineRule="exact"/>
              <w:rPr>
                <w:rFonts w:cs="Arial" w:asciiTheme="minorEastAsia" w:hAnsiTheme="minorEastAsia" w:eastAsiaTheme="minorEastAsia"/>
                <w:szCs w:val="21"/>
                <w:lang w:eastAsia="zh-CN"/>
              </w:rPr>
            </w:pPr>
            <w:r>
              <w:rPr>
                <w:rFonts w:hint="eastAsia" w:cs="Arial" w:asciiTheme="minorEastAsia" w:hAnsiTheme="minorEastAsia" w:eastAsiaTheme="minorEastAsia"/>
                <w:szCs w:val="21"/>
                <w:lang w:eastAsia="zh-CN"/>
              </w:rPr>
              <w:t>（1）方案详实完善，得</w:t>
            </w:r>
            <w:r>
              <w:rPr>
                <w:rFonts w:cs="Arial" w:asciiTheme="minorEastAsia" w:hAnsiTheme="minorEastAsia" w:eastAsiaTheme="minorEastAsia"/>
                <w:szCs w:val="21"/>
                <w:lang w:eastAsia="zh-CN"/>
              </w:rPr>
              <w:t>6</w:t>
            </w:r>
            <w:r>
              <w:rPr>
                <w:rFonts w:hint="eastAsia" w:cs="Arial" w:asciiTheme="minorEastAsia" w:hAnsiTheme="minorEastAsia" w:eastAsiaTheme="minorEastAsia"/>
                <w:szCs w:val="21"/>
                <w:lang w:eastAsia="zh-CN"/>
              </w:rPr>
              <w:t>分； （2）方案较详实完善，得</w:t>
            </w:r>
            <w:r>
              <w:rPr>
                <w:rFonts w:cs="Arial" w:asciiTheme="minorEastAsia" w:hAnsiTheme="minorEastAsia" w:eastAsiaTheme="minorEastAsia"/>
                <w:szCs w:val="21"/>
                <w:lang w:eastAsia="zh-CN"/>
              </w:rPr>
              <w:t>4</w:t>
            </w:r>
            <w:r>
              <w:rPr>
                <w:rFonts w:hint="eastAsia" w:cs="Arial" w:asciiTheme="minorEastAsia" w:hAnsiTheme="minorEastAsia" w:eastAsiaTheme="minorEastAsia"/>
                <w:szCs w:val="21"/>
                <w:lang w:eastAsia="zh-CN"/>
              </w:rPr>
              <w:t>分；</w:t>
            </w:r>
          </w:p>
          <w:p>
            <w:pPr>
              <w:spacing w:line="440" w:lineRule="exact"/>
              <w:rPr>
                <w:rFonts w:asciiTheme="minorEastAsia" w:hAnsiTheme="minorEastAsia" w:eastAsiaTheme="minorEastAsia"/>
                <w:szCs w:val="21"/>
                <w:lang w:eastAsia="zh-CN"/>
              </w:rPr>
            </w:pPr>
            <w:r>
              <w:rPr>
                <w:rFonts w:hint="eastAsia" w:cs="Arial" w:asciiTheme="minorEastAsia" w:hAnsiTheme="minorEastAsia" w:eastAsiaTheme="minorEastAsia"/>
                <w:szCs w:val="21"/>
                <w:lang w:eastAsia="zh-CN"/>
              </w:rPr>
              <w:t>（3）方案一般，得</w:t>
            </w:r>
            <w:r>
              <w:rPr>
                <w:rFonts w:cs="Arial" w:asciiTheme="minorEastAsia" w:hAnsiTheme="minorEastAsia" w:eastAsiaTheme="minorEastAsia"/>
                <w:szCs w:val="21"/>
                <w:lang w:eastAsia="zh-CN"/>
              </w:rPr>
              <w:t>2</w:t>
            </w:r>
            <w:r>
              <w:rPr>
                <w:rFonts w:hint="eastAsia" w:cs="Arial" w:asciiTheme="minorEastAsia" w:hAnsiTheme="minorEastAsia" w:eastAsiaTheme="minorEastAsia"/>
                <w:szCs w:val="21"/>
                <w:lang w:eastAsia="zh-CN"/>
              </w:rPr>
              <w:t xml:space="preserve">分； </w:t>
            </w:r>
            <w:r>
              <w:rPr>
                <w:rFonts w:cs="Arial" w:asciiTheme="minorEastAsia" w:hAnsiTheme="minorEastAsia" w:eastAsiaTheme="minorEastAsia"/>
                <w:szCs w:val="21"/>
                <w:lang w:eastAsia="zh-CN"/>
              </w:rPr>
              <w:t xml:space="preserve">    </w:t>
            </w:r>
            <w:r>
              <w:rPr>
                <w:rFonts w:hint="eastAsia" w:cs="Arial" w:asciiTheme="minorEastAsia" w:hAnsiTheme="minorEastAsia" w:eastAsiaTheme="minorEastAsia"/>
                <w:szCs w:val="21"/>
                <w:lang w:eastAsia="zh-CN"/>
              </w:rPr>
              <w:t>（4）无方案，得0分</w:t>
            </w:r>
          </w:p>
        </w:tc>
        <w:tc>
          <w:tcPr>
            <w:tcW w:w="1134" w:type="dxa"/>
            <w:vAlign w:val="center"/>
          </w:tcPr>
          <w:p>
            <w:pPr>
              <w:adjustRightInd w:val="0"/>
              <w:snapToGrid w:val="0"/>
              <w:spacing w:line="440" w:lineRule="exact"/>
              <w:jc w:val="center"/>
              <w:rPr>
                <w:rFonts w:cs="Arial" w:asciiTheme="minorEastAsia" w:hAnsiTheme="minorEastAsia" w:eastAsiaTheme="minorEastAsia"/>
                <w:szCs w:val="21"/>
                <w:lang w:val="zh-CN"/>
              </w:rPr>
            </w:pPr>
            <w:r>
              <w:rPr>
                <w:rFonts w:cs="Arial" w:asciiTheme="minorEastAsia" w:hAnsiTheme="minorEastAsia" w:eastAsiaTheme="minorEastAsia"/>
                <w:szCs w:val="21"/>
                <w:lang w:val="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tblHeader/>
          <w:jc w:val="center"/>
        </w:trPr>
        <w:tc>
          <w:tcPr>
            <w:tcW w:w="792" w:type="dxa"/>
            <w:vAlign w:val="center"/>
          </w:tcPr>
          <w:p>
            <w:pPr>
              <w:adjustRightInd w:val="0"/>
              <w:snapToGrid w:val="0"/>
              <w:spacing w:line="440" w:lineRule="exact"/>
              <w:jc w:val="center"/>
              <w:rPr>
                <w:rFonts w:cs="Arial" w:asciiTheme="minorEastAsia" w:hAnsiTheme="minorEastAsia" w:eastAsiaTheme="minorEastAsia"/>
                <w:szCs w:val="21"/>
                <w:lang w:val="zh-CN"/>
              </w:rPr>
            </w:pPr>
            <w:r>
              <w:rPr>
                <w:rFonts w:cs="Arial" w:asciiTheme="minorEastAsia" w:hAnsiTheme="minorEastAsia" w:eastAsiaTheme="minorEastAsia"/>
                <w:szCs w:val="21"/>
                <w:lang w:val="zh-CN"/>
              </w:rPr>
              <w:t>4</w:t>
            </w:r>
          </w:p>
        </w:tc>
        <w:tc>
          <w:tcPr>
            <w:tcW w:w="1559" w:type="dxa"/>
            <w:vAlign w:val="center"/>
          </w:tcPr>
          <w:p>
            <w:pPr>
              <w:adjustRightInd w:val="0"/>
              <w:snapToGrid w:val="0"/>
              <w:spacing w:line="440" w:lineRule="exact"/>
              <w:jc w:val="center"/>
              <w:rPr>
                <w:rFonts w:cs="Arial" w:asciiTheme="minorEastAsia" w:hAnsiTheme="minorEastAsia" w:eastAsiaTheme="minorEastAsia"/>
                <w:szCs w:val="21"/>
              </w:rPr>
            </w:pPr>
            <w:r>
              <w:rPr>
                <w:rFonts w:hint="eastAsia" w:cs="Arial" w:asciiTheme="minorEastAsia" w:hAnsiTheme="minorEastAsia" w:eastAsiaTheme="minorEastAsia"/>
                <w:szCs w:val="21"/>
              </w:rPr>
              <w:t>业绩</w:t>
            </w:r>
          </w:p>
          <w:p>
            <w:pPr>
              <w:adjustRightInd w:val="0"/>
              <w:snapToGrid w:val="0"/>
              <w:spacing w:line="440" w:lineRule="exact"/>
              <w:jc w:val="center"/>
              <w:rPr>
                <w:rFonts w:cs="Arial" w:asciiTheme="minorEastAsia" w:hAnsiTheme="minorEastAsia" w:eastAsiaTheme="minorEastAsia"/>
                <w:szCs w:val="21"/>
              </w:rPr>
            </w:pPr>
          </w:p>
        </w:tc>
        <w:tc>
          <w:tcPr>
            <w:tcW w:w="6962" w:type="dxa"/>
            <w:vAlign w:val="center"/>
          </w:tcPr>
          <w:p>
            <w:pPr>
              <w:spacing w:line="440" w:lineRule="exact"/>
              <w:rPr>
                <w:rFonts w:cs="Arial" w:asciiTheme="minorEastAsia" w:hAnsiTheme="minorEastAsia" w:eastAsiaTheme="minorEastAsia"/>
                <w:szCs w:val="21"/>
                <w:lang w:eastAsia="zh-CN"/>
              </w:rPr>
            </w:pPr>
            <w:r>
              <w:rPr>
                <w:rFonts w:hint="eastAsia" w:cs="Arial" w:asciiTheme="minorEastAsia" w:hAnsiTheme="minorEastAsia" w:eastAsiaTheme="minorEastAsia"/>
                <w:szCs w:val="21"/>
                <w:lang w:eastAsia="zh-CN"/>
              </w:rPr>
              <w:t>提供消防评估项目业绩：提供</w:t>
            </w:r>
            <w:r>
              <w:rPr>
                <w:rFonts w:cs="Arial" w:asciiTheme="minorEastAsia" w:hAnsiTheme="minorEastAsia" w:eastAsiaTheme="minorEastAsia"/>
                <w:szCs w:val="21"/>
                <w:lang w:eastAsia="zh-CN"/>
              </w:rPr>
              <w:t>1</w:t>
            </w:r>
            <w:r>
              <w:rPr>
                <w:rFonts w:hint="eastAsia" w:cs="Arial" w:asciiTheme="minorEastAsia" w:hAnsiTheme="minorEastAsia" w:eastAsiaTheme="minorEastAsia"/>
                <w:szCs w:val="21"/>
                <w:lang w:eastAsia="zh-CN"/>
              </w:rPr>
              <w:t>家石油化工企业评估业绩得</w:t>
            </w:r>
            <w:r>
              <w:rPr>
                <w:rFonts w:cs="Arial" w:asciiTheme="minorEastAsia" w:hAnsiTheme="minorEastAsia" w:eastAsiaTheme="minorEastAsia"/>
                <w:szCs w:val="21"/>
                <w:lang w:eastAsia="zh-CN"/>
              </w:rPr>
              <w:t>5</w:t>
            </w:r>
            <w:r>
              <w:rPr>
                <w:rFonts w:hint="eastAsia" w:cs="Arial" w:asciiTheme="minorEastAsia" w:hAnsiTheme="minorEastAsia" w:eastAsiaTheme="minorEastAsia"/>
                <w:szCs w:val="21"/>
                <w:lang w:eastAsia="zh-CN"/>
              </w:rPr>
              <w:t>分，每增加1家石油化工企业业绩的加</w:t>
            </w:r>
            <w:r>
              <w:rPr>
                <w:rFonts w:cs="Arial" w:asciiTheme="minorEastAsia" w:hAnsiTheme="minorEastAsia" w:eastAsiaTheme="minorEastAsia"/>
                <w:szCs w:val="21"/>
                <w:lang w:eastAsia="zh-CN"/>
              </w:rPr>
              <w:t>3</w:t>
            </w:r>
            <w:r>
              <w:rPr>
                <w:rFonts w:hint="eastAsia" w:cs="Arial" w:asciiTheme="minorEastAsia" w:hAnsiTheme="minorEastAsia" w:eastAsiaTheme="minorEastAsia"/>
                <w:szCs w:val="21"/>
                <w:lang w:eastAsia="zh-CN"/>
              </w:rPr>
              <w:t>分，每增加1家</w:t>
            </w:r>
            <w:r>
              <w:rPr>
                <w:rFonts w:cs="Arial" w:asciiTheme="minorEastAsia" w:hAnsiTheme="minorEastAsia" w:eastAsiaTheme="minorEastAsia"/>
                <w:szCs w:val="21"/>
                <w:lang w:eastAsia="zh-CN"/>
              </w:rPr>
              <w:t>非</w:t>
            </w:r>
            <w:r>
              <w:rPr>
                <w:rFonts w:hint="eastAsia" w:cs="Arial" w:asciiTheme="minorEastAsia" w:hAnsiTheme="minorEastAsia" w:eastAsiaTheme="minorEastAsia"/>
                <w:szCs w:val="21"/>
                <w:lang w:eastAsia="zh-CN"/>
              </w:rPr>
              <w:t>石油化工</w:t>
            </w:r>
            <w:r>
              <w:rPr>
                <w:rFonts w:cs="Arial" w:asciiTheme="minorEastAsia" w:hAnsiTheme="minorEastAsia" w:eastAsiaTheme="minorEastAsia"/>
                <w:szCs w:val="21"/>
                <w:lang w:eastAsia="zh-CN"/>
              </w:rPr>
              <w:t>企业评估业绩</w:t>
            </w:r>
            <w:r>
              <w:rPr>
                <w:rFonts w:hint="eastAsia" w:cs="Arial" w:asciiTheme="minorEastAsia" w:hAnsiTheme="minorEastAsia" w:eastAsiaTheme="minorEastAsia"/>
                <w:szCs w:val="21"/>
                <w:lang w:eastAsia="zh-CN"/>
              </w:rPr>
              <w:t>得</w:t>
            </w:r>
            <w:r>
              <w:rPr>
                <w:rFonts w:cs="Arial" w:asciiTheme="minorEastAsia" w:hAnsiTheme="minorEastAsia" w:eastAsiaTheme="minorEastAsia"/>
                <w:szCs w:val="21"/>
                <w:lang w:eastAsia="zh-CN"/>
              </w:rPr>
              <w:t>1分</w:t>
            </w:r>
            <w:r>
              <w:rPr>
                <w:rFonts w:hint="eastAsia" w:cs="Arial" w:asciiTheme="minorEastAsia" w:hAnsiTheme="minorEastAsia" w:eastAsiaTheme="minorEastAsia"/>
                <w:szCs w:val="21"/>
                <w:lang w:eastAsia="zh-CN"/>
              </w:rPr>
              <w:t>；</w:t>
            </w:r>
            <w:r>
              <w:rPr>
                <w:rFonts w:hint="eastAsia" w:asciiTheme="minorEastAsia" w:hAnsiTheme="minorEastAsia" w:eastAsiaTheme="minorEastAsia"/>
                <w:szCs w:val="21"/>
                <w:lang w:eastAsia="zh-CN"/>
              </w:rPr>
              <w:t>（</w:t>
            </w:r>
            <w:r>
              <w:rPr>
                <w:rFonts w:hint="eastAsia" w:cs="Arial" w:asciiTheme="minorEastAsia" w:hAnsiTheme="minorEastAsia" w:eastAsiaTheme="minorEastAsia"/>
                <w:szCs w:val="21"/>
                <w:lang w:eastAsia="zh-CN"/>
              </w:rPr>
              <w:t>需提供完整消防评估合同，业绩合同复印件加盖投标人公章并</w:t>
            </w:r>
            <w:r>
              <w:rPr>
                <w:rFonts w:cs="Arial" w:asciiTheme="minorEastAsia" w:hAnsiTheme="minorEastAsia" w:eastAsiaTheme="minorEastAsia"/>
                <w:szCs w:val="21"/>
                <w:lang w:eastAsia="zh-CN"/>
              </w:rPr>
              <w:t>全部装订在投标文件中</w:t>
            </w:r>
            <w:r>
              <w:rPr>
                <w:rFonts w:hint="eastAsia" w:cs="Arial" w:asciiTheme="minorEastAsia" w:hAnsiTheme="minorEastAsia" w:eastAsiaTheme="minorEastAsia"/>
                <w:szCs w:val="21"/>
                <w:lang w:eastAsia="zh-CN"/>
              </w:rPr>
              <w:t>）</w:t>
            </w:r>
            <w:r>
              <w:rPr>
                <w:rFonts w:hint="eastAsia" w:ascii="Arial" w:cs="Arial"/>
                <w:szCs w:val="21"/>
                <w:lang w:eastAsia="zh-CN"/>
              </w:rPr>
              <w:t>无石油化工企业消防评估业绩，</w:t>
            </w:r>
            <w:r>
              <w:rPr>
                <w:rFonts w:hint="eastAsia" w:asciiTheme="minorEastAsia" w:hAnsiTheme="minorEastAsia" w:eastAsiaTheme="minorEastAsia"/>
                <w:szCs w:val="21"/>
                <w:lang w:eastAsia="zh-CN"/>
              </w:rPr>
              <w:t>不推荐为中标人</w:t>
            </w:r>
            <w:r>
              <w:rPr>
                <w:rFonts w:hint="eastAsia" w:cs="Arial" w:asciiTheme="minorEastAsia" w:hAnsiTheme="minorEastAsia" w:eastAsiaTheme="minorEastAsia"/>
                <w:szCs w:val="21"/>
                <w:lang w:eastAsia="zh-CN"/>
              </w:rPr>
              <w:t>。</w:t>
            </w:r>
          </w:p>
        </w:tc>
        <w:tc>
          <w:tcPr>
            <w:tcW w:w="1134" w:type="dxa"/>
            <w:vAlign w:val="center"/>
          </w:tcPr>
          <w:p>
            <w:pPr>
              <w:adjustRightInd w:val="0"/>
              <w:snapToGrid w:val="0"/>
              <w:spacing w:line="440" w:lineRule="exact"/>
              <w:jc w:val="center"/>
              <w:rPr>
                <w:rFonts w:cs="Arial" w:asciiTheme="minorEastAsia" w:hAnsiTheme="minorEastAsia" w:eastAsiaTheme="minorEastAsia"/>
                <w:szCs w:val="21"/>
                <w:lang w:val="zh-CN"/>
              </w:rPr>
            </w:pPr>
            <w:r>
              <w:rPr>
                <w:rFonts w:cs="Arial" w:asciiTheme="minorEastAsia" w:hAnsiTheme="minorEastAsia" w:eastAsiaTheme="minorEastAsia"/>
                <w:szCs w:val="21"/>
                <w:lang w:val="zh-CN"/>
              </w:rPr>
              <w:t>11</w:t>
            </w:r>
          </w:p>
        </w:tc>
      </w:tr>
    </w:tbl>
    <w:p>
      <w:pPr>
        <w:pStyle w:val="78"/>
        <w:spacing w:line="360" w:lineRule="auto"/>
        <w:ind w:firstLine="420" w:firstLineChars="200"/>
        <w:rPr>
          <w:rFonts w:hAnsi="宋体" w:eastAsiaTheme="minorEastAsia"/>
          <w:snapToGrid w:val="0"/>
          <w:sz w:val="21"/>
          <w:szCs w:val="21"/>
        </w:rPr>
      </w:pPr>
      <w:r>
        <w:rPr>
          <w:rFonts w:hAnsi="宋体" w:eastAsiaTheme="minorEastAsia"/>
          <w:snapToGrid w:val="0"/>
          <w:sz w:val="21"/>
          <w:szCs w:val="21"/>
        </w:rPr>
        <w:t>3</w:t>
      </w:r>
      <w:r>
        <w:rPr>
          <w:rFonts w:hint="eastAsia" w:hAnsi="宋体" w:eastAsiaTheme="minorEastAsia"/>
          <w:snapToGrid w:val="0"/>
          <w:sz w:val="21"/>
          <w:szCs w:val="21"/>
        </w:rPr>
        <w:t>、商务标（</w:t>
      </w:r>
      <w:r>
        <w:rPr>
          <w:rFonts w:hAnsi="宋体" w:eastAsiaTheme="minorEastAsia"/>
          <w:snapToGrid w:val="0"/>
          <w:sz w:val="21"/>
          <w:szCs w:val="21"/>
        </w:rPr>
        <w:t>满分7</w:t>
      </w:r>
      <w:r>
        <w:rPr>
          <w:rFonts w:hint="eastAsia" w:hAnsi="宋体" w:eastAsiaTheme="minorEastAsia"/>
          <w:snapToGrid w:val="0"/>
          <w:sz w:val="21"/>
          <w:szCs w:val="21"/>
        </w:rPr>
        <w:t>0分）</w:t>
      </w:r>
    </w:p>
    <w:p>
      <w:pPr>
        <w:spacing w:line="440" w:lineRule="exact"/>
        <w:rPr>
          <w:rFonts w:cs="华文中宋" w:eastAsiaTheme="minorEastAsia"/>
          <w:snapToGrid w:val="0"/>
          <w:color w:val="000000"/>
          <w:sz w:val="21"/>
          <w:szCs w:val="21"/>
        </w:rPr>
      </w:pPr>
      <w:r>
        <w:rPr>
          <w:rFonts w:hint="eastAsia" w:cs="华文中宋" w:eastAsiaTheme="minorEastAsia"/>
          <w:snapToGrid w:val="0"/>
          <w:color w:val="000000"/>
          <w:sz w:val="21"/>
          <w:szCs w:val="21"/>
        </w:rPr>
        <w:t xml:space="preserve"> </w:t>
      </w:r>
      <w:r>
        <w:rPr>
          <w:rFonts w:cs="华文中宋" w:eastAsiaTheme="minorEastAsia"/>
          <w:snapToGrid w:val="0"/>
          <w:color w:val="000000"/>
          <w:sz w:val="21"/>
          <w:szCs w:val="21"/>
        </w:rPr>
        <w:t xml:space="preserve">  评分方法</w:t>
      </w:r>
      <w:r>
        <w:rPr>
          <w:rFonts w:hint="eastAsia" w:cs="华文中宋" w:eastAsiaTheme="minorEastAsia"/>
          <w:snapToGrid w:val="0"/>
          <w:color w:val="000000"/>
          <w:sz w:val="21"/>
          <w:szCs w:val="21"/>
        </w:rPr>
        <w:t>：A=（a1+a2+……+an）/N</w:t>
      </w:r>
    </w:p>
    <w:p>
      <w:pPr>
        <w:spacing w:line="440" w:lineRule="exact"/>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注：A=评标基准价 a=有效投标价 N=有效投标人的数；计算得分：7</w:t>
      </w:r>
      <w:r>
        <w:rPr>
          <w:rFonts w:cs="Arial" w:asciiTheme="minorEastAsia" w:hAnsiTheme="minorEastAsia" w:eastAsiaTheme="minorEastAsia"/>
          <w:sz w:val="21"/>
          <w:szCs w:val="21"/>
          <w:lang w:eastAsia="zh-CN"/>
        </w:rPr>
        <w:t>0</w:t>
      </w:r>
      <w:r>
        <w:rPr>
          <w:rFonts w:hint="eastAsia" w:cs="Arial" w:asciiTheme="minorEastAsia" w:hAnsiTheme="minorEastAsia" w:eastAsiaTheme="minorEastAsia"/>
          <w:sz w:val="21"/>
          <w:szCs w:val="21"/>
          <w:lang w:eastAsia="zh-CN"/>
        </w:rPr>
        <w:t>-（|有效报价-评标基准价|÷评标基准价×100×Q）</w:t>
      </w:r>
      <w:r>
        <w:rPr>
          <w:rFonts w:cs="Arial" w:asciiTheme="minorEastAsia" w:hAnsiTheme="minorEastAsia" w:eastAsiaTheme="minorEastAsia"/>
          <w:sz w:val="21"/>
          <w:szCs w:val="21"/>
          <w:lang w:eastAsia="zh-CN"/>
        </w:rPr>
        <w:t>①</w:t>
      </w:r>
      <w:r>
        <w:rPr>
          <w:rFonts w:hint="eastAsia" w:cs="Arial" w:asciiTheme="minorEastAsia" w:hAnsiTheme="minorEastAsia" w:eastAsiaTheme="minorEastAsia"/>
          <w:sz w:val="21"/>
          <w:szCs w:val="21"/>
          <w:lang w:eastAsia="zh-CN"/>
        </w:rPr>
        <w:t>当a&gt;A时，Q=</w:t>
      </w:r>
      <w:r>
        <w:rPr>
          <w:rFonts w:cs="Arial" w:asciiTheme="minorEastAsia" w:hAnsiTheme="minorEastAsia" w:eastAsiaTheme="minorEastAsia"/>
          <w:sz w:val="21"/>
          <w:szCs w:val="21"/>
          <w:lang w:eastAsia="zh-CN"/>
        </w:rPr>
        <w:t>1</w:t>
      </w:r>
      <w:r>
        <w:rPr>
          <w:rFonts w:hint="eastAsia" w:cs="Arial" w:asciiTheme="minorEastAsia" w:hAnsiTheme="minorEastAsia" w:eastAsiaTheme="minorEastAsia"/>
          <w:sz w:val="21"/>
          <w:szCs w:val="21"/>
          <w:lang w:eastAsia="zh-CN"/>
        </w:rPr>
        <w:t>；当a&lt;A时，Q=0.</w:t>
      </w:r>
      <w:r>
        <w:rPr>
          <w:rFonts w:cs="Arial" w:asciiTheme="minorEastAsia" w:hAnsiTheme="minorEastAsia" w:eastAsiaTheme="minorEastAsia"/>
          <w:sz w:val="21"/>
          <w:szCs w:val="21"/>
          <w:lang w:eastAsia="zh-CN"/>
        </w:rPr>
        <w:t>5</w:t>
      </w:r>
      <w:r>
        <w:rPr>
          <w:rFonts w:hint="eastAsia" w:cs="Arial" w:asciiTheme="minorEastAsia" w:hAnsiTheme="minorEastAsia" w:eastAsiaTheme="minorEastAsia"/>
          <w:sz w:val="21"/>
          <w:szCs w:val="21"/>
          <w:lang w:eastAsia="zh-CN"/>
        </w:rPr>
        <w:t>；②计算分数时四舍五入取小数点后两位</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本项的消防评估年约合计总价最高限价为人民币</w:t>
      </w:r>
      <w:r>
        <w:rPr>
          <w:rFonts w:hAnsi="宋体" w:eastAsiaTheme="minorEastAsia"/>
          <w:snapToGrid w:val="0"/>
          <w:sz w:val="21"/>
          <w:szCs w:val="21"/>
        </w:rPr>
        <w:t>35</w:t>
      </w:r>
      <w:r>
        <w:rPr>
          <w:rFonts w:hint="eastAsia" w:hAnsi="宋体" w:eastAsiaTheme="minorEastAsia"/>
          <w:snapToGrid w:val="0"/>
          <w:sz w:val="21"/>
          <w:szCs w:val="21"/>
        </w:rPr>
        <w:t>万元；翔鹭石化控制价为1</w:t>
      </w:r>
      <w:r>
        <w:rPr>
          <w:rFonts w:hAnsi="宋体" w:eastAsiaTheme="minorEastAsia"/>
          <w:snapToGrid w:val="0"/>
          <w:sz w:val="21"/>
          <w:szCs w:val="21"/>
        </w:rPr>
        <w:t>0万元</w:t>
      </w:r>
      <w:r>
        <w:rPr>
          <w:rFonts w:hint="eastAsia" w:hAnsi="宋体" w:eastAsiaTheme="minorEastAsia"/>
          <w:snapToGrid w:val="0"/>
          <w:sz w:val="21"/>
          <w:szCs w:val="21"/>
        </w:rPr>
        <w:t>，</w:t>
      </w:r>
      <w:r>
        <w:rPr>
          <w:rFonts w:hAnsi="宋体" w:eastAsiaTheme="minorEastAsia"/>
          <w:snapToGrid w:val="0"/>
          <w:sz w:val="21"/>
          <w:szCs w:val="21"/>
        </w:rPr>
        <w:t>腾龙芳烃</w:t>
      </w:r>
      <w:r>
        <w:rPr>
          <w:rFonts w:hint="eastAsia" w:hAnsi="宋体" w:eastAsiaTheme="minorEastAsia"/>
          <w:snapToGrid w:val="0"/>
          <w:sz w:val="21"/>
          <w:szCs w:val="21"/>
        </w:rPr>
        <w:t>制价为</w:t>
      </w:r>
      <w:r>
        <w:rPr>
          <w:rFonts w:hAnsi="宋体" w:eastAsiaTheme="minorEastAsia"/>
          <w:snapToGrid w:val="0"/>
          <w:sz w:val="21"/>
          <w:szCs w:val="21"/>
        </w:rPr>
        <w:t>25万元</w:t>
      </w:r>
      <w:r>
        <w:rPr>
          <w:rFonts w:hint="eastAsia" w:hAnsi="宋体" w:eastAsiaTheme="minorEastAsia"/>
          <w:snapToGrid w:val="0"/>
          <w:sz w:val="21"/>
          <w:szCs w:val="21"/>
        </w:rPr>
        <w:t>，投标人所填报的投标价高于控制价，视为未实质性响应招标文件要求，视为无效报价。</w:t>
      </w:r>
    </w:p>
    <w:p>
      <w:pPr>
        <w:spacing w:line="520" w:lineRule="exact"/>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七、评估工作要求</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1、消防安全评估机构在实施评估服务前，应编制评估方案及评估计划，提交甲方审核备案，甲方核准后方可实施。</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2、消防安全评估机构须如实记录评估结果，并对评估过程中发现的问题及时反馈给甲方，以便甲方及时整改。</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3、按照资料审查、现场检查（对企业内事故监控与报警设施消防设施、消防道路、消防供水、消防供电、消防控制室、水泵房、配电室等内容进行现场检查，还会对部分消防设施进行现场测试）、消防安全管理检查、对照判定的程序方式进行安全评估，并提出科学、合理、具有可操作性的消防安全建议。</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4、评估工作结束时，应及时提交详细的评估报告、消防安全改进技术建议书，翔鹭石化（漳州）有限公司、腾龙芳烃（漳州）有限公司消防评估纸质报告各一式</w:t>
      </w:r>
      <w:r>
        <w:rPr>
          <w:rFonts w:hAnsi="宋体" w:eastAsiaTheme="minorEastAsia"/>
          <w:snapToGrid w:val="0"/>
          <w:sz w:val="21"/>
          <w:szCs w:val="21"/>
        </w:rPr>
        <w:t>4</w:t>
      </w:r>
      <w:r>
        <w:rPr>
          <w:rFonts w:hint="eastAsia" w:hAnsi="宋体" w:eastAsiaTheme="minorEastAsia"/>
          <w:snapToGrid w:val="0"/>
          <w:sz w:val="21"/>
          <w:szCs w:val="21"/>
        </w:rPr>
        <w:t>份、完整可编辑的电子版一份。评估记录及报告应由评估人员和评估单位签字盖章，所提供的评估报告应符合消防部门的要求。</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5、消防安全评估机构应严格遵循有关法律和规定（包括技术规定和技术标准），完成约定的消防安全评估工作，并确保项目消防安全评估报告经过甲方审核合格后，上传政府主管部门平台备案。</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6、消防安全评估机构应采用先进技术和手段开展本项目的消防安全评估工作，确保评估成果的完整性和准确性并对成果负全部责任。</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7、在消防安全评估执行过程中，甲方有权了解消防安全评估机构的工作程序和工作进度，并对其工作质量进行检查监督。</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8、评估单位在开展工作时应执行和遵守福海创公司相应的质量和安全管理规定，并承担相应的违（规）约责任。</w:t>
      </w:r>
    </w:p>
    <w:p>
      <w:pPr>
        <w:pStyle w:val="78"/>
        <w:spacing w:line="520" w:lineRule="exact"/>
        <w:ind w:firstLine="420" w:firstLineChars="200"/>
        <w:rPr>
          <w:rFonts w:hAnsi="宋体" w:eastAsiaTheme="minorEastAsia"/>
          <w:snapToGrid w:val="0"/>
          <w:sz w:val="21"/>
          <w:szCs w:val="21"/>
        </w:rPr>
      </w:pPr>
      <w:r>
        <w:rPr>
          <w:rFonts w:hint="eastAsia" w:hAnsi="宋体" w:eastAsiaTheme="minorEastAsia"/>
          <w:snapToGrid w:val="0"/>
          <w:sz w:val="21"/>
          <w:szCs w:val="21"/>
        </w:rPr>
        <w:t>9、由于评估过程中涉及到相关消防设计资料及现场实际情况，服务机构需要签署保密协议。</w:t>
      </w:r>
    </w:p>
    <w:p>
      <w:pPr>
        <w:spacing w:line="520" w:lineRule="exact"/>
        <w:ind w:firstLine="420" w:firstLineChars="200"/>
        <w:rPr>
          <w:rFonts w:ascii="仿宋_GB2312" w:eastAsia="仿宋_GB2312"/>
          <w:sz w:val="21"/>
          <w:szCs w:val="21"/>
          <w:lang w:eastAsia="zh-CN"/>
        </w:rPr>
      </w:pPr>
    </w:p>
    <w:p>
      <w:pPr>
        <w:spacing w:line="520" w:lineRule="exact"/>
        <w:ind w:firstLine="420" w:firstLineChars="200"/>
        <w:rPr>
          <w:rFonts w:asciiTheme="minorEastAsia" w:hAnsiTheme="minorEastAsia" w:eastAsiaTheme="minorEastAsia"/>
          <w:sz w:val="21"/>
          <w:szCs w:val="21"/>
          <w:lang w:eastAsia="zh-CN"/>
        </w:rPr>
      </w:pPr>
      <w:r>
        <w:rPr>
          <w:rFonts w:hint="eastAsia" w:ascii="仿宋_GB2312" w:eastAsia="仿宋_GB2312"/>
          <w:sz w:val="21"/>
          <w:szCs w:val="21"/>
          <w:lang w:eastAsia="zh-CN"/>
        </w:rPr>
        <w:t xml:space="preserve">                                              </w:t>
      </w:r>
      <w:r>
        <w:rPr>
          <w:rFonts w:hint="eastAsia" w:asciiTheme="minorEastAsia" w:hAnsiTheme="minorEastAsia" w:eastAsiaTheme="minorEastAsia"/>
          <w:sz w:val="21"/>
          <w:szCs w:val="21"/>
          <w:lang w:eastAsia="zh-CN"/>
        </w:rPr>
        <w:t>福建福海创石油化工有限公司</w:t>
      </w:r>
    </w:p>
    <w:p>
      <w:pPr>
        <w:spacing w:line="520" w:lineRule="exact"/>
        <w:ind w:firstLine="5670" w:firstLineChars="2700"/>
        <w:rPr>
          <w:rFonts w:asciiTheme="minorEastAsia" w:hAnsiTheme="minorEastAsia" w:eastAsiaTheme="minorEastAsia"/>
          <w:sz w:val="24"/>
          <w:szCs w:val="24"/>
          <w:lang w:eastAsia="zh-CN"/>
        </w:rPr>
      </w:pPr>
      <w:r>
        <w:rPr>
          <w:rFonts w:hint="eastAsia" w:asciiTheme="minorEastAsia" w:hAnsiTheme="minorEastAsia" w:eastAsiaTheme="minorEastAsia"/>
          <w:sz w:val="21"/>
          <w:szCs w:val="21"/>
        </w:rPr>
        <w:t>202</w:t>
      </w:r>
      <w:r>
        <w:rPr>
          <w:rFonts w:asciiTheme="minorEastAsia" w:hAnsiTheme="minorEastAsia" w:eastAsiaTheme="minorEastAsia"/>
          <w:sz w:val="21"/>
          <w:szCs w:val="21"/>
        </w:rPr>
        <w:t>2</w:t>
      </w:r>
      <w:r>
        <w:rPr>
          <w:rFonts w:hint="eastAsia" w:asciiTheme="minorEastAsia" w:hAnsiTheme="minorEastAsia" w:eastAsiaTheme="minorEastAsia"/>
          <w:sz w:val="21"/>
          <w:szCs w:val="21"/>
        </w:rPr>
        <w:t>年</w:t>
      </w:r>
      <w:r>
        <w:rPr>
          <w:rFonts w:asciiTheme="minorEastAsia" w:hAnsiTheme="minorEastAsia" w:eastAsiaTheme="minorEastAsia"/>
          <w:sz w:val="21"/>
          <w:szCs w:val="21"/>
        </w:rPr>
        <w:t>9</w:t>
      </w:r>
      <w:r>
        <w:rPr>
          <w:rFonts w:hint="eastAsia" w:asciiTheme="minorEastAsia" w:hAnsiTheme="minorEastAsia" w:eastAsiaTheme="minorEastAsia"/>
          <w:sz w:val="21"/>
          <w:szCs w:val="21"/>
        </w:rPr>
        <w:t>月</w:t>
      </w:r>
      <w:r>
        <w:rPr>
          <w:rFonts w:asciiTheme="minorEastAsia" w:hAnsiTheme="minorEastAsia" w:eastAsiaTheme="minorEastAsia"/>
          <w:sz w:val="21"/>
          <w:szCs w:val="21"/>
        </w:rPr>
        <w:t>20</w:t>
      </w:r>
      <w:r>
        <w:rPr>
          <w:rFonts w:hint="eastAsia" w:asciiTheme="minorEastAsia" w:hAnsiTheme="minorEastAsia" w:eastAsiaTheme="minorEastAsia"/>
          <w:sz w:val="21"/>
          <w:szCs w:val="21"/>
        </w:rPr>
        <w:t xml:space="preserve">日 </w:t>
      </w:r>
    </w:p>
    <w:p>
      <w:pPr>
        <w:pStyle w:val="59"/>
      </w:pPr>
    </w:p>
    <w:sectPr>
      <w:footerReference r:id="rId5" w:type="default"/>
      <w:pgSz w:w="11906" w:h="16838"/>
      <w:pgMar w:top="1198" w:right="875" w:bottom="1120" w:left="111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eastAsia="zh-CN"/>
      </w:rPr>
      <w:pict>
        <v:shape id="文本框 1026" o:spid="_x0000_s2050"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DpxV7ZAAAADQEAAA8A&#10;AAAAAAAAAQAgAAAAIgAAAGRycy9kb3ducmV2LnhtbFBLAQIUABQAAAAIAIdO4kC4L0A9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eastAsia="zh-CN"/>
      </w:rPr>
      <w:pict>
        <v:shape id="文本框 1028" o:spid="_x0000_s2049"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9lMHZAAAADQEAAA8A&#10;AAAAAAAAAQAgAAAAIgAAAGRycy9kb3ducmV2LnhtbFBLAQIUABQAAAAIAIdO4kDHCGMI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0248C179"/>
    <w:multiLevelType w:val="multilevel"/>
    <w:tmpl w:val="0248C179"/>
    <w:lvl w:ilvl="0" w:tentative="0">
      <w:start w:val="2"/>
      <w:numFmt w:val="decimal"/>
      <w:pStyle w:val="17"/>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98D399"/>
    <w:multiLevelType w:val="singleLevel"/>
    <w:tmpl w:val="2E98D399"/>
    <w:lvl w:ilvl="0" w:tentative="0">
      <w:start w:val="2"/>
      <w:numFmt w:val="chineseCounting"/>
      <w:suff w:val="nothing"/>
      <w:lvlText w:val="%1、"/>
      <w:lvlJc w:val="left"/>
      <w:rPr>
        <w:rFonts w:hint="eastAsia"/>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20"/>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1E76"/>
    <w:multiLevelType w:val="singleLevel"/>
    <w:tmpl w:val="5B7E1E76"/>
    <w:lvl w:ilvl="0" w:tentative="0">
      <w:start w:val="3"/>
      <w:numFmt w:val="decimal"/>
      <w:suff w:val="space"/>
      <w:lvlText w:val="%1."/>
      <w:lvlJc w:val="left"/>
    </w:lvl>
  </w:abstractNum>
  <w:abstractNum w:abstractNumId="8">
    <w:nsid w:val="62E9E60D"/>
    <w:multiLevelType w:val="singleLevel"/>
    <w:tmpl w:val="62E9E60D"/>
    <w:lvl w:ilvl="0" w:tentative="0">
      <w:start w:val="1"/>
      <w:numFmt w:val="chineseCounting"/>
      <w:suff w:val="nothing"/>
      <w:lvlText w:val="%1、"/>
      <w:lvlJc w:val="left"/>
    </w:lvl>
  </w:abstractNum>
  <w:abstractNum w:abstractNumId="9">
    <w:nsid w:val="63310F61"/>
    <w:multiLevelType w:val="singleLevel"/>
    <w:tmpl w:val="63310F61"/>
    <w:lvl w:ilvl="0" w:tentative="0">
      <w:start w:val="1"/>
      <w:numFmt w:val="decimal"/>
      <w:suff w:val="space"/>
      <w:lvlText w:val="%1."/>
      <w:lvlJc w:val="left"/>
    </w:lvl>
  </w:abstractNum>
  <w:abstractNum w:abstractNumId="10">
    <w:nsid w:val="63316895"/>
    <w:multiLevelType w:val="singleLevel"/>
    <w:tmpl w:val="63316895"/>
    <w:lvl w:ilvl="0" w:tentative="0">
      <w:start w:val="1"/>
      <w:numFmt w:val="decimal"/>
      <w:suff w:val="nothing"/>
      <w:lvlText w:val="%1."/>
      <w:lvlJc w:val="left"/>
    </w:lvl>
  </w:abstractNum>
  <w:num w:numId="1">
    <w:abstractNumId w:val="1"/>
  </w:num>
  <w:num w:numId="2">
    <w:abstractNumId w:val="6"/>
  </w:num>
  <w:num w:numId="3">
    <w:abstractNumId w:val="3"/>
  </w:num>
  <w:num w:numId="4">
    <w:abstractNumId w:val="4"/>
  </w:num>
  <w:num w:numId="5">
    <w:abstractNumId w:val="5"/>
  </w:num>
  <w:num w:numId="6">
    <w:abstractNumId w:val="9"/>
  </w:num>
  <w:num w:numId="7">
    <w:abstractNumId w:val="7"/>
  </w:num>
  <w:num w:numId="8">
    <w:abstractNumId w:val="0"/>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1F21"/>
    <w:rsid w:val="003221F4"/>
    <w:rsid w:val="00322502"/>
    <w:rsid w:val="00322549"/>
    <w:rsid w:val="00331810"/>
    <w:rsid w:val="0033277A"/>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2D51"/>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4669"/>
    <w:rsid w:val="00555E59"/>
    <w:rsid w:val="00563D30"/>
    <w:rsid w:val="00565CF8"/>
    <w:rsid w:val="00576ADD"/>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1952"/>
    <w:rsid w:val="00FB7A38"/>
    <w:rsid w:val="00FC6A22"/>
    <w:rsid w:val="00FD0D54"/>
    <w:rsid w:val="00FD1B14"/>
    <w:rsid w:val="00FD1DC9"/>
    <w:rsid w:val="00FD29D5"/>
    <w:rsid w:val="00FE1531"/>
    <w:rsid w:val="00FE1DB9"/>
    <w:rsid w:val="00FE65F9"/>
    <w:rsid w:val="00FF0727"/>
    <w:rsid w:val="00FF0FF3"/>
    <w:rsid w:val="00FF49E8"/>
    <w:rsid w:val="00FF5F83"/>
    <w:rsid w:val="02154C9E"/>
    <w:rsid w:val="024803D1"/>
    <w:rsid w:val="02D81AA4"/>
    <w:rsid w:val="0367315B"/>
    <w:rsid w:val="03FC0ED3"/>
    <w:rsid w:val="049428BB"/>
    <w:rsid w:val="054002CE"/>
    <w:rsid w:val="060C619A"/>
    <w:rsid w:val="061139E5"/>
    <w:rsid w:val="06F50B00"/>
    <w:rsid w:val="072845C1"/>
    <w:rsid w:val="076E1278"/>
    <w:rsid w:val="07F12E2A"/>
    <w:rsid w:val="085D08BB"/>
    <w:rsid w:val="08D1141D"/>
    <w:rsid w:val="09114AE3"/>
    <w:rsid w:val="0B296DE2"/>
    <w:rsid w:val="0C4D6E47"/>
    <w:rsid w:val="0CD75DDF"/>
    <w:rsid w:val="0E316D67"/>
    <w:rsid w:val="0E4068AB"/>
    <w:rsid w:val="0E5F2B77"/>
    <w:rsid w:val="0ECC0803"/>
    <w:rsid w:val="0FB83347"/>
    <w:rsid w:val="10294AA3"/>
    <w:rsid w:val="10E40CA0"/>
    <w:rsid w:val="12184648"/>
    <w:rsid w:val="136130D9"/>
    <w:rsid w:val="13986DBC"/>
    <w:rsid w:val="14385447"/>
    <w:rsid w:val="15CC49D5"/>
    <w:rsid w:val="1652774F"/>
    <w:rsid w:val="17691C63"/>
    <w:rsid w:val="17EA37D6"/>
    <w:rsid w:val="183E3464"/>
    <w:rsid w:val="18796374"/>
    <w:rsid w:val="18DD4F7E"/>
    <w:rsid w:val="195B58A2"/>
    <w:rsid w:val="1BDA6B7A"/>
    <w:rsid w:val="1C8231B4"/>
    <w:rsid w:val="1CA71874"/>
    <w:rsid w:val="1CF00A03"/>
    <w:rsid w:val="1D0A124D"/>
    <w:rsid w:val="1DF36724"/>
    <w:rsid w:val="1E085A14"/>
    <w:rsid w:val="1E2C2AA6"/>
    <w:rsid w:val="1E6D0F11"/>
    <w:rsid w:val="1EF1739F"/>
    <w:rsid w:val="1FA42F25"/>
    <w:rsid w:val="1FAB5EF7"/>
    <w:rsid w:val="1FCD58EA"/>
    <w:rsid w:val="1FF43DDB"/>
    <w:rsid w:val="200668C2"/>
    <w:rsid w:val="206C5804"/>
    <w:rsid w:val="21933AA2"/>
    <w:rsid w:val="22E07C1C"/>
    <w:rsid w:val="23C41683"/>
    <w:rsid w:val="2471353F"/>
    <w:rsid w:val="24CB4AA9"/>
    <w:rsid w:val="24D723E8"/>
    <w:rsid w:val="24DE7297"/>
    <w:rsid w:val="24DF1F9D"/>
    <w:rsid w:val="25432D48"/>
    <w:rsid w:val="25BF356F"/>
    <w:rsid w:val="25DB0C2D"/>
    <w:rsid w:val="269469E7"/>
    <w:rsid w:val="27086DAF"/>
    <w:rsid w:val="28277887"/>
    <w:rsid w:val="289C2193"/>
    <w:rsid w:val="29FC3B14"/>
    <w:rsid w:val="2B1012B4"/>
    <w:rsid w:val="2B11792E"/>
    <w:rsid w:val="2EED603F"/>
    <w:rsid w:val="2FBE0961"/>
    <w:rsid w:val="2FF879D1"/>
    <w:rsid w:val="304B3CEC"/>
    <w:rsid w:val="30BC10CE"/>
    <w:rsid w:val="319643A2"/>
    <w:rsid w:val="319B3869"/>
    <w:rsid w:val="31C54755"/>
    <w:rsid w:val="3216608C"/>
    <w:rsid w:val="32202D37"/>
    <w:rsid w:val="32427997"/>
    <w:rsid w:val="325E6694"/>
    <w:rsid w:val="327B26AF"/>
    <w:rsid w:val="34CE14C6"/>
    <w:rsid w:val="34D84CEC"/>
    <w:rsid w:val="37356611"/>
    <w:rsid w:val="37A70A29"/>
    <w:rsid w:val="37AF5AB7"/>
    <w:rsid w:val="38A70432"/>
    <w:rsid w:val="3B1C3371"/>
    <w:rsid w:val="3C4B6065"/>
    <w:rsid w:val="3CC23198"/>
    <w:rsid w:val="3CD470C8"/>
    <w:rsid w:val="3D7342BE"/>
    <w:rsid w:val="3DD11D73"/>
    <w:rsid w:val="3DDF4815"/>
    <w:rsid w:val="3FE669E5"/>
    <w:rsid w:val="41B704D4"/>
    <w:rsid w:val="41EA2AAD"/>
    <w:rsid w:val="42FE7F4B"/>
    <w:rsid w:val="43E81FB8"/>
    <w:rsid w:val="44816FD3"/>
    <w:rsid w:val="44AB6177"/>
    <w:rsid w:val="45694E50"/>
    <w:rsid w:val="46290CD2"/>
    <w:rsid w:val="466A240E"/>
    <w:rsid w:val="470258B7"/>
    <w:rsid w:val="488D5E8F"/>
    <w:rsid w:val="48E97D45"/>
    <w:rsid w:val="4A0B1528"/>
    <w:rsid w:val="4C6D0E78"/>
    <w:rsid w:val="4F107C42"/>
    <w:rsid w:val="506B7DE6"/>
    <w:rsid w:val="50F63E28"/>
    <w:rsid w:val="51E80BD1"/>
    <w:rsid w:val="5221007F"/>
    <w:rsid w:val="52926B5A"/>
    <w:rsid w:val="536F516A"/>
    <w:rsid w:val="54431D94"/>
    <w:rsid w:val="545C5E51"/>
    <w:rsid w:val="5486175B"/>
    <w:rsid w:val="56341428"/>
    <w:rsid w:val="57667D24"/>
    <w:rsid w:val="57CE5BC3"/>
    <w:rsid w:val="58164413"/>
    <w:rsid w:val="58D10988"/>
    <w:rsid w:val="5AE1516A"/>
    <w:rsid w:val="5B6A3A79"/>
    <w:rsid w:val="5B7C50AB"/>
    <w:rsid w:val="5BBE7DCA"/>
    <w:rsid w:val="5C1A5F7B"/>
    <w:rsid w:val="61315BEF"/>
    <w:rsid w:val="613A7D05"/>
    <w:rsid w:val="623E36E1"/>
    <w:rsid w:val="63945B4E"/>
    <w:rsid w:val="645771F8"/>
    <w:rsid w:val="64770716"/>
    <w:rsid w:val="647D0BD7"/>
    <w:rsid w:val="64B0156D"/>
    <w:rsid w:val="64C97ABB"/>
    <w:rsid w:val="64FD4F7E"/>
    <w:rsid w:val="66465892"/>
    <w:rsid w:val="666A7101"/>
    <w:rsid w:val="66EF2EB3"/>
    <w:rsid w:val="67302A7F"/>
    <w:rsid w:val="6A54112D"/>
    <w:rsid w:val="6AA035AE"/>
    <w:rsid w:val="6B7344E6"/>
    <w:rsid w:val="6BCC39D5"/>
    <w:rsid w:val="6C751931"/>
    <w:rsid w:val="6D432CA7"/>
    <w:rsid w:val="6E0F2E14"/>
    <w:rsid w:val="6E4F186F"/>
    <w:rsid w:val="6E8E00E1"/>
    <w:rsid w:val="6F1E141D"/>
    <w:rsid w:val="6F5354F8"/>
    <w:rsid w:val="6F724007"/>
    <w:rsid w:val="70347549"/>
    <w:rsid w:val="705A02D6"/>
    <w:rsid w:val="71057856"/>
    <w:rsid w:val="7277763E"/>
    <w:rsid w:val="73C7607E"/>
    <w:rsid w:val="73E31679"/>
    <w:rsid w:val="740A2BDE"/>
    <w:rsid w:val="74ED6F82"/>
    <w:rsid w:val="750C652F"/>
    <w:rsid w:val="751839E0"/>
    <w:rsid w:val="754079A1"/>
    <w:rsid w:val="759040EF"/>
    <w:rsid w:val="76274F93"/>
    <w:rsid w:val="77172300"/>
    <w:rsid w:val="77982409"/>
    <w:rsid w:val="78A80E8F"/>
    <w:rsid w:val="790A7307"/>
    <w:rsid w:val="79EB3F2F"/>
    <w:rsid w:val="7A0F4F62"/>
    <w:rsid w:val="7AAB185F"/>
    <w:rsid w:val="7B11789E"/>
    <w:rsid w:val="7C9E3B15"/>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5">
    <w:name w:val="heading 1"/>
    <w:basedOn w:val="1"/>
    <w:next w:val="1"/>
    <w:link w:val="60"/>
    <w:qFormat/>
    <w:uiPriority w:val="0"/>
    <w:pPr>
      <w:ind w:left="538"/>
      <w:outlineLvl w:val="0"/>
    </w:pPr>
    <w:rPr>
      <w:b/>
      <w:bCs/>
      <w:sz w:val="28"/>
      <w:szCs w:val="28"/>
    </w:rPr>
  </w:style>
  <w:style w:type="paragraph" w:styleId="2">
    <w:name w:val="heading 2"/>
    <w:basedOn w:val="3"/>
    <w:next w:val="4"/>
    <w:link w:val="61"/>
    <w:qFormat/>
    <w:uiPriority w:val="0"/>
    <w:pPr>
      <w:ind w:left="629"/>
      <w:outlineLvl w:val="1"/>
    </w:pPr>
    <w:rPr>
      <w:sz w:val="24"/>
      <w:szCs w:val="24"/>
    </w:rPr>
  </w:style>
  <w:style w:type="paragraph" w:styleId="6">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styleId="3">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customStyle="1" w:styleId="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styleId="11">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annotation subject"/>
    <w:basedOn w:val="15"/>
    <w:next w:val="15"/>
    <w:link w:val="103"/>
    <w:qFormat/>
    <w:uiPriority w:val="0"/>
    <w:pPr>
      <w:widowControl/>
    </w:pPr>
    <w:rPr>
      <w:b/>
      <w:bCs/>
      <w:sz w:val="24"/>
      <w:szCs w:val="24"/>
    </w:rPr>
  </w:style>
  <w:style w:type="paragraph" w:styleId="15">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6">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7">
    <w:name w:val="Body Text First Indent"/>
    <w:basedOn w:val="18"/>
    <w:link w:val="102"/>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8">
    <w:name w:val="Body Text"/>
    <w:basedOn w:val="1"/>
    <w:link w:val="70"/>
    <w:qFormat/>
    <w:uiPriority w:val="1"/>
    <w:rPr>
      <w:sz w:val="24"/>
      <w:szCs w:val="24"/>
    </w:rPr>
  </w:style>
  <w:style w:type="paragraph" w:styleId="19">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20">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1">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2">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3">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4">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5">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6">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7">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8">
    <w:name w:val="Plain Text"/>
    <w:basedOn w:val="1"/>
    <w:link w:val="71"/>
    <w:qFormat/>
    <w:uiPriority w:val="0"/>
    <w:rPr>
      <w:rFonts w:hAnsi="Courier New" w:cs="Courier New"/>
      <w:szCs w:val="21"/>
    </w:rPr>
  </w:style>
  <w:style w:type="paragraph" w:styleId="29">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0">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1">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2">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3">
    <w:name w:val="footer"/>
    <w:basedOn w:val="1"/>
    <w:link w:val="72"/>
    <w:qFormat/>
    <w:uiPriority w:val="0"/>
    <w:pPr>
      <w:tabs>
        <w:tab w:val="center" w:pos="4153"/>
        <w:tab w:val="right" w:pos="8306"/>
      </w:tabs>
      <w:snapToGrid w:val="0"/>
    </w:pPr>
    <w:rPr>
      <w:sz w:val="18"/>
      <w:szCs w:val="18"/>
    </w:rPr>
  </w:style>
  <w:style w:type="paragraph" w:styleId="34">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1"/>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none"/>
    </w:rPr>
  </w:style>
  <w:style w:type="character" w:styleId="50">
    <w:name w:val="Emphasis"/>
    <w:basedOn w:val="46"/>
    <w:qFormat/>
    <w:uiPriority w:val="0"/>
  </w:style>
  <w:style w:type="character" w:styleId="51">
    <w:name w:val="HTML Definition"/>
    <w:basedOn w:val="46"/>
    <w:unhideWhenUsed/>
    <w:qFormat/>
    <w:uiPriority w:val="0"/>
  </w:style>
  <w:style w:type="character" w:styleId="52">
    <w:name w:val="HTML Variable"/>
    <w:basedOn w:val="46"/>
    <w:unhideWhenUsed/>
    <w:qFormat/>
    <w:uiPriority w:val="0"/>
  </w:style>
  <w:style w:type="character" w:styleId="53">
    <w:name w:val="Hyperlink"/>
    <w:basedOn w:val="46"/>
    <w:qFormat/>
    <w:uiPriority w:val="0"/>
    <w:rPr>
      <w:color w:val="0000FF" w:themeColor="hyperlink"/>
      <w:u w:val="single"/>
    </w:rPr>
  </w:style>
  <w:style w:type="character" w:styleId="54">
    <w:name w:val="HTML Code"/>
    <w:basedOn w:val="46"/>
    <w:unhideWhenUsed/>
    <w:qFormat/>
    <w:uiPriority w:val="0"/>
    <w:rPr>
      <w:rFonts w:ascii="Courier New" w:hAnsi="Courier New"/>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0"/>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0">
    <w:name w:val="标题 1 Char"/>
    <w:basedOn w:val="46"/>
    <w:link w:val="5"/>
    <w:qFormat/>
    <w:uiPriority w:val="0"/>
    <w:rPr>
      <w:rFonts w:ascii="宋体" w:hAnsi="宋体" w:cs="宋体"/>
      <w:b/>
      <w:bCs/>
      <w:sz w:val="28"/>
      <w:szCs w:val="28"/>
      <w:lang w:eastAsia="en-US"/>
    </w:rPr>
  </w:style>
  <w:style w:type="character" w:customStyle="1" w:styleId="61">
    <w:name w:val="标题 2 Char"/>
    <w:basedOn w:val="46"/>
    <w:link w:val="2"/>
    <w:qFormat/>
    <w:uiPriority w:val="0"/>
    <w:rPr>
      <w:rFonts w:ascii="宋体" w:hAnsi="宋体" w:cs="宋体"/>
      <w:b/>
      <w:bCs/>
      <w:sz w:val="24"/>
      <w:szCs w:val="24"/>
      <w:lang w:eastAsia="en-US"/>
    </w:rPr>
  </w:style>
  <w:style w:type="character" w:customStyle="1" w:styleId="62">
    <w:name w:val="标题 3 Char"/>
    <w:basedOn w:val="46"/>
    <w:link w:val="6"/>
    <w:qFormat/>
    <w:uiPriority w:val="0"/>
    <w:rPr>
      <w:b/>
      <w:bCs/>
      <w:kern w:val="2"/>
      <w:sz w:val="32"/>
      <w:szCs w:val="32"/>
    </w:rPr>
  </w:style>
  <w:style w:type="character" w:customStyle="1" w:styleId="63">
    <w:name w:val="标题 4 Char"/>
    <w:basedOn w:val="46"/>
    <w:link w:val="7"/>
    <w:qFormat/>
    <w:uiPriority w:val="0"/>
    <w:rPr>
      <w:b/>
      <w:kern w:val="2"/>
      <w:sz w:val="24"/>
      <w:szCs w:val="24"/>
    </w:rPr>
  </w:style>
  <w:style w:type="character" w:customStyle="1" w:styleId="64">
    <w:name w:val="标题 5 Char"/>
    <w:basedOn w:val="46"/>
    <w:link w:val="8"/>
    <w:qFormat/>
    <w:uiPriority w:val="0"/>
    <w:rPr>
      <w:b/>
      <w:bCs/>
      <w:kern w:val="2"/>
      <w:sz w:val="28"/>
      <w:szCs w:val="28"/>
    </w:rPr>
  </w:style>
  <w:style w:type="character" w:customStyle="1" w:styleId="65">
    <w:name w:val="标题 6 Char"/>
    <w:basedOn w:val="46"/>
    <w:link w:val="9"/>
    <w:qFormat/>
    <w:uiPriority w:val="0"/>
    <w:rPr>
      <w:b/>
      <w:sz w:val="24"/>
    </w:rPr>
  </w:style>
  <w:style w:type="character" w:customStyle="1" w:styleId="66">
    <w:name w:val="正文缩进 Char"/>
    <w:basedOn w:val="46"/>
    <w:link w:val="11"/>
    <w:qFormat/>
    <w:uiPriority w:val="0"/>
    <w:rPr>
      <w:sz w:val="24"/>
    </w:rPr>
  </w:style>
  <w:style w:type="character" w:customStyle="1" w:styleId="67">
    <w:name w:val="标题 7 Char"/>
    <w:basedOn w:val="46"/>
    <w:link w:val="10"/>
    <w:qFormat/>
    <w:uiPriority w:val="0"/>
    <w:rPr>
      <w:b/>
      <w:kern w:val="2"/>
      <w:sz w:val="24"/>
    </w:rPr>
  </w:style>
  <w:style w:type="character" w:customStyle="1" w:styleId="68">
    <w:name w:val="标题 8 Char"/>
    <w:basedOn w:val="46"/>
    <w:link w:val="12"/>
    <w:qFormat/>
    <w:uiPriority w:val="0"/>
    <w:rPr>
      <w:rFonts w:ascii="Arial" w:hAnsi="Arial" w:eastAsia="黑体"/>
      <w:kern w:val="2"/>
      <w:sz w:val="24"/>
    </w:rPr>
  </w:style>
  <w:style w:type="character" w:customStyle="1" w:styleId="69">
    <w:name w:val="标题 9 Char"/>
    <w:basedOn w:val="46"/>
    <w:link w:val="13"/>
    <w:qFormat/>
    <w:uiPriority w:val="0"/>
    <w:rPr>
      <w:rFonts w:ascii="Arial" w:hAnsi="Arial" w:eastAsia="黑体"/>
      <w:kern w:val="2"/>
      <w:sz w:val="21"/>
    </w:rPr>
  </w:style>
  <w:style w:type="character" w:customStyle="1" w:styleId="70">
    <w:name w:val="正文文本 Char1"/>
    <w:basedOn w:val="46"/>
    <w:link w:val="18"/>
    <w:qFormat/>
    <w:uiPriority w:val="0"/>
    <w:rPr>
      <w:rFonts w:ascii="宋体" w:hAnsi="宋体" w:cs="宋体"/>
      <w:sz w:val="24"/>
      <w:szCs w:val="24"/>
      <w:lang w:eastAsia="en-US"/>
    </w:rPr>
  </w:style>
  <w:style w:type="character" w:customStyle="1" w:styleId="71">
    <w:name w:val="纯文本 Char"/>
    <w:basedOn w:val="46"/>
    <w:link w:val="28"/>
    <w:qFormat/>
    <w:uiPriority w:val="0"/>
    <w:rPr>
      <w:rFonts w:ascii="宋体" w:hAnsi="Courier New" w:cs="Courier New"/>
      <w:sz w:val="22"/>
      <w:szCs w:val="21"/>
      <w:lang w:eastAsia="en-US"/>
    </w:rPr>
  </w:style>
  <w:style w:type="character" w:customStyle="1" w:styleId="72">
    <w:name w:val="页脚 Char"/>
    <w:basedOn w:val="46"/>
    <w:link w:val="33"/>
    <w:qFormat/>
    <w:uiPriority w:val="99"/>
    <w:rPr>
      <w:rFonts w:ascii="宋体" w:hAnsi="宋体" w:cs="宋体"/>
      <w:sz w:val="18"/>
      <w:szCs w:val="18"/>
      <w:lang w:eastAsia="en-US"/>
    </w:rPr>
  </w:style>
  <w:style w:type="character" w:customStyle="1" w:styleId="73">
    <w:name w:val="页眉 Char"/>
    <w:basedOn w:val="46"/>
    <w:link w:val="34"/>
    <w:qFormat/>
    <w:uiPriority w:val="0"/>
    <w:rPr>
      <w:rFonts w:ascii="宋体" w:hAnsi="宋体" w:cs="宋体"/>
      <w:sz w:val="18"/>
      <w:szCs w:val="22"/>
      <w:lang w:eastAsia="en-US"/>
    </w:rPr>
  </w:style>
  <w:style w:type="table" w:customStyle="1" w:styleId="74">
    <w:name w:val="Table Normal"/>
    <w:unhideWhenUsed/>
    <w:qFormat/>
    <w:uiPriority w:val="2"/>
    <w:tblPr>
      <w:tblLayout w:type="fixed"/>
      <w:tblCellMar>
        <w:top w:w="0" w:type="dxa"/>
        <w:left w:w="0" w:type="dxa"/>
        <w:bottom w:w="0" w:type="dxa"/>
        <w:right w:w="0" w:type="dxa"/>
      </w:tblCellMar>
    </w:tblPr>
  </w:style>
  <w:style w:type="paragraph" w:customStyle="1" w:styleId="75">
    <w:name w:val="列出段落1"/>
    <w:basedOn w:val="1"/>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6"/>
    <w:link w:val="23"/>
    <w:qFormat/>
    <w:uiPriority w:val="0"/>
    <w:rPr>
      <w:b/>
      <w:kern w:val="2"/>
      <w:sz w:val="21"/>
    </w:rPr>
  </w:style>
  <w:style w:type="character" w:customStyle="1" w:styleId="81">
    <w:name w:val="普通(网站) Char"/>
    <w:basedOn w:val="46"/>
    <w:link w:val="43"/>
    <w:qFormat/>
    <w:locked/>
    <w:uiPriority w:val="0"/>
    <w:rPr>
      <w:rFonts w:ascii="宋体" w:hAnsi="宋体" w:cs="宋体"/>
      <w:sz w:val="24"/>
      <w:szCs w:val="24"/>
    </w:rPr>
  </w:style>
  <w:style w:type="character" w:customStyle="1" w:styleId="82">
    <w:name w:val="xdrichtextbox2"/>
    <w:basedOn w:val="46"/>
    <w:qFormat/>
    <w:uiPriority w:val="0"/>
    <w:rPr>
      <w:color w:val="0000FF"/>
      <w:sz w:val="18"/>
      <w:szCs w:val="18"/>
      <w:u w:val="none"/>
      <w:bdr w:val="single" w:color="DCDCDC" w:sz="8" w:space="0"/>
      <w:shd w:val="clear" w:color="auto" w:fill="FFFFFF"/>
    </w:rPr>
  </w:style>
  <w:style w:type="character" w:customStyle="1" w:styleId="83">
    <w:name w:val="apple-converted-space"/>
    <w:basedOn w:val="46"/>
    <w:qFormat/>
    <w:uiPriority w:val="0"/>
  </w:style>
  <w:style w:type="character" w:customStyle="1" w:styleId="84">
    <w:name w:val="无间隔 Char"/>
    <w:basedOn w:val="46"/>
    <w:link w:val="85"/>
    <w:qFormat/>
    <w:uiPriority w:val="0"/>
    <w:rPr>
      <w:rFonts w:ascii="Calibri" w:hAnsi="Calibri"/>
      <w:sz w:val="22"/>
      <w:szCs w:val="22"/>
    </w:rPr>
  </w:style>
  <w:style w:type="paragraph" w:customStyle="1" w:styleId="85">
    <w:name w:val="无间隔1"/>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6"/>
    <w:link w:val="15"/>
    <w:qFormat/>
    <w:uiPriority w:val="0"/>
    <w:rPr>
      <w:kern w:val="2"/>
      <w:sz w:val="21"/>
    </w:rPr>
  </w:style>
  <w:style w:type="character" w:customStyle="1" w:styleId="87">
    <w:name w:val="批注框文本 Char"/>
    <w:basedOn w:val="46"/>
    <w:link w:val="32"/>
    <w:qFormat/>
    <w:uiPriority w:val="0"/>
    <w:rPr>
      <w:kern w:val="2"/>
      <w:sz w:val="18"/>
      <w:szCs w:val="18"/>
    </w:rPr>
  </w:style>
  <w:style w:type="character" w:customStyle="1" w:styleId="88">
    <w:name w:val="正文文本缩进 3 Char"/>
    <w:basedOn w:val="46"/>
    <w:link w:val="37"/>
    <w:qFormat/>
    <w:uiPriority w:val="0"/>
    <w:rPr>
      <w:kern w:val="2"/>
      <w:sz w:val="28"/>
    </w:rPr>
  </w:style>
  <w:style w:type="character" w:customStyle="1" w:styleId="89">
    <w:name w:val="正文文本缩进 2 Char"/>
    <w:basedOn w:val="46"/>
    <w:link w:val="31"/>
    <w:qFormat/>
    <w:uiPriority w:val="0"/>
    <w:rPr>
      <w:rFonts w:ascii="宋体" w:hAnsi="宋体"/>
      <w:iCs/>
      <w:kern w:val="2"/>
      <w:sz w:val="24"/>
      <w:szCs w:val="24"/>
    </w:rPr>
  </w:style>
  <w:style w:type="character" w:customStyle="1" w:styleId="90">
    <w:name w:val="正文文本 Char"/>
    <w:basedOn w:val="46"/>
    <w:qFormat/>
    <w:uiPriority w:val="0"/>
    <w:rPr>
      <w:rFonts w:eastAsia="宋体"/>
      <w:sz w:val="24"/>
      <w:szCs w:val="24"/>
      <w:lang w:val="en-US" w:eastAsia="zh-CN" w:bidi="ar-SA"/>
    </w:rPr>
  </w:style>
  <w:style w:type="character" w:customStyle="1" w:styleId="91">
    <w:name w:val="en1"/>
    <w:basedOn w:val="46"/>
    <w:qFormat/>
    <w:uiPriority w:val="0"/>
    <w:rPr>
      <w:b/>
      <w:bCs/>
      <w:color w:val="154C7F"/>
      <w:sz w:val="24"/>
      <w:szCs w:val="24"/>
    </w:rPr>
  </w:style>
  <w:style w:type="character" w:customStyle="1" w:styleId="92">
    <w:name w:val="font01"/>
    <w:basedOn w:val="46"/>
    <w:qFormat/>
    <w:uiPriority w:val="0"/>
    <w:rPr>
      <w:rFonts w:hint="eastAsia" w:ascii="宋体" w:hAnsi="宋体" w:eastAsia="宋体" w:cs="宋体"/>
      <w:color w:val="000000"/>
      <w:sz w:val="20"/>
      <w:szCs w:val="20"/>
      <w:u w:val="none"/>
    </w:rPr>
  </w:style>
  <w:style w:type="character" w:customStyle="1" w:styleId="93">
    <w:name w:val="标题 Char"/>
    <w:basedOn w:val="46"/>
    <w:link w:val="45"/>
    <w:qFormat/>
    <w:uiPriority w:val="0"/>
    <w:rPr>
      <w:rFonts w:ascii="Arial" w:hAnsi="Arial" w:cs="Arial"/>
      <w:b/>
      <w:bCs/>
      <w:sz w:val="44"/>
      <w:szCs w:val="32"/>
    </w:rPr>
  </w:style>
  <w:style w:type="character" w:customStyle="1" w:styleId="94">
    <w:name w:val="正文文本缩进 Char"/>
    <w:basedOn w:val="46"/>
    <w:link w:val="24"/>
    <w:qFormat/>
    <w:uiPriority w:val="0"/>
    <w:rPr>
      <w:i/>
      <w:iCs/>
      <w:kern w:val="2"/>
      <w:sz w:val="21"/>
    </w:rPr>
  </w:style>
  <w:style w:type="character" w:customStyle="1" w:styleId="95">
    <w:name w:val="正文文本 3 Char"/>
    <w:basedOn w:val="46"/>
    <w:link w:val="22"/>
    <w:qFormat/>
    <w:uiPriority w:val="0"/>
    <w:rPr>
      <w:color w:val="0000FF"/>
      <w:kern w:val="2"/>
      <w:sz w:val="24"/>
      <w:szCs w:val="24"/>
    </w:rPr>
  </w:style>
  <w:style w:type="character" w:customStyle="1" w:styleId="96">
    <w:name w:val="font11"/>
    <w:basedOn w:val="46"/>
    <w:qFormat/>
    <w:uiPriority w:val="0"/>
    <w:rPr>
      <w:rFonts w:hint="default" w:ascii="Times New Roman" w:hAnsi="Times New Roman" w:cs="Times New Roman"/>
      <w:color w:val="000000"/>
      <w:sz w:val="20"/>
      <w:szCs w:val="20"/>
      <w:u w:val="none"/>
    </w:rPr>
  </w:style>
  <w:style w:type="character" w:customStyle="1" w:styleId="97">
    <w:name w:val="glossaryitem"/>
    <w:basedOn w:val="46"/>
    <w:qFormat/>
    <w:uiPriority w:val="0"/>
    <w:rPr>
      <w:u w:val="none"/>
    </w:rPr>
  </w:style>
  <w:style w:type="character" w:customStyle="1" w:styleId="98">
    <w:name w:val="HTML 预设格式 Char"/>
    <w:basedOn w:val="46"/>
    <w:link w:val="42"/>
    <w:qFormat/>
    <w:uiPriority w:val="0"/>
    <w:rPr>
      <w:rFonts w:ascii="Arial Unicode MS" w:hAnsi="Arial Unicode MS" w:eastAsia="Courier New" w:cs="Courier New"/>
    </w:rPr>
  </w:style>
  <w:style w:type="character" w:customStyle="1" w:styleId="99">
    <w:name w:val="文档结构图 Char"/>
    <w:basedOn w:val="46"/>
    <w:link w:val="21"/>
    <w:qFormat/>
    <w:uiPriority w:val="0"/>
    <w:rPr>
      <w:rFonts w:ascii="宋体"/>
      <w:sz w:val="28"/>
      <w:shd w:val="clear" w:color="auto" w:fill="000080"/>
    </w:rPr>
  </w:style>
  <w:style w:type="character" w:customStyle="1" w:styleId="100">
    <w:name w:val="日期 Char"/>
    <w:basedOn w:val="46"/>
    <w:link w:val="30"/>
    <w:qFormat/>
    <w:uiPriority w:val="0"/>
    <w:rPr>
      <w:kern w:val="2"/>
      <w:sz w:val="21"/>
      <w:szCs w:val="24"/>
    </w:rPr>
  </w:style>
  <w:style w:type="character" w:customStyle="1" w:styleId="101">
    <w:name w:val="正文文本 2 Char"/>
    <w:basedOn w:val="46"/>
    <w:link w:val="40"/>
    <w:qFormat/>
    <w:uiPriority w:val="0"/>
    <w:rPr>
      <w:kern w:val="2"/>
      <w:sz w:val="21"/>
      <w:szCs w:val="24"/>
    </w:rPr>
  </w:style>
  <w:style w:type="character" w:customStyle="1" w:styleId="102">
    <w:name w:val="正文首行缩进 Char"/>
    <w:basedOn w:val="90"/>
    <w:link w:val="17"/>
    <w:qFormat/>
    <w:uiPriority w:val="0"/>
    <w:rPr>
      <w:rFonts w:eastAsia="宋体"/>
      <w:sz w:val="21"/>
      <w:szCs w:val="21"/>
      <w:lang w:val="en-US" w:eastAsia="zh-CN" w:bidi="ar-SA"/>
    </w:rPr>
  </w:style>
  <w:style w:type="character" w:customStyle="1" w:styleId="103">
    <w:name w:val="批注主题 Char"/>
    <w:basedOn w:val="86"/>
    <w:link w:val="14"/>
    <w:qFormat/>
    <w:uiPriority w:val="0"/>
    <w:rPr>
      <w:b/>
      <w:bCs/>
      <w:kern w:val="2"/>
      <w:sz w:val="24"/>
      <w:szCs w:val="24"/>
    </w:rPr>
  </w:style>
  <w:style w:type="paragraph" w:customStyle="1" w:styleId="104">
    <w:name w:val="标题3(小3号)"/>
    <w:basedOn w:val="6"/>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6"/>
    <w:link w:val="41"/>
    <w:qFormat/>
    <w:uiPriority w:val="0"/>
    <w:rPr>
      <w:rFonts w:ascii="Arial" w:hAnsi="Arial" w:cs="Arial"/>
      <w:kern w:val="2"/>
      <w:sz w:val="24"/>
      <w:szCs w:val="24"/>
      <w:shd w:val="pct20" w:color="auto" w:fill="auto"/>
    </w:rPr>
  </w:style>
  <w:style w:type="character" w:customStyle="1" w:styleId="108">
    <w:name w:val="正文文本 3 Char1"/>
    <w:basedOn w:val="46"/>
    <w:qFormat/>
    <w:uiPriority w:val="0"/>
    <w:rPr>
      <w:rFonts w:ascii="宋体" w:hAnsi="宋体" w:cs="宋体"/>
      <w:sz w:val="16"/>
      <w:szCs w:val="16"/>
      <w:lang w:eastAsia="en-US"/>
    </w:rPr>
  </w:style>
  <w:style w:type="paragraph" w:customStyle="1" w:styleId="109">
    <w:name w:val="封面页眉"/>
    <w:basedOn w:val="34"/>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6"/>
    <w:qFormat/>
    <w:uiPriority w:val="0"/>
    <w:rPr>
      <w:rFonts w:ascii="宋体" w:hAnsi="宋体" w:cs="宋体"/>
      <w:sz w:val="22"/>
      <w:szCs w:val="22"/>
      <w:lang w:eastAsia="en-US"/>
    </w:rPr>
  </w:style>
  <w:style w:type="character" w:customStyle="1" w:styleId="112">
    <w:name w:val="批注文字 Char1"/>
    <w:basedOn w:val="46"/>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6"/>
    <w:qFormat/>
    <w:uiPriority w:val="0"/>
    <w:rPr>
      <w:rFonts w:ascii="宋体" w:hAnsi="宋体" w:cs="宋体"/>
      <w:sz w:val="18"/>
      <w:szCs w:val="18"/>
      <w:lang w:eastAsia="en-US"/>
    </w:rPr>
  </w:style>
  <w:style w:type="character" w:customStyle="1" w:styleId="117">
    <w:name w:val="日期 Char1"/>
    <w:basedOn w:val="46"/>
    <w:qFormat/>
    <w:uiPriority w:val="0"/>
    <w:rPr>
      <w:rFonts w:ascii="宋体" w:hAnsi="宋体" w:cs="宋体"/>
      <w:sz w:val="22"/>
      <w:szCs w:val="22"/>
      <w:lang w:eastAsia="en-US"/>
    </w:rPr>
  </w:style>
  <w:style w:type="paragraph" w:customStyle="1" w:styleId="118">
    <w:name w:val="标题3(3号)"/>
    <w:basedOn w:val="6"/>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3"/>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6"/>
    <w:qFormat/>
    <w:uiPriority w:val="0"/>
    <w:rPr>
      <w:rFonts w:ascii="Courier New" w:hAnsi="Courier New" w:cs="Courier New"/>
      <w:lang w:eastAsia="en-US"/>
    </w:rPr>
  </w:style>
  <w:style w:type="character" w:customStyle="1" w:styleId="122">
    <w:name w:val="正文文本缩进 Char1"/>
    <w:basedOn w:val="46"/>
    <w:qFormat/>
    <w:uiPriority w:val="0"/>
    <w:rPr>
      <w:rFonts w:ascii="宋体" w:hAnsi="宋体" w:cs="宋体"/>
      <w:sz w:val="22"/>
      <w:szCs w:val="22"/>
      <w:lang w:eastAsia="en-US"/>
    </w:rPr>
  </w:style>
  <w:style w:type="paragraph" w:customStyle="1" w:styleId="123">
    <w:name w:val="标题2(小3号)"/>
    <w:basedOn w:val="2"/>
    <w:next w:val="124"/>
    <w:qFormat/>
    <w:uiPriority w:val="0"/>
    <w:pPr>
      <w:keepNext/>
      <w:keepLines/>
      <w:widowControl/>
      <w:spacing w:line="360" w:lineRule="auto"/>
      <w:ind w:left="420" w:hanging="420" w:hangingChars="200"/>
      <w:jc w:val="both"/>
    </w:pPr>
    <w:rPr>
      <w:b w:val="0"/>
      <w:bCs w:val="0"/>
      <w:color w:val="000000"/>
      <w:sz w:val="30"/>
      <w:szCs w:val="21"/>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5"/>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6"/>
    <w:qFormat/>
    <w:uiPriority w:val="0"/>
    <w:rPr>
      <w:rFonts w:ascii="宋体" w:hAnsi="宋体" w:cs="宋体"/>
      <w:sz w:val="22"/>
      <w:szCs w:val="22"/>
      <w:lang w:eastAsia="en-US"/>
    </w:rPr>
  </w:style>
  <w:style w:type="character" w:customStyle="1" w:styleId="130">
    <w:name w:val="标题 Char1"/>
    <w:basedOn w:val="46"/>
    <w:qFormat/>
    <w:uiPriority w:val="0"/>
    <w:rPr>
      <w:rFonts w:asciiTheme="majorHAnsi" w:hAnsiTheme="majorHAnsi" w:cstheme="majorBidi"/>
      <w:b/>
      <w:bCs/>
      <w:sz w:val="32"/>
      <w:szCs w:val="32"/>
      <w:lang w:eastAsia="en-US"/>
    </w:rPr>
  </w:style>
  <w:style w:type="character" w:customStyle="1" w:styleId="131">
    <w:name w:val="正文文本缩进 3 Char1"/>
    <w:basedOn w:val="46"/>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6"/>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3"/>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6"/>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2"/>
    <w:qFormat/>
    <w:uiPriority w:val="0"/>
    <w:pPr>
      <w:numPr>
        <w:ilvl w:val="1"/>
        <w:numId w:val="3"/>
      </w:numPr>
      <w:tabs>
        <w:tab w:val="left" w:pos="567"/>
        <w:tab w:val="left" w:pos="840"/>
        <w:tab w:val="left" w:pos="1840"/>
      </w:tabs>
      <w:spacing w:line="480" w:lineRule="exact"/>
      <w:jc w:val="both"/>
    </w:pPr>
    <w:rPr>
      <w:bCs w:val="0"/>
      <w:color w:val="000000"/>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4"/>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6"/>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6"/>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2"/>
    <w:next w:val="119"/>
    <w:qFormat/>
    <w:uiPriority w:val="0"/>
    <w:pPr>
      <w:keepNext/>
      <w:keepLines/>
      <w:widowControl/>
      <w:spacing w:line="360" w:lineRule="auto"/>
      <w:ind w:left="420" w:hanging="420" w:hangingChars="200"/>
      <w:jc w:val="both"/>
    </w:pPr>
    <w:rPr>
      <w:b w:val="0"/>
      <w:bCs w:val="0"/>
      <w:color w:val="000000"/>
      <w:sz w:val="36"/>
      <w:szCs w:val="21"/>
    </w:rPr>
  </w:style>
  <w:style w:type="paragraph" w:customStyle="1" w:styleId="160">
    <w:name w:val="标题1 Char Char Char"/>
    <w:basedOn w:val="5"/>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5"/>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4"/>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5"/>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2"/>
    <w:next w:val="155"/>
    <w:qFormat/>
    <w:uiPriority w:val="0"/>
    <w:pPr>
      <w:keepNext/>
      <w:keepLines/>
      <w:widowControl/>
      <w:spacing w:line="360" w:lineRule="auto"/>
      <w:ind w:left="420" w:hanging="420" w:hangingChars="200"/>
      <w:jc w:val="both"/>
    </w:pPr>
    <w:rPr>
      <w:b w:val="0"/>
      <w:bCs w:val="0"/>
      <w:color w:val="000000"/>
      <w:sz w:val="28"/>
      <w:szCs w:val="21"/>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5"/>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5"/>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5"/>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2"/>
    <w:next w:val="105"/>
    <w:qFormat/>
    <w:uiPriority w:val="0"/>
    <w:pPr>
      <w:keepNext/>
      <w:keepLines/>
      <w:widowControl/>
      <w:spacing w:line="360" w:lineRule="auto"/>
      <w:ind w:left="420" w:hanging="420" w:hangingChars="200"/>
      <w:jc w:val="both"/>
    </w:pPr>
    <w:rPr>
      <w:b w:val="0"/>
      <w:bCs w:val="0"/>
      <w:color w:val="000000"/>
      <w:sz w:val="32"/>
      <w:szCs w:val="21"/>
    </w:rPr>
  </w:style>
  <w:style w:type="paragraph" w:customStyle="1" w:styleId="180">
    <w:name w:val="标题2(小4号)"/>
    <w:basedOn w:val="2"/>
    <w:next w:val="128"/>
    <w:qFormat/>
    <w:uiPriority w:val="0"/>
    <w:pPr>
      <w:keepNext/>
      <w:keepLines/>
      <w:widowControl/>
      <w:spacing w:line="360" w:lineRule="auto"/>
      <w:ind w:left="420" w:hanging="420" w:hangingChars="200"/>
      <w:jc w:val="both"/>
    </w:pPr>
    <w:rPr>
      <w:b w:val="0"/>
      <w:bCs w:val="0"/>
      <w:color w:val="0000FF"/>
      <w:sz w:val="21"/>
      <w:szCs w:val="21"/>
    </w:rPr>
  </w:style>
  <w:style w:type="paragraph" w:customStyle="1" w:styleId="181">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6"/>
    <w:qFormat/>
    <w:uiPriority w:val="0"/>
  </w:style>
  <w:style w:type="character" w:customStyle="1" w:styleId="207">
    <w:name w:val="xdrichtextbox3"/>
    <w:basedOn w:val="46"/>
    <w:qFormat/>
    <w:uiPriority w:val="0"/>
    <w:rPr>
      <w:color w:val="auto"/>
      <w:u w:val="none"/>
      <w:bdr w:val="single" w:color="DCDCDC" w:sz="8" w:space="0"/>
      <w:shd w:val="clear" w:color="auto" w:fill="FFFFFF"/>
    </w:rPr>
  </w:style>
  <w:style w:type="character" w:customStyle="1" w:styleId="208">
    <w:name w:val="xdrichtextbox"/>
    <w:basedOn w:val="46"/>
    <w:qFormat/>
    <w:uiPriority w:val="0"/>
  </w:style>
  <w:style w:type="paragraph" w:customStyle="1" w:styleId="209">
    <w:name w:val="表的标题"/>
    <w:basedOn w:val="1"/>
    <w:next w:val="210"/>
    <w:qFormat/>
    <w:uiPriority w:val="0"/>
    <w:pPr>
      <w:adjustRightInd w:val="0"/>
      <w:snapToGrid w:val="0"/>
      <w:jc w:val="center"/>
    </w:pPr>
    <w:rPr>
      <w:rFonts w:ascii="Arial" w:hAnsi="Arial"/>
      <w:sz w:val="24"/>
      <w:szCs w:val="20"/>
    </w:rPr>
  </w:style>
  <w:style w:type="paragraph" w:customStyle="1" w:styleId="21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11">
    <w:name w:val="layui-layer-tabnow"/>
    <w:basedOn w:val="46"/>
    <w:qFormat/>
    <w:uiPriority w:val="0"/>
    <w:rPr>
      <w:bdr w:val="single" w:color="CCCCCC" w:sz="6" w:space="0"/>
      <w:shd w:val="clear" w:color="auto" w:fill="FFFFFF"/>
    </w:rPr>
  </w:style>
  <w:style w:type="character" w:customStyle="1" w:styleId="212">
    <w:name w:val="cdropleft"/>
    <w:basedOn w:val="46"/>
    <w:qFormat/>
    <w:uiPriority w:val="0"/>
  </w:style>
  <w:style w:type="character" w:customStyle="1" w:styleId="213">
    <w:name w:val="icontext2"/>
    <w:basedOn w:val="46"/>
    <w:qFormat/>
    <w:uiPriority w:val="0"/>
  </w:style>
  <w:style w:type="character" w:customStyle="1" w:styleId="214">
    <w:name w:val="icontext1"/>
    <w:basedOn w:val="46"/>
    <w:qFormat/>
    <w:uiPriority w:val="0"/>
  </w:style>
  <w:style w:type="character" w:customStyle="1" w:styleId="215">
    <w:name w:val="icontext11"/>
    <w:basedOn w:val="46"/>
    <w:qFormat/>
    <w:uiPriority w:val="0"/>
  </w:style>
  <w:style w:type="character" w:customStyle="1" w:styleId="216">
    <w:name w:val="icontext12"/>
    <w:basedOn w:val="46"/>
    <w:qFormat/>
    <w:uiPriority w:val="0"/>
  </w:style>
  <w:style w:type="character" w:customStyle="1" w:styleId="217">
    <w:name w:val="tmpztreemove_arrow"/>
    <w:basedOn w:val="46"/>
    <w:qFormat/>
    <w:uiPriority w:val="0"/>
  </w:style>
  <w:style w:type="character" w:customStyle="1" w:styleId="218">
    <w:name w:val="w32"/>
    <w:basedOn w:val="46"/>
    <w:qFormat/>
    <w:uiPriority w:val="0"/>
  </w:style>
  <w:style w:type="character" w:customStyle="1" w:styleId="219">
    <w:name w:val="button"/>
    <w:basedOn w:val="46"/>
    <w:qFormat/>
    <w:uiPriority w:val="0"/>
  </w:style>
  <w:style w:type="character" w:customStyle="1" w:styleId="220">
    <w:name w:val="iconline2"/>
    <w:basedOn w:val="46"/>
    <w:qFormat/>
    <w:uiPriority w:val="0"/>
  </w:style>
  <w:style w:type="character" w:customStyle="1" w:styleId="221">
    <w:name w:val="iconline21"/>
    <w:basedOn w:val="46"/>
    <w:qFormat/>
    <w:uiPriority w:val="0"/>
  </w:style>
  <w:style w:type="character" w:customStyle="1" w:styleId="222">
    <w:name w:val="icontext3"/>
    <w:basedOn w:val="46"/>
    <w:qFormat/>
    <w:uiPriority w:val="0"/>
  </w:style>
  <w:style w:type="character" w:customStyle="1" w:styleId="223">
    <w:name w:val="cy"/>
    <w:basedOn w:val="46"/>
    <w:qFormat/>
    <w:uiPriority w:val="0"/>
  </w:style>
  <w:style w:type="character" w:customStyle="1" w:styleId="224">
    <w:name w:val="first-child"/>
    <w:basedOn w:val="46"/>
    <w:qFormat/>
    <w:uiPriority w:val="0"/>
  </w:style>
  <w:style w:type="character" w:customStyle="1" w:styleId="225">
    <w:name w:val="choosename"/>
    <w:basedOn w:val="46"/>
    <w:qFormat/>
    <w:uiPriority w:val="0"/>
  </w:style>
  <w:style w:type="character" w:customStyle="1" w:styleId="226">
    <w:name w:val="design_class"/>
    <w:basedOn w:val="46"/>
    <w:qFormat/>
    <w:uiPriority w:val="0"/>
  </w:style>
  <w:style w:type="character" w:customStyle="1" w:styleId="227">
    <w:name w:val="hover39"/>
    <w:basedOn w:val="46"/>
    <w:qFormat/>
    <w:uiPriority w:val="0"/>
    <w:rPr>
      <w:color w:val="FFFFFF"/>
    </w:rPr>
  </w:style>
  <w:style w:type="character" w:customStyle="1" w:styleId="228">
    <w:name w:val="associateddata"/>
    <w:basedOn w:val="46"/>
    <w:qFormat/>
    <w:uiPriority w:val="0"/>
    <w:rPr>
      <w:shd w:val="clear" w:color="auto" w:fill="50A6F9"/>
    </w:rPr>
  </w:style>
  <w:style w:type="character" w:customStyle="1" w:styleId="229">
    <w:name w:val="pagechatarealistclose_box"/>
    <w:basedOn w:val="46"/>
    <w:qFormat/>
    <w:uiPriority w:val="0"/>
  </w:style>
  <w:style w:type="character" w:customStyle="1" w:styleId="230">
    <w:name w:val="pagechatarealistclose_box1"/>
    <w:basedOn w:val="46"/>
    <w:qFormat/>
    <w:uiPriority w:val="0"/>
  </w:style>
  <w:style w:type="character" w:customStyle="1" w:styleId="231">
    <w:name w:val="ico1653"/>
    <w:basedOn w:val="46"/>
    <w:qFormat/>
    <w:uiPriority w:val="0"/>
  </w:style>
  <w:style w:type="character" w:customStyle="1" w:styleId="232">
    <w:name w:val="ico1654"/>
    <w:basedOn w:val="46"/>
    <w:qFormat/>
    <w:uiPriority w:val="0"/>
  </w:style>
  <w:style w:type="character" w:customStyle="1" w:styleId="233">
    <w:name w:val="edit_class"/>
    <w:basedOn w:val="46"/>
    <w:qFormat/>
    <w:uiPriority w:val="0"/>
  </w:style>
  <w:style w:type="character" w:customStyle="1" w:styleId="234">
    <w:name w:val="biggerthanmax"/>
    <w:basedOn w:val="46"/>
    <w:qFormat/>
    <w:uiPriority w:val="0"/>
    <w:rPr>
      <w:shd w:val="clear" w:color="auto" w:fill="FFFF00"/>
    </w:rPr>
  </w:style>
  <w:style w:type="character" w:customStyle="1" w:styleId="235">
    <w:name w:val="after"/>
    <w:basedOn w:val="46"/>
    <w:qFormat/>
    <w:uiPriority w:val="0"/>
    <w:rPr>
      <w:sz w:val="0"/>
      <w:szCs w:val="0"/>
    </w:rPr>
  </w:style>
  <w:style w:type="character" w:customStyle="1" w:styleId="236">
    <w:name w:val="cdropright"/>
    <w:basedOn w:val="46"/>
    <w:qFormat/>
    <w:uiPriority w:val="0"/>
  </w:style>
  <w:style w:type="character" w:customStyle="1" w:styleId="237">
    <w:name w:val="drapbtn"/>
    <w:basedOn w:val="46"/>
    <w:qFormat/>
    <w:uiPriority w:val="0"/>
  </w:style>
  <w:style w:type="character" w:customStyle="1" w:styleId="238">
    <w:name w:val="hilite5"/>
    <w:basedOn w:val="46"/>
    <w:qFormat/>
    <w:uiPriority w:val="0"/>
    <w:rPr>
      <w:color w:val="FFFFFF"/>
      <w:shd w:val="clear" w:color="auto" w:fill="666666"/>
    </w:rPr>
  </w:style>
  <w:style w:type="character" w:customStyle="1" w:styleId="239">
    <w:name w:val="active5"/>
    <w:basedOn w:val="46"/>
    <w:qFormat/>
    <w:uiPriority w:val="0"/>
    <w:rPr>
      <w:color w:val="00FF00"/>
      <w:shd w:val="clear" w:color="auto" w:fill="111111"/>
    </w:rPr>
  </w:style>
  <w:style w:type="character" w:customStyle="1" w:styleId="240">
    <w:name w:val="active6"/>
    <w:basedOn w:val="46"/>
    <w:qFormat/>
    <w:uiPriority w:val="0"/>
    <w:rPr>
      <w:shd w:val="clear" w:color="auto" w:fill="EC3535"/>
    </w:rPr>
  </w:style>
  <w:style w:type="character" w:customStyle="1" w:styleId="241">
    <w:name w:val="xdrichtextbox4"/>
    <w:basedOn w:val="46"/>
    <w:qFormat/>
    <w:uiPriority w:val="0"/>
  </w:style>
  <w:style w:type="character" w:customStyle="1" w:styleId="242">
    <w:name w:val="button4"/>
    <w:basedOn w:val="46"/>
    <w:qFormat/>
    <w:uiPriority w:val="0"/>
  </w:style>
  <w:style w:type="character" w:customStyle="1" w:styleId="243">
    <w:name w:val="hilite6"/>
    <w:basedOn w:val="46"/>
    <w:qFormat/>
    <w:uiPriority w:val="0"/>
    <w:rPr>
      <w:color w:val="FFFFFF"/>
      <w:shd w:val="clear" w:color="auto" w:fill="666666"/>
    </w:rPr>
  </w:style>
  <w:style w:type="character" w:customStyle="1" w:styleId="244">
    <w:name w:val="active"/>
    <w:basedOn w:val="46"/>
    <w:qFormat/>
    <w:uiPriority w:val="0"/>
    <w:rPr>
      <w:color w:val="00FF00"/>
      <w:shd w:val="clear" w:color="auto" w:fill="111111"/>
    </w:rPr>
  </w:style>
  <w:style w:type="character" w:customStyle="1" w:styleId="245">
    <w:name w:val="active1"/>
    <w:basedOn w:val="46"/>
    <w:qFormat/>
    <w:uiPriority w:val="0"/>
    <w:rPr>
      <w:shd w:val="clear" w:color="auto" w:fill="EC3535"/>
    </w:rPr>
  </w:style>
  <w:style w:type="character" w:customStyle="1" w:styleId="246">
    <w:name w:val="hover41"/>
    <w:basedOn w:val="46"/>
    <w:qFormat/>
    <w:uiPriority w:val="0"/>
    <w:rPr>
      <w:color w:val="FFFFFF"/>
    </w:rPr>
  </w:style>
  <w:style w:type="character" w:customStyle="1" w:styleId="247">
    <w:name w:val="ico1655"/>
    <w:basedOn w:val="46"/>
    <w:qFormat/>
    <w:uiPriority w:val="0"/>
  </w:style>
  <w:style w:type="character" w:customStyle="1" w:styleId="248">
    <w:name w:val="active3"/>
    <w:basedOn w:val="46"/>
    <w:qFormat/>
    <w:uiPriority w:val="0"/>
    <w:rPr>
      <w:color w:val="00FF00"/>
      <w:shd w:val="clear" w:color="auto" w:fill="111111"/>
    </w:rPr>
  </w:style>
  <w:style w:type="character" w:customStyle="1" w:styleId="249">
    <w:name w:val="active4"/>
    <w:basedOn w:val="46"/>
    <w:qFormat/>
    <w:uiPriority w:val="0"/>
    <w:rPr>
      <w:shd w:val="clear" w:color="auto" w:fill="EC3535"/>
    </w:rPr>
  </w:style>
  <w:style w:type="character" w:customStyle="1" w:styleId="250">
    <w:name w:val="ico16"/>
    <w:basedOn w:val="46"/>
    <w:uiPriority w:val="0"/>
  </w:style>
  <w:style w:type="character" w:customStyle="1" w:styleId="251">
    <w:name w:val="ico161"/>
    <w:basedOn w:val="46"/>
    <w:uiPriority w:val="0"/>
  </w:style>
  <w:style w:type="character" w:customStyle="1" w:styleId="252">
    <w:name w:val="hover40"/>
    <w:basedOn w:val="46"/>
    <w:uiPriority w:val="0"/>
    <w:rPr>
      <w:color w:val="FFFFFF"/>
    </w:rPr>
  </w:style>
  <w:style w:type="character" w:customStyle="1" w:styleId="253">
    <w:name w:val="active7"/>
    <w:basedOn w:val="46"/>
    <w:uiPriority w:val="0"/>
    <w:rPr>
      <w:color w:val="00FF00"/>
      <w:shd w:val="clear" w:color="auto" w:fill="111111"/>
    </w:rPr>
  </w:style>
  <w:style w:type="character" w:customStyle="1" w:styleId="254">
    <w:name w:val="active8"/>
    <w:basedOn w:val="46"/>
    <w:uiPriority w:val="0"/>
    <w:rPr>
      <w:shd w:val="clear" w:color="auto" w:fill="EC353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4F0F5-A03E-48A1-AE46-6DC16C29E35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36</Pages>
  <Words>3270</Words>
  <Characters>18640</Characters>
  <Lines>155</Lines>
  <Paragraphs>43</Paragraphs>
  <TotalTime>16</TotalTime>
  <ScaleCrop>false</ScaleCrop>
  <LinksUpToDate>false</LinksUpToDate>
  <CharactersWithSpaces>21867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mqhuang</cp:lastModifiedBy>
  <dcterms:modified xsi:type="dcterms:W3CDTF">2022-10-12T09:26:42Z</dcterms:modified>
  <dc:title>公开招标文件（货物服务类）</dc:title>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FB810102974645B8B83075E49F73D9A7</vt:lpwstr>
  </property>
  <property fmtid="{D5CDD505-2E9C-101B-9397-08002B2CF9AE}" pid="7" name="commondata">
    <vt:lpwstr>eyJoZGlkIjoiNjgwMDRiZmZlZjU1MTM0YjVmMTZmYTU4Nzg2OGQ1ZjMifQ==</vt:lpwstr>
  </property>
</Properties>
</file>