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rPr>
          <w:sz w:val="36"/>
          <w:szCs w:val="36"/>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南部热源点一期工程可行性研究及项目申请发包</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FHC-PTCG20210324001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福建福海创石油化工有限公司编制2021 年  04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ind w:left="11"/>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ind w:left="170" w:firstLine="480" w:firstLineChars="200"/>
        <w:rPr>
          <w:sz w:val="24"/>
          <w:szCs w:val="24"/>
          <w:lang w:eastAsia="zh-CN"/>
        </w:rPr>
      </w:pPr>
      <w:r>
        <w:rPr>
          <w:sz w:val="24"/>
          <w:szCs w:val="24"/>
          <w:lang w:eastAsia="zh-CN"/>
        </w:rPr>
        <w:t>福建福海创石油化工有限公司拟对本公司</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
          <w:sz w:val="24"/>
          <w:szCs w:val="24"/>
          <w:u w:val="single"/>
          <w:lang w:eastAsia="zh-CN"/>
        </w:rPr>
        <w:t>南部热源点一期工程可行性研究及项目申请</w:t>
      </w:r>
      <w:r>
        <w:rPr>
          <w:rFonts w:hint="eastAsia" w:asciiTheme="majorEastAsia" w:hAnsiTheme="majorEastAsia" w:eastAsiaTheme="majorEastAsia"/>
          <w:sz w:val="24"/>
          <w:szCs w:val="24"/>
          <w:u w:val="single"/>
          <w:lang w:eastAsia="zh-CN"/>
        </w:rPr>
        <w:t xml:space="preserve"> </w:t>
      </w:r>
      <w:r>
        <w:rPr>
          <w:sz w:val="24"/>
          <w:szCs w:val="24"/>
          <w:lang w:eastAsia="zh-CN"/>
        </w:rPr>
        <w:t>进行公开比选。为了“公开、公平、公正、透明”，引导参选人进行正确参选，特制定本规定文件。福建福海创石油化工有限公司承诺本次自主比选不存在任何障碍，保证本公告内容不存在任何重大遗漏、虚假陈述或严重误导，并对其内容的真实性、完整性和有效性负责。</w:t>
      </w:r>
    </w:p>
    <w:p>
      <w:pPr>
        <w:autoSpaceDE/>
        <w:autoSpaceDN/>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南部热源点一期工程可行性研究及项目申请 </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lang w:eastAsia="zh-CN"/>
        </w:rPr>
        <w:t>针对本工程的建设条件和热负荷情况进行充分的分析和论证，提出建设设想及建设方案，并进行工程的投资估算及经济效益分析、风险分析等</w:t>
      </w:r>
      <w:r>
        <w:rPr>
          <w:sz w:val="24"/>
          <w:szCs w:val="24"/>
          <w:lang w:eastAsia="zh-CN"/>
        </w:rPr>
        <w:t>。</w:t>
      </w:r>
    </w:p>
    <w:p>
      <w:pPr>
        <w:pStyle w:val="4"/>
        <w:spacing w:before="24"/>
        <w:ind w:left="0" w:firstLine="480" w:firstLineChars="200"/>
        <w:rPr>
          <w:lang w:eastAsia="zh-CN"/>
        </w:rPr>
      </w:pPr>
      <w:r>
        <w:rPr>
          <w:rFonts w:hint="eastAsia" w:asciiTheme="majorEastAsia" w:hAnsiTheme="majorEastAsia" w:eastAsiaTheme="majorEastAsia"/>
          <w:b w:val="0"/>
          <w:lang w:eastAsia="zh-CN"/>
        </w:rPr>
        <w:t>3. 比选控制价：99万元</w:t>
      </w:r>
    </w:p>
    <w:p>
      <w:pPr>
        <w:pStyle w:val="4"/>
        <w:spacing w:before="24"/>
        <w:ind w:left="0" w:firstLine="359" w:firstLineChars="149"/>
        <w:rPr>
          <w:lang w:eastAsia="zh-CN"/>
        </w:rPr>
      </w:pPr>
      <w:r>
        <w:rPr>
          <w:rFonts w:hint="eastAsia"/>
          <w:lang w:eastAsia="zh-CN"/>
        </w:rPr>
        <w:t>二</w:t>
      </w:r>
      <w:r>
        <w:rPr>
          <w:lang w:eastAsia="zh-CN"/>
        </w:rPr>
        <w:t>、参选人资格要求：</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参选方应具有建设主管部门颁发的电力工程设计资质甲级及以上资质、工程勘察甲级及以上资质</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hint="eastAsia"/>
          <w:sz w:val="24"/>
          <w:lang w:eastAsia="zh-CN"/>
        </w:rPr>
        <w:t>近五年内承担过同类工程设计或</w:t>
      </w:r>
      <w:r>
        <w:rPr>
          <w:sz w:val="24"/>
          <w:lang w:eastAsia="zh-CN"/>
        </w:rPr>
        <w:t>EPC业绩</w:t>
      </w:r>
      <w:r>
        <w:rPr>
          <w:rFonts w:hint="eastAsia"/>
          <w:sz w:val="24"/>
          <w:lang w:eastAsia="zh-CN"/>
        </w:rPr>
        <w:t>，并有良好的履约记录</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近三年内无设计质量事故，无被相关行政部门处罚记录</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参选方应提供相关设计业绩（附相关服务业绩证明）；</w:t>
      </w:r>
    </w:p>
    <w:p>
      <w:pPr>
        <w:pStyle w:val="2"/>
        <w:spacing w:line="360" w:lineRule="auto"/>
        <w:ind w:firstLine="465"/>
        <w:rPr>
          <w:sz w:val="24"/>
          <w:szCs w:val="24"/>
        </w:rPr>
      </w:pPr>
      <w:r>
        <w:rPr>
          <w:rFonts w:hint="eastAsia"/>
          <w:sz w:val="24"/>
          <w:szCs w:val="24"/>
        </w:rPr>
        <w:t xml:space="preserve">6. </w:t>
      </w:r>
      <w:r>
        <w:rPr>
          <w:rFonts w:hint="eastAsia" w:hAnsi="宋体"/>
          <w:sz w:val="24"/>
        </w:rPr>
        <w:t>报告应满足安全、适用、经济、满足本项目电力设计使用功能的要求，并经当地主管部门认可、审批通过；</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465"/>
        <w:rPr>
          <w:sz w:val="24"/>
          <w:szCs w:val="24"/>
        </w:rPr>
      </w:pPr>
      <w:r>
        <w:rPr>
          <w:rFonts w:hint="eastAsia" w:asciiTheme="majorEastAsia" w:hAnsiTheme="majorEastAsia" w:eastAsiaTheme="majorEastAsia"/>
          <w:sz w:val="24"/>
          <w:szCs w:val="24"/>
        </w:rPr>
        <w:t xml:space="preserve">8.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ind w:firstLine="480" w:firstLineChars="200"/>
        <w:rPr>
          <w:sz w:val="24"/>
          <w:szCs w:val="24"/>
          <w:lang w:eastAsia="zh-CN"/>
        </w:rPr>
      </w:pPr>
      <w:r>
        <w:rPr>
          <w:rFonts w:hint="eastAsia"/>
          <w:sz w:val="24"/>
          <w:szCs w:val="24"/>
          <w:lang w:eastAsia="zh-CN"/>
        </w:rPr>
        <w:t>9. 本项目不接受联合体参选，不允许分包。</w:t>
      </w:r>
    </w:p>
    <w:p>
      <w:pPr>
        <w:pStyle w:val="24"/>
        <w:autoSpaceDE/>
        <w:autoSpaceDN/>
        <w:spacing w:before="0"/>
        <w:ind w:left="119" w:leftChars="54" w:firstLine="378" w:firstLineChars="147"/>
        <w:jc w:val="both"/>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报名要求</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2021年4月</w:t>
      </w:r>
      <w:r>
        <w:rPr>
          <w:rFonts w:hint="eastAsia" w:asciiTheme="majorEastAsia" w:hAnsiTheme="majorEastAsia" w:eastAsiaTheme="majorEastAsia"/>
          <w:sz w:val="24"/>
          <w:szCs w:val="24"/>
          <w:lang w:val="en-US" w:eastAsia="zh-CN"/>
        </w:rPr>
        <w:t>15</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19</w:t>
      </w:r>
      <w:bookmarkStart w:id="44" w:name="_GoBack"/>
      <w:bookmarkEnd w:id="44"/>
      <w:r>
        <w:rPr>
          <w:rFonts w:hint="eastAsia" w:asciiTheme="majorEastAsia" w:hAnsiTheme="majorEastAsia" w:eastAsiaTheme="majorEastAsia"/>
          <w:sz w:val="24"/>
          <w:szCs w:val="24"/>
          <w:lang w:eastAsia="zh-CN"/>
        </w:rPr>
        <w:t>日（共5天）</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1"/>
          <w:rFonts w:hint="eastAsia" w:asciiTheme="majorEastAsia" w:hAnsiTheme="majorEastAsia" w:eastAsiaTheme="majorEastAsia"/>
          <w:sz w:val="24"/>
          <w:szCs w:val="24"/>
          <w:lang w:eastAsia="zh-CN"/>
        </w:rPr>
        <w:t>hzji@fhcpec.com.cn</w:t>
      </w:r>
      <w:r>
        <w:rPr>
          <w:rStyle w:val="2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ind w:firstLine="840" w:firstLineChars="350"/>
        <w:rPr>
          <w:b/>
          <w:snapToGrid w:val="0"/>
          <w:spacing w:val="8"/>
          <w:sz w:val="24"/>
          <w:szCs w:val="24"/>
          <w:lang w:eastAsia="zh-CN"/>
        </w:rPr>
      </w:pPr>
      <w:r>
        <w:rPr>
          <w:rFonts w:hint="eastAsia" w:asciiTheme="majorEastAsia" w:hAnsiTheme="majorEastAsia" w:eastAsiaTheme="majorEastAsia"/>
          <w:bCs/>
          <w:sz w:val="24"/>
          <w:szCs w:val="24"/>
          <w:lang w:eastAsia="zh-CN"/>
        </w:rPr>
        <w:t>2)需到达现场进行技术交流并勘察现场，签订技术协议书。</w:t>
      </w:r>
    </w:p>
    <w:p>
      <w:pPr>
        <w:pStyle w:val="24"/>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递交截止时间：报名截止时间延后1个工作日</w:t>
      </w:r>
    </w:p>
    <w:p>
      <w:pPr>
        <w:pStyle w:val="24"/>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21"/>
          <w:rFonts w:hint="eastAsia" w:asciiTheme="majorEastAsia" w:hAnsiTheme="majorEastAsia" w:eastAsiaTheme="majorEastAsia"/>
          <w:sz w:val="24"/>
        </w:rPr>
        <w:t>fhcjc</w:t>
      </w:r>
      <w:r>
        <w:rPr>
          <w:rStyle w:val="21"/>
          <w:rFonts w:asciiTheme="majorEastAsia" w:hAnsiTheme="majorEastAsia" w:eastAsiaTheme="majorEastAsia"/>
          <w:sz w:val="24"/>
        </w:rPr>
        <w:t>@fhcpec.com.cn</w:t>
      </w:r>
      <w:r>
        <w:rPr>
          <w:rStyle w:val="21"/>
          <w:rFonts w:asciiTheme="majorEastAsia" w:hAnsiTheme="majorEastAsia" w:eastAsiaTheme="majorEastAsia"/>
          <w:sz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ind w:left="9"/>
        <w:jc w:val="center"/>
        <w:rPr>
          <w:sz w:val="24"/>
          <w:szCs w:val="24"/>
          <w:lang w:eastAsia="zh-CN"/>
        </w:rPr>
      </w:pPr>
      <w:r>
        <w:rPr>
          <w:rFonts w:hint="eastAsia"/>
          <w:sz w:val="24"/>
          <w:szCs w:val="24"/>
          <w:lang w:eastAsia="zh-CN"/>
        </w:rPr>
        <w:t>福建福海创石油化工有限公司</w:t>
      </w:r>
    </w:p>
    <w:p>
      <w:pPr>
        <w:spacing w:line="324" w:lineRule="auto"/>
        <w:ind w:firstLine="4200" w:firstLineChars="1750"/>
        <w:rPr>
          <w:sz w:val="24"/>
          <w:szCs w:val="24"/>
          <w:lang w:eastAsia="zh-CN"/>
        </w:rPr>
      </w:pPr>
      <w:r>
        <w:rPr>
          <w:rFonts w:hint="eastAsia"/>
          <w:sz w:val="24"/>
          <w:szCs w:val="24"/>
          <w:lang w:eastAsia="zh-CN"/>
        </w:rPr>
        <w:t>2021.04.15</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7"/>
        <w:ind w:left="595"/>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
          <w:bCs/>
          <w:u w:val="single"/>
          <w:lang w:eastAsia="zh-CN"/>
        </w:rPr>
        <w:t>南部热源点一期工程可行性研究及项目申请</w:t>
      </w:r>
      <w:r>
        <w:rPr>
          <w:rFonts w:hint="eastAsia" w:asciiTheme="majorEastAsia" w:hAnsiTheme="majorEastAsia" w:eastAsiaTheme="majorEastAsia"/>
          <w:b/>
          <w:u w:val="single"/>
          <w:lang w:eastAsia="zh-CN"/>
        </w:rPr>
        <w:t xml:space="preserve">  </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b/>
          <w:u w:val="single"/>
          <w:lang w:eastAsia="zh-CN"/>
        </w:rPr>
        <w:t xml:space="preserve">漳州市漳浦县古雷开发区 </w:t>
      </w:r>
    </w:p>
    <w:p>
      <w:pPr>
        <w:pStyle w:val="7"/>
        <w:ind w:left="595"/>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
          <w:u w:val="single"/>
          <w:lang w:eastAsia="zh-CN"/>
        </w:rPr>
        <w:t>本项目采用包干总价的方式。</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见附件“技术规范书”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2.比选范围及内容：</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本次比选范围内的可行性研究内容要求如下：</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1）将对南部热源点一期工程进行可行性研究报告编写服务。</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2）需针对本项目的改造条件和热负荷情况进行充分的分析和论证，提出改造设想及改造方案，并进行工程的投资估算及经济效益分析、风险等。</w:t>
      </w:r>
    </w:p>
    <w:p>
      <w:pPr>
        <w:ind w:firstLine="480" w:firstLineChars="200"/>
        <w:rPr>
          <w:sz w:val="24"/>
          <w:lang w:eastAsia="zh-CN"/>
        </w:rPr>
      </w:pPr>
      <w:r>
        <w:rPr>
          <w:rFonts w:hint="eastAsia" w:asciiTheme="majorEastAsia" w:hAnsiTheme="majorEastAsia" w:eastAsiaTheme="major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snapToGrid w:val="0"/>
        <w:ind w:left="-106" w:leftChars="-48" w:firstLine="720" w:firstLineChars="300"/>
        <w:rPr>
          <w:sz w:val="24"/>
          <w:lang w:eastAsia="zh-CN"/>
        </w:rPr>
      </w:pPr>
      <w:r>
        <w:rPr>
          <w:rFonts w:hint="eastAsia"/>
          <w:sz w:val="24"/>
          <w:lang w:eastAsia="zh-CN"/>
        </w:rPr>
        <w:t>DL/T5375-2018   《火力发电厂可行性研究报告内容深度规定》</w:t>
      </w:r>
    </w:p>
    <w:p>
      <w:pPr>
        <w:snapToGrid w:val="0"/>
        <w:ind w:left="-106" w:leftChars="-48" w:firstLine="720" w:firstLineChars="300"/>
        <w:rPr>
          <w:sz w:val="24"/>
          <w:lang w:eastAsia="zh-CN"/>
        </w:rPr>
      </w:pPr>
      <w:r>
        <w:rPr>
          <w:rFonts w:hint="eastAsia"/>
          <w:sz w:val="24"/>
          <w:lang w:eastAsia="zh-CN"/>
        </w:rPr>
        <w:t>GB</w:t>
      </w:r>
      <w:r>
        <w:rPr>
          <w:sz w:val="24"/>
          <w:lang w:eastAsia="zh-CN"/>
        </w:rPr>
        <w:t>500</w:t>
      </w:r>
      <w:r>
        <w:rPr>
          <w:rFonts w:hint="eastAsia"/>
          <w:sz w:val="24"/>
          <w:lang w:eastAsia="zh-CN"/>
        </w:rPr>
        <w:t>49</w:t>
      </w:r>
      <w:r>
        <w:rPr>
          <w:sz w:val="24"/>
          <w:lang w:eastAsia="zh-CN"/>
        </w:rPr>
        <w:t>-</w:t>
      </w:r>
      <w:r>
        <w:rPr>
          <w:rFonts w:hint="eastAsia"/>
          <w:sz w:val="24"/>
          <w:lang w:eastAsia="zh-CN"/>
        </w:rPr>
        <w:t>2011</w:t>
      </w:r>
      <w:r>
        <w:rPr>
          <w:rFonts w:hint="eastAsia"/>
          <w:sz w:val="24"/>
          <w:lang w:eastAsia="zh-CN"/>
        </w:rPr>
        <w:tab/>
      </w:r>
      <w:r>
        <w:rPr>
          <w:rFonts w:hint="eastAsia"/>
          <w:sz w:val="24"/>
          <w:lang w:eastAsia="zh-CN"/>
        </w:rPr>
        <w:t xml:space="preserve">   《小型火力发电厂设计规范》</w:t>
      </w:r>
    </w:p>
    <w:p>
      <w:pPr>
        <w:snapToGrid w:val="0"/>
        <w:ind w:left="-106" w:leftChars="-48" w:firstLine="720" w:firstLineChars="300"/>
        <w:rPr>
          <w:sz w:val="24"/>
          <w:lang w:eastAsia="zh-CN"/>
        </w:rPr>
      </w:pPr>
      <w:r>
        <w:rPr>
          <w:rFonts w:hint="eastAsia"/>
          <w:sz w:val="24"/>
          <w:lang w:eastAsia="zh-CN"/>
        </w:rPr>
        <w:t>发改能源〔2016〕617号  《热电联产管理办法》</w:t>
      </w:r>
    </w:p>
    <w:p>
      <w:pPr>
        <w:ind w:firstLine="600" w:firstLineChars="250"/>
        <w:rPr>
          <w:rFonts w:asciiTheme="majorEastAsia" w:hAnsiTheme="majorEastAsia" w:eastAsiaTheme="majorEastAsia"/>
          <w:sz w:val="24"/>
          <w:szCs w:val="24"/>
          <w:lang w:eastAsia="zh-CN"/>
        </w:rPr>
      </w:pPr>
      <w:r>
        <w:rPr>
          <w:rFonts w:hint="eastAsia"/>
          <w:sz w:val="24"/>
          <w:lang w:eastAsia="zh-CN"/>
        </w:rPr>
        <w:t xml:space="preserve">国家能源局 </w:t>
      </w:r>
      <w:r>
        <w:rPr>
          <w:sz w:val="24"/>
          <w:lang w:eastAsia="zh-CN"/>
        </w:rPr>
        <w:t>国能安全〔</w:t>
      </w:r>
      <w:r>
        <w:rPr>
          <w:rFonts w:hint="eastAsia"/>
          <w:sz w:val="24"/>
          <w:lang w:eastAsia="zh-CN"/>
        </w:rPr>
        <w:t>2014〕161号《防止电力生产事故的二十五项重点要求》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成果提交要求：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见附件“技术规范书”</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5.工期要求</w:t>
      </w:r>
      <w:r>
        <w:rPr>
          <w:rFonts w:asciiTheme="majorEastAsia" w:hAnsiTheme="majorEastAsia" w:eastAsiaTheme="majorEastAsia"/>
          <w:sz w:val="24"/>
          <w:szCs w:val="24"/>
          <w:lang w:eastAsia="zh-CN"/>
        </w:rPr>
        <w:t>：</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5.1、合同签订后60天完成可研报告并通过专家评审；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5.2、资料提供齐全后20天内完成项目申请报告。</w:t>
      </w:r>
    </w:p>
    <w:p>
      <w:pPr>
        <w:widowControl/>
        <w:tabs>
          <w:tab w:val="left" w:pos="0"/>
          <w:tab w:val="left" w:pos="993"/>
          <w:tab w:val="left" w:pos="1134"/>
        </w:tabs>
        <w:autoSpaceDE/>
        <w:autoSpaceDN/>
        <w:ind w:firstLine="480" w:firstLineChars="200"/>
        <w:jc w:val="both"/>
        <w:rPr>
          <w:rFonts w:asciiTheme="majorEastAsia" w:hAnsiTheme="majorEastAsia" w:eastAsiaTheme="majorEastAsia"/>
          <w:spacing w:val="-10"/>
          <w:sz w:val="24"/>
          <w:szCs w:val="24"/>
          <w:lang w:eastAsia="zh-CN"/>
        </w:rPr>
      </w:pPr>
      <w:r>
        <w:rPr>
          <w:rFonts w:hint="eastAsia" w:asciiTheme="majorEastAsia" w:hAnsiTheme="majorEastAsia" w:eastAsiaTheme="majorEastAsia"/>
          <w:sz w:val="24"/>
          <w:szCs w:val="24"/>
          <w:lang w:eastAsia="zh-CN"/>
        </w:rPr>
        <w:t>6.控制价：</w:t>
      </w:r>
      <w:r>
        <w:rPr>
          <w:rFonts w:hint="eastAsia" w:asciiTheme="majorEastAsia" w:hAnsiTheme="majorEastAsia" w:eastAsiaTheme="majorEastAsia"/>
          <w:b/>
          <w:spacing w:val="-10"/>
          <w:sz w:val="24"/>
          <w:szCs w:val="24"/>
          <w:lang w:eastAsia="zh-CN"/>
        </w:rPr>
        <w:t>本项目最高限价为人民币</w:t>
      </w:r>
      <w:r>
        <w:rPr>
          <w:rFonts w:hint="eastAsia" w:asciiTheme="majorEastAsia" w:hAnsiTheme="majorEastAsia" w:eastAsiaTheme="majorEastAsia"/>
          <w:b/>
          <w:color w:val="FF0000"/>
          <w:spacing w:val="-10"/>
          <w:sz w:val="24"/>
          <w:szCs w:val="24"/>
          <w:lang w:eastAsia="zh-CN"/>
        </w:rPr>
        <w:t>99万元</w:t>
      </w:r>
      <w:r>
        <w:rPr>
          <w:rFonts w:hint="eastAsia" w:asciiTheme="majorEastAsia" w:hAnsiTheme="majorEastAsia" w:eastAsiaTheme="majorEastAsia"/>
          <w:spacing w:val="-10"/>
          <w:sz w:val="24"/>
          <w:szCs w:val="24"/>
          <w:lang w:eastAsia="zh-CN"/>
        </w:rPr>
        <w:t>。参选人在比选文件中填报的投标总价高于最高限价的，视为未实质性响应招标文件要求，其报价将被视为无效报价。</w:t>
      </w:r>
    </w:p>
    <w:p>
      <w:pPr>
        <w:pStyle w:val="3"/>
        <w:spacing w:before="18"/>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7"/>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7"/>
        <w:spacing w:before="26"/>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7"/>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7"/>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7"/>
        <w:ind w:left="118"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7"/>
        <w:ind w:left="118"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7"/>
        <w:spacing w:before="27"/>
        <w:ind w:left="118"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7"/>
        <w:spacing w:before="27"/>
        <w:ind w:left="59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参选方应具有建设主管部门颁发的电力工程设计资质甲级及以上资质、工程勘察甲级及以上资质</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hint="eastAsia"/>
          <w:sz w:val="24"/>
          <w:lang w:eastAsia="zh-CN"/>
        </w:rPr>
        <w:t>近五年内承担过同类工程设计或</w:t>
      </w:r>
      <w:r>
        <w:rPr>
          <w:sz w:val="24"/>
          <w:lang w:eastAsia="zh-CN"/>
        </w:rPr>
        <w:t>EPC业绩</w:t>
      </w:r>
      <w:r>
        <w:rPr>
          <w:rFonts w:hint="eastAsia"/>
          <w:sz w:val="24"/>
          <w:lang w:eastAsia="zh-CN"/>
        </w:rPr>
        <w:t>，并有良好的履约记录</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近三年内无设计质量事故，无被相关行政部门处罚记录</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参选方应提供相关设计业绩（附相关服务业绩证明）；</w:t>
      </w:r>
    </w:p>
    <w:p>
      <w:pPr>
        <w:pStyle w:val="2"/>
        <w:spacing w:line="360" w:lineRule="auto"/>
        <w:ind w:firstLine="465"/>
        <w:rPr>
          <w:sz w:val="24"/>
          <w:szCs w:val="24"/>
        </w:rPr>
      </w:pPr>
      <w:r>
        <w:rPr>
          <w:rFonts w:hint="eastAsia"/>
          <w:sz w:val="24"/>
          <w:szCs w:val="24"/>
        </w:rPr>
        <w:t xml:space="preserve">6. </w:t>
      </w:r>
      <w:r>
        <w:rPr>
          <w:rFonts w:hint="eastAsia" w:hAnsi="宋体"/>
          <w:sz w:val="24"/>
        </w:rPr>
        <w:t>报告应满足安全、适用、经济、满足本项目电力设计使用功能的要求，并经当地主管部门认可、审批通过；</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465"/>
        <w:rPr>
          <w:sz w:val="24"/>
          <w:szCs w:val="24"/>
        </w:rPr>
      </w:pPr>
      <w:r>
        <w:rPr>
          <w:rFonts w:hint="eastAsia" w:asciiTheme="majorEastAsia" w:hAnsiTheme="majorEastAsia" w:eastAsiaTheme="majorEastAsia"/>
          <w:sz w:val="24"/>
          <w:szCs w:val="24"/>
        </w:rPr>
        <w:t xml:space="preserve">8.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3"/>
        <w:ind w:left="0" w:firstLine="480" w:firstLineChars="200"/>
        <w:rPr>
          <w:rFonts w:asciiTheme="majorEastAsia" w:hAnsiTheme="majorEastAsia" w:eastAsiaTheme="majorEastAsia"/>
          <w:b w:val="0"/>
          <w:bCs w:val="0"/>
          <w:sz w:val="24"/>
          <w:szCs w:val="24"/>
          <w:lang w:eastAsia="zh-CN"/>
        </w:rPr>
      </w:pPr>
      <w:r>
        <w:rPr>
          <w:rFonts w:hint="eastAsia"/>
          <w:b w:val="0"/>
          <w:sz w:val="24"/>
          <w:szCs w:val="24"/>
          <w:lang w:eastAsia="zh-CN"/>
        </w:rPr>
        <w:t>9. 本项目不接受联合体参选，不允许分包。</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4"/>
          <w:szCs w:val="24"/>
          <w:lang w:eastAsia="zh-CN"/>
        </w:rPr>
        <w:t>南部热源点一期工程可行性研究及</w:t>
      </w:r>
      <w:r>
        <w:rPr>
          <w:rFonts w:hint="eastAsia" w:asciiTheme="majorEastAsia" w:hAnsiTheme="majorEastAsia" w:eastAsiaTheme="majorEastAsia"/>
          <w:b/>
          <w:sz w:val="24"/>
          <w:szCs w:val="24"/>
          <w:lang w:eastAsia="zh-CN"/>
        </w:rPr>
        <w:t>项目申请</w:t>
      </w:r>
      <w:r>
        <w:rPr>
          <w:rFonts w:hint="eastAsia" w:cs="Arial" w:asciiTheme="majorEastAsia" w:hAnsiTheme="majorEastAsia" w:eastAsiaTheme="majorEastAsia"/>
          <w:b/>
          <w:color w:val="333333"/>
          <w:sz w:val="24"/>
          <w:szCs w:val="24"/>
          <w:lang w:eastAsia="zh-CN"/>
        </w:rPr>
        <w:t>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7"/>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7"/>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7"/>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7"/>
        <w:ind w:right="121" w:firstLine="480" w:firstLineChars="200"/>
        <w:jc w:val="both"/>
        <w:rPr>
          <w:lang w:eastAsia="zh-CN"/>
        </w:rPr>
      </w:pPr>
      <w:r>
        <w:rPr>
          <w:rFonts w:hint="eastAsia"/>
          <w:lang w:eastAsia="zh-CN"/>
        </w:rPr>
        <w:t>8.如有下列情况发生，将被没收参选保证金：</w:t>
      </w:r>
    </w:p>
    <w:p>
      <w:pPr>
        <w:pStyle w:val="7"/>
        <w:ind w:right="121"/>
        <w:jc w:val="both"/>
        <w:rPr>
          <w:lang w:eastAsia="zh-CN"/>
        </w:rPr>
      </w:pPr>
      <w:r>
        <w:rPr>
          <w:rFonts w:hint="eastAsia"/>
          <w:lang w:eastAsia="zh-CN"/>
        </w:rPr>
        <w:t xml:space="preserve">   （1）参选单位在参选有效期内撤回参选文件；</w:t>
      </w:r>
    </w:p>
    <w:p>
      <w:pPr>
        <w:pStyle w:val="7"/>
        <w:ind w:right="-49" w:firstLine="360" w:firstLineChars="150"/>
        <w:rPr>
          <w:rFonts w:asciiTheme="majorEastAsia" w:hAnsiTheme="majorEastAsia" w:eastAsiaTheme="majorEastAsia"/>
          <w:lang w:eastAsia="zh-CN"/>
        </w:rPr>
      </w:pPr>
      <w:r>
        <w:rPr>
          <w:rFonts w:hint="eastAsia"/>
          <w:lang w:eastAsia="zh-CN"/>
        </w:rPr>
        <w:t>（2）参选单位未能按接到中标通知书后规定的时间内签定合同。</w:t>
      </w:r>
    </w:p>
    <w:p>
      <w:pPr>
        <w:pStyle w:val="7"/>
        <w:ind w:right="-49" w:firstLine="458" w:firstLineChars="200"/>
        <w:rPr>
          <w:rFonts w:asciiTheme="majorEastAsia" w:hAnsiTheme="majorEastAsia" w:eastAsiaTheme="majorEastAsia"/>
          <w:b/>
          <w:w w:val="95"/>
          <w:lang w:eastAsia="zh-CN"/>
        </w:rPr>
      </w:pPr>
      <w:r>
        <w:rPr>
          <w:rFonts w:asciiTheme="majorEastAsia" w:hAnsiTheme="majorEastAsia" w:eastAsiaTheme="majorEastAsia"/>
          <w:b/>
          <w:w w:val="95"/>
          <w:lang w:eastAsia="zh-CN"/>
        </w:rPr>
        <w:t>八、参选文件的递交</w:t>
      </w:r>
    </w:p>
    <w:p>
      <w:pPr>
        <w:pStyle w:val="4"/>
        <w:tabs>
          <w:tab w:val="left" w:pos="6879"/>
        </w:tabs>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ind w:left="119" w:leftChars="54" w:right="106" w:firstLine="806" w:firstLineChars="346"/>
        <w:rPr>
          <w:spacing w:val="-6"/>
          <w:lang w:eastAsia="zh-CN"/>
        </w:rPr>
      </w:pPr>
      <w:r>
        <w:rPr>
          <w:rFonts w:hint="eastAsia"/>
          <w:spacing w:val="-4"/>
          <w:lang w:eastAsia="zh-CN"/>
        </w:rPr>
        <w:t xml:space="preserve">技术联系人：邱衍新     电话：0596-6311822 </w:t>
      </w:r>
    </w:p>
    <w:p>
      <w:pPr>
        <w:ind w:left="598" w:leftChars="272" w:firstLine="236" w:firstLineChars="98"/>
        <w:rPr>
          <w:b/>
          <w:sz w:val="24"/>
          <w:lang w:eastAsia="zh-CN"/>
        </w:rPr>
      </w:pPr>
      <w:r>
        <w:rPr>
          <w:b/>
          <w:sz w:val="24"/>
          <w:lang w:eastAsia="zh-CN"/>
        </w:rPr>
        <w:t>注：请使用顺丰快递或中国邮政 EMS 快递，其他快递不能保证送达目的地。</w:t>
      </w:r>
    </w:p>
    <w:p>
      <w:pPr>
        <w:pStyle w:val="7"/>
        <w:ind w:firstLine="480" w:firstLineChars="200"/>
        <w:rPr>
          <w:lang w:eastAsia="zh-CN"/>
        </w:rPr>
      </w:pPr>
      <w:r>
        <w:rPr>
          <w:lang w:eastAsia="zh-CN"/>
        </w:rPr>
        <w:t>3.只允许参选人有一个参选方案，否则将被视为无效参选。</w:t>
      </w:r>
    </w:p>
    <w:p>
      <w:pPr>
        <w:pStyle w:val="7"/>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7"/>
        <w:ind w:right="-49" w:firstLine="480" w:firstLineChars="200"/>
        <w:rPr>
          <w:rFonts w:asciiTheme="majorEastAsia" w:hAnsiTheme="majorEastAsia" w:eastAsia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pStyle w:val="7"/>
        <w:ind w:right="-49" w:firstLine="600" w:firstLineChars="250"/>
        <w:rPr>
          <w:rFonts w:asciiTheme="majorEastAsia" w:hAnsiTheme="majorEastAsia" w:eastAsiaTheme="majorEastAsia"/>
          <w:spacing w:val="-9"/>
          <w:lang w:eastAsia="zh-CN"/>
        </w:rPr>
      </w:pPr>
      <w:r>
        <w:rPr>
          <w:rFonts w:hint="eastAsia" w:asciiTheme="majorEastAsia" w:hAnsiTheme="majorEastAsia" w:eastAsiaTheme="majorEastAsia"/>
          <w:bCs/>
          <w:color w:val="000000"/>
          <w:lang w:eastAsia="zh-CN"/>
        </w:rPr>
        <w:t>（4）</w:t>
      </w:r>
      <w:r>
        <w:rPr>
          <w:rFonts w:hint="eastAsia" w:asciiTheme="majorEastAsia" w:hAnsiTheme="majorEastAsia" w:eastAsiaTheme="majorEastAsia"/>
          <w:bCs/>
          <w:lang w:eastAsia="zh-CN"/>
        </w:rPr>
        <w:t>超过异议时效的。</w:t>
      </w:r>
    </w:p>
    <w:p>
      <w:pPr>
        <w:pStyle w:val="4"/>
        <w:spacing w:after="240"/>
        <w:ind w:left="0" w:firstLine="458" w:firstLineChars="200"/>
        <w:rPr>
          <w:rFonts w:asciiTheme="majorEastAsia" w:hAnsiTheme="majorEastAsia" w:eastAsiaTheme="majorEastAsia"/>
          <w:lang w:eastAsia="zh-CN"/>
        </w:rPr>
      </w:pPr>
      <w:r>
        <w:rPr>
          <w:rFonts w:hint="eastAsia" w:asciiTheme="majorEastAsia" w:hAnsiTheme="majorEastAsia" w:eastAsiaTheme="majorEastAsia"/>
          <w:w w:val="95"/>
          <w:lang w:eastAsia="zh-CN"/>
        </w:rPr>
        <w:t>十</w:t>
      </w:r>
      <w:r>
        <w:rPr>
          <w:rFonts w:asciiTheme="majorEastAsia" w:hAnsiTheme="majorEastAsia" w:eastAsiaTheme="majorEastAsia"/>
          <w:w w:val="95"/>
          <w:lang w:eastAsia="zh-CN"/>
        </w:rPr>
        <w:t>、</w:t>
      </w:r>
      <w:r>
        <w:rPr>
          <w:rFonts w:hint="eastAsia" w:asciiTheme="majorEastAsia" w:hAnsiTheme="majorEastAsia" w:eastAsiaTheme="majorEastAsia"/>
          <w:lang w:eastAsia="zh-CN"/>
        </w:rPr>
        <w:t>最高控制价及投标报价要求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1、本项目最高限价为人民币99万元。参选人所填报的参选总价高于本项目最高限价的，其参选将被评标委员会予以否决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人应以完成本比选文件“技术规范书”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7"/>
        <w:ind w:right="-49"/>
        <w:rPr>
          <w:lang w:eastAsia="zh-CN"/>
        </w:rPr>
        <w:sectPr>
          <w:pgSz w:w="11910" w:h="16840"/>
          <w:pgMar w:top="150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ind w:left="538"/>
        <w:rPr>
          <w:b/>
          <w:sz w:val="24"/>
          <w:szCs w:val="24"/>
          <w:lang w:eastAsia="zh-CN"/>
        </w:rPr>
      </w:pPr>
      <w:r>
        <w:rPr>
          <w:b/>
          <w:w w:val="95"/>
          <w:sz w:val="24"/>
          <w:szCs w:val="24"/>
          <w:lang w:eastAsia="zh-CN"/>
        </w:rPr>
        <w:t>一、参选文件的组成：</w:t>
      </w:r>
    </w:p>
    <w:p>
      <w:pPr>
        <w:pStyle w:val="7"/>
        <w:ind w:left="118" w:right="92"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7"/>
        <w:ind w:left="118" w:right="92"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pPr>
        <w:pStyle w:val="7"/>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ind w:left="595"/>
        <w:rPr>
          <w:lang w:eastAsia="zh-CN"/>
        </w:rPr>
      </w:pPr>
      <w:r>
        <w:rPr>
          <w:lang w:eastAsia="zh-CN"/>
        </w:rPr>
        <w:t>④提供参选报价表(详见附件)。</w:t>
      </w:r>
    </w:p>
    <w:p>
      <w:pPr>
        <w:pStyle w:val="7"/>
        <w:spacing w:before="26"/>
        <w:ind w:firstLine="480" w:firstLineChars="20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ind w:firstLine="602" w:firstLineChars="250"/>
        <w:rPr>
          <w:lang w:eastAsia="zh-CN"/>
        </w:rPr>
      </w:pPr>
      <w:r>
        <w:rPr>
          <w:rFonts w:hint="eastAsia"/>
          <w:b/>
          <w:lang w:eastAsia="zh-CN"/>
        </w:rPr>
        <w:t>注：需提供参选文件及报价表电子版一份（盖章PDF版），报价表须独立盖章密封</w:t>
      </w:r>
    </w:p>
    <w:p>
      <w:pPr>
        <w:pStyle w:val="3"/>
        <w:ind w:left="680"/>
        <w:rPr>
          <w:sz w:val="24"/>
          <w:szCs w:val="24"/>
          <w:lang w:eastAsia="zh-CN"/>
        </w:rPr>
      </w:pPr>
      <w:r>
        <w:rPr>
          <w:w w:val="95"/>
          <w:sz w:val="24"/>
          <w:szCs w:val="24"/>
          <w:lang w:eastAsia="zh-CN"/>
        </w:rPr>
        <w:t>二、参选书格式内容</w:t>
      </w:r>
    </w:p>
    <w:p>
      <w:pPr>
        <w:pStyle w:val="7"/>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7"/>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rPr>
          <w:sz w:val="24"/>
          <w:szCs w:val="24"/>
          <w:lang w:eastAsia="zh-CN"/>
        </w:rPr>
      </w:pPr>
      <w:r>
        <w:rPr>
          <w:w w:val="95"/>
          <w:sz w:val="24"/>
          <w:szCs w:val="24"/>
          <w:lang w:eastAsia="zh-CN"/>
        </w:rPr>
        <w:t>三、参选报价</w:t>
      </w:r>
    </w:p>
    <w:p>
      <w:pPr>
        <w:pStyle w:val="7"/>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rPr>
          <w:sz w:val="24"/>
          <w:szCs w:val="24"/>
          <w:lang w:eastAsia="zh-CN"/>
        </w:rPr>
      </w:pPr>
      <w:r>
        <w:rPr>
          <w:w w:val="95"/>
          <w:sz w:val="24"/>
          <w:szCs w:val="24"/>
          <w:lang w:eastAsia="zh-CN"/>
        </w:rPr>
        <w:t>四、特别说明</w:t>
      </w:r>
    </w:p>
    <w:p>
      <w:pPr>
        <w:pStyle w:val="7"/>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15567504"/>
      <w:bookmarkStart w:id="2" w:name="_Toc430488858"/>
      <w:bookmarkStart w:id="3" w:name="_Toc430488651"/>
      <w:bookmarkStart w:id="4" w:name="_Toc177186249"/>
      <w:bookmarkStart w:id="5" w:name="_Toc304357904"/>
      <w:bookmarkStart w:id="6" w:name="_Toc430489126"/>
      <w:bookmarkStart w:id="7" w:name="_Toc430490619"/>
      <w:bookmarkStart w:id="8" w:name="_Toc430492133"/>
    </w:p>
    <w:p>
      <w:pPr>
        <w:pStyle w:val="7"/>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ind w:firstLine="480" w:firstLineChars="200"/>
        <w:rPr>
          <w:rFonts w:cs="黑体"/>
          <w:b/>
          <w:sz w:val="24"/>
          <w:szCs w:val="24"/>
          <w:lang w:eastAsia="zh-CN"/>
        </w:rPr>
      </w:pPr>
      <w:r>
        <w:rPr>
          <w:rFonts w:hint="eastAsia"/>
          <w:sz w:val="24"/>
          <w:szCs w:val="24"/>
          <w:lang w:eastAsia="zh-CN"/>
        </w:rPr>
        <w:t>7.1 参选人应在参选文件所附的参选报价表上写明参选项目的参选总价。</w:t>
      </w:r>
    </w:p>
    <w:p>
      <w:pPr>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pPr>
        <w:pStyle w:val="7"/>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7"/>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ind w:left="539"/>
        <w:rPr>
          <w:sz w:val="24"/>
          <w:szCs w:val="24"/>
          <w:lang w:eastAsia="zh-CN"/>
        </w:rPr>
      </w:pPr>
      <w:r>
        <w:rPr>
          <w:rFonts w:hint="eastAsia"/>
          <w:w w:val="95"/>
          <w:sz w:val="24"/>
          <w:szCs w:val="24"/>
          <w:lang w:eastAsia="zh-CN"/>
        </w:rPr>
        <w:t>一、</w:t>
      </w:r>
      <w:r>
        <w:rPr>
          <w:w w:val="95"/>
          <w:sz w:val="24"/>
          <w:szCs w:val="24"/>
          <w:lang w:eastAsia="zh-CN"/>
        </w:rPr>
        <w:t>评选</w:t>
      </w:r>
    </w:p>
    <w:p>
      <w:pPr>
        <w:pStyle w:val="7"/>
        <w:ind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7"/>
        <w:spacing w:before="23"/>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7"/>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snapToGrid w:val="0"/>
        <w:ind w:firstLine="660" w:firstLineChars="300"/>
        <w:rPr>
          <w:spacing w:val="-2"/>
          <w:sz w:val="24"/>
          <w:szCs w:val="24"/>
          <w:lang w:eastAsia="zh-CN"/>
        </w:rPr>
      </w:pPr>
      <w:r>
        <w:rPr>
          <w:lang w:eastAsia="zh-CN"/>
        </w:rPr>
        <w:t>1.</w:t>
      </w:r>
      <w:r>
        <w:rPr>
          <w:rFonts w:hint="eastAsia"/>
          <w:spacing w:val="-2"/>
          <w:sz w:val="24"/>
          <w:szCs w:val="24"/>
          <w:lang w:eastAsia="zh-CN"/>
        </w:rPr>
        <w:t xml:space="preserve"> 本项目评标采用综合评分法，评标小组将对通过资格及实质响应性审查的各合格参选人，根据以下标准和方法进行评议和评分，最低报价不作为中选的保证。</w:t>
      </w:r>
    </w:p>
    <w:p>
      <w:pPr>
        <w:tabs>
          <w:tab w:val="left" w:pos="825"/>
        </w:tabs>
        <w:snapToGrid w:val="0"/>
        <w:ind w:firstLine="439" w:firstLineChars="182"/>
        <w:rPr>
          <w:b/>
          <w:sz w:val="24"/>
          <w:szCs w:val="24"/>
          <w:u w:val="single"/>
          <w:lang w:eastAsia="zh-CN"/>
        </w:rPr>
      </w:pPr>
      <w:r>
        <w:rPr>
          <w:rFonts w:hint="eastAsia"/>
          <w:b/>
          <w:sz w:val="24"/>
          <w:szCs w:val="24"/>
          <w:u w:val="single"/>
          <w:lang w:eastAsia="zh-CN"/>
        </w:rPr>
        <w:t>评标小组按照先技术，后商务报价的顺序进行评议并评分，权重比为5:5。</w:t>
      </w:r>
    </w:p>
    <w:p>
      <w:pPr>
        <w:tabs>
          <w:tab w:val="left" w:pos="8205"/>
        </w:tabs>
        <w:snapToGrid w:val="0"/>
        <w:ind w:firstLine="708" w:firstLineChars="300"/>
        <w:rPr>
          <w:spacing w:val="-2"/>
          <w:sz w:val="24"/>
          <w:szCs w:val="24"/>
          <w:lang w:eastAsia="zh-CN"/>
        </w:rPr>
      </w:pPr>
      <w:r>
        <w:rPr>
          <w:rFonts w:hint="eastAsia"/>
          <w:spacing w:val="-2"/>
          <w:sz w:val="24"/>
          <w:szCs w:val="24"/>
          <w:lang w:eastAsia="zh-CN"/>
        </w:rPr>
        <w:t>1.3 评分办法</w:t>
      </w:r>
      <w:r>
        <w:rPr>
          <w:spacing w:val="-2"/>
          <w:sz w:val="24"/>
          <w:szCs w:val="24"/>
          <w:lang w:eastAsia="zh-CN"/>
        </w:rPr>
        <w:tab/>
      </w:r>
    </w:p>
    <w:p>
      <w:pPr>
        <w:snapToGrid w:val="0"/>
        <w:ind w:firstLine="708" w:firstLineChars="300"/>
        <w:rPr>
          <w:spacing w:val="-2"/>
          <w:sz w:val="24"/>
          <w:szCs w:val="24"/>
          <w:lang w:eastAsia="zh-CN"/>
        </w:rPr>
      </w:pPr>
      <w:r>
        <w:rPr>
          <w:rFonts w:hint="eastAsia"/>
          <w:spacing w:val="-2"/>
          <w:sz w:val="24"/>
          <w:szCs w:val="24"/>
          <w:lang w:eastAsia="zh-CN"/>
        </w:rPr>
        <w:t xml:space="preserve">1.1.1评分采用百分制，各专项所占分值见下表： </w:t>
      </w:r>
    </w:p>
    <w:tbl>
      <w:tblPr>
        <w:tblStyle w:val="16"/>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5</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6"/>
        <w:tblW w:w="9418" w:type="dxa"/>
        <w:tblInd w:w="392" w:type="dxa"/>
        <w:tblLayout w:type="autofit"/>
        <w:tblCellMar>
          <w:top w:w="0" w:type="dxa"/>
          <w:left w:w="108" w:type="dxa"/>
          <w:bottom w:w="0" w:type="dxa"/>
          <w:right w:w="108" w:type="dxa"/>
        </w:tblCellMar>
      </w:tblPr>
      <w:tblGrid>
        <w:gridCol w:w="709"/>
        <w:gridCol w:w="708"/>
        <w:gridCol w:w="1418"/>
        <w:gridCol w:w="567"/>
        <w:gridCol w:w="6016"/>
      </w:tblGrid>
      <w:tr>
        <w:tblPrEx>
          <w:tblCellMar>
            <w:top w:w="0" w:type="dxa"/>
            <w:left w:w="108" w:type="dxa"/>
            <w:bottom w:w="0" w:type="dxa"/>
            <w:right w:w="108" w:type="dxa"/>
          </w:tblCellMar>
        </w:tblPrEx>
        <w:trPr>
          <w:trHeight w:val="4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序号</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分值</w:t>
            </w:r>
          </w:p>
        </w:tc>
        <w:tc>
          <w:tcPr>
            <w:tcW w:w="601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评分细则</w:t>
            </w:r>
          </w:p>
        </w:tc>
      </w:tr>
      <w:tr>
        <w:tblPrEx>
          <w:tblCellMar>
            <w:top w:w="0" w:type="dxa"/>
            <w:left w:w="108" w:type="dxa"/>
            <w:bottom w:w="0" w:type="dxa"/>
            <w:right w:w="108" w:type="dxa"/>
          </w:tblCellMar>
        </w:tblPrEx>
        <w:trPr>
          <w:trHeight w:val="979" w:hRule="atLeast"/>
        </w:trPr>
        <w:tc>
          <w:tcPr>
            <w:tcW w:w="709" w:type="dxa"/>
            <w:vMerge w:val="restart"/>
            <w:tcBorders>
              <w:top w:val="nil"/>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708" w:type="dxa"/>
            <w:vMerge w:val="restart"/>
            <w:tcBorders>
              <w:top w:val="nil"/>
              <w:left w:val="single" w:color="auto" w:sz="4" w:space="0"/>
              <w:right w:val="single" w:color="auto"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技术部分</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资质</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资质要求：工程设计电力行业甲级及以上、工程勘察专业类甲级及以上。</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评分标准：符合标准得</w:t>
            </w:r>
            <w:r>
              <w:rPr>
                <w:color w:val="000000"/>
                <w:sz w:val="21"/>
                <w:szCs w:val="21"/>
                <w:lang w:eastAsia="zh-CN"/>
              </w:rPr>
              <w:t>5分</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证明材料：相关资质证书复印件。</w:t>
            </w:r>
          </w:p>
        </w:tc>
      </w:tr>
      <w:tr>
        <w:tblPrEx>
          <w:tblCellMar>
            <w:top w:w="0" w:type="dxa"/>
            <w:left w:w="108" w:type="dxa"/>
            <w:bottom w:w="0" w:type="dxa"/>
            <w:right w:w="108" w:type="dxa"/>
          </w:tblCellMar>
        </w:tblPrEx>
        <w:trPr>
          <w:trHeight w:val="675"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体系认证</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体系认证内容：质量管理体系认证、环境管理体系认证、职业健康安全管理体系认证。</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评分标准：每项</w:t>
            </w:r>
            <w:r>
              <w:rPr>
                <w:color w:val="000000"/>
                <w:sz w:val="21"/>
                <w:szCs w:val="21"/>
                <w:lang w:eastAsia="zh-CN"/>
              </w:rPr>
              <w:t>0.5分，满分1.5分。</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证明材料：相关证明材料复印件。</w:t>
            </w:r>
          </w:p>
        </w:tc>
      </w:tr>
      <w:tr>
        <w:tblPrEx>
          <w:tblCellMar>
            <w:top w:w="0" w:type="dxa"/>
            <w:left w:w="108" w:type="dxa"/>
            <w:bottom w:w="0" w:type="dxa"/>
            <w:right w:w="108" w:type="dxa"/>
          </w:tblCellMar>
        </w:tblPrEx>
        <w:trPr>
          <w:trHeight w:val="675"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项目负责人资历和业绩</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3</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资历业绩要求：本项目负责人（项目经理）的个人简历，具有注册公用设备工程师（热能动力）执业资格，详细说明近</w:t>
            </w:r>
            <w:r>
              <w:rPr>
                <w:color w:val="000000"/>
                <w:sz w:val="21"/>
                <w:szCs w:val="21"/>
                <w:lang w:eastAsia="zh-CN"/>
              </w:rPr>
              <w:t>10年承接的类似工程设计项目。</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评分标准：对提供的本项目负责人（项目经理）承接类似工程设计项目，</w:t>
            </w:r>
            <w:r>
              <w:rPr>
                <w:color w:val="000000"/>
                <w:sz w:val="21"/>
                <w:szCs w:val="21"/>
                <w:lang w:eastAsia="zh-CN"/>
              </w:rPr>
              <w:t>5个及以上3分；2-4个2分；1-2个1分；没有0分。</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证明材料：相关证明材料复印件。</w:t>
            </w:r>
          </w:p>
        </w:tc>
      </w:tr>
      <w:tr>
        <w:tblPrEx>
          <w:tblCellMar>
            <w:top w:w="0" w:type="dxa"/>
            <w:left w:w="108" w:type="dxa"/>
            <w:bottom w:w="0" w:type="dxa"/>
            <w:right w:w="108" w:type="dxa"/>
          </w:tblCellMar>
        </w:tblPrEx>
        <w:trPr>
          <w:trHeight w:val="690"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1"/>
                <w:szCs w:val="21"/>
                <w:lang w:eastAsia="zh-CN"/>
              </w:rPr>
            </w:pPr>
            <w:r>
              <w:rPr>
                <w:rFonts w:hint="eastAsia"/>
                <w:color w:val="000000"/>
                <w:sz w:val="21"/>
                <w:szCs w:val="21"/>
                <w:lang w:eastAsia="zh-CN"/>
              </w:rPr>
              <w:t>设计管理机构设置</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5.5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机构设置要求：本项目经理（项目负责人）可兼任本项目</w:t>
            </w:r>
            <w:r>
              <w:rPr>
                <w:color w:val="000000"/>
                <w:sz w:val="21"/>
                <w:szCs w:val="21"/>
                <w:lang w:eastAsia="zh-CN"/>
              </w:rPr>
              <w:t xml:space="preserve">1个专业的负责人；主要设计人员应以本项目为主，确保项目设计进度。                          </w:t>
            </w:r>
          </w:p>
          <w:p>
            <w:pPr>
              <w:widowControl/>
              <w:autoSpaceDE/>
              <w:autoSpaceDN/>
              <w:spacing w:line="240" w:lineRule="atLeast"/>
              <w:rPr>
                <w:color w:val="000000"/>
                <w:sz w:val="21"/>
                <w:szCs w:val="21"/>
                <w:lang w:eastAsia="zh-CN"/>
              </w:rPr>
            </w:pPr>
            <w:r>
              <w:rPr>
                <w:rFonts w:hint="eastAsia"/>
                <w:color w:val="000000"/>
                <w:sz w:val="21"/>
                <w:szCs w:val="21"/>
                <w:lang w:eastAsia="zh-CN"/>
              </w:rPr>
              <w:t>评分标准：中高级专业技术职称或注册资格人员占</w:t>
            </w:r>
            <w:r>
              <w:rPr>
                <w:color w:val="000000"/>
                <w:sz w:val="21"/>
                <w:szCs w:val="21"/>
                <w:lang w:eastAsia="zh-CN"/>
              </w:rPr>
              <w:t>(80%-100%]  5.5分；(60%-80%]  3.5分；  (30%-60%]  1.5分；(0-30%]    0.5分；专业不完整0分。 （某一专业负责人同时具备高级职称与注册资格证书的按一项计）</w:t>
            </w:r>
          </w:p>
          <w:p>
            <w:pPr>
              <w:widowControl/>
              <w:autoSpaceDE/>
              <w:autoSpaceDN/>
              <w:spacing w:line="240" w:lineRule="atLeast"/>
              <w:rPr>
                <w:color w:val="000000"/>
                <w:sz w:val="21"/>
                <w:szCs w:val="21"/>
                <w:lang w:eastAsia="zh-CN"/>
              </w:rPr>
            </w:pPr>
            <w:r>
              <w:rPr>
                <w:rFonts w:hint="eastAsia"/>
                <w:color w:val="000000"/>
                <w:sz w:val="21"/>
                <w:szCs w:val="21"/>
                <w:lang w:eastAsia="zh-CN"/>
              </w:rPr>
              <w:t>注：专业配套完整即专业负责人至少包括锅炉、汽机、输煤、除灰、化水、环保、建筑、结构、热控、暖通、水工、总图、给水排水消防、电气、通信、电力系统、技经。</w:t>
            </w:r>
          </w:p>
          <w:p>
            <w:pPr>
              <w:widowControl/>
              <w:autoSpaceDE/>
              <w:autoSpaceDN/>
              <w:spacing w:line="240" w:lineRule="atLeast"/>
              <w:rPr>
                <w:color w:val="000000"/>
                <w:sz w:val="21"/>
                <w:szCs w:val="21"/>
                <w:lang w:eastAsia="zh-CN"/>
              </w:rPr>
            </w:pPr>
            <w:r>
              <w:rPr>
                <w:rFonts w:hint="eastAsia"/>
                <w:color w:val="000000"/>
                <w:sz w:val="21"/>
                <w:szCs w:val="21"/>
                <w:lang w:eastAsia="zh-CN"/>
              </w:rPr>
              <w:t>证明材料：提供为本项目服务人员组织架构及相关资质证明材料复印件。</w:t>
            </w:r>
          </w:p>
        </w:tc>
      </w:tr>
      <w:tr>
        <w:tblPrEx>
          <w:tblCellMar>
            <w:top w:w="0" w:type="dxa"/>
            <w:left w:w="108" w:type="dxa"/>
            <w:bottom w:w="0" w:type="dxa"/>
            <w:right w:w="108" w:type="dxa"/>
          </w:tblCellMar>
        </w:tblPrEx>
        <w:trPr>
          <w:trHeight w:val="690" w:hRule="atLeast"/>
        </w:trPr>
        <w:tc>
          <w:tcPr>
            <w:tcW w:w="709" w:type="dxa"/>
            <w:vMerge w:val="continue"/>
            <w:tcBorders>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708" w:type="dxa"/>
            <w:vMerge w:val="continue"/>
            <w:tcBorders>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000000"/>
                <w:sz w:val="21"/>
                <w:szCs w:val="21"/>
                <w:lang w:eastAsia="zh-CN"/>
              </w:rPr>
            </w:pPr>
            <w:r>
              <w:rPr>
                <w:rFonts w:hint="eastAsia"/>
                <w:color w:val="000000"/>
                <w:sz w:val="21"/>
                <w:szCs w:val="21"/>
                <w:lang w:eastAsia="zh-CN"/>
              </w:rPr>
              <w:t>背压机组设计或</w:t>
            </w:r>
            <w:r>
              <w:rPr>
                <w:color w:val="000000"/>
                <w:sz w:val="21"/>
                <w:szCs w:val="21"/>
                <w:lang w:eastAsia="zh-CN"/>
              </w:rPr>
              <w:t>EPC总承包业绩</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15</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rFonts w:hint="eastAsia"/>
                <w:color w:val="000000"/>
                <w:sz w:val="21"/>
                <w:szCs w:val="21"/>
                <w:lang w:eastAsia="zh-CN"/>
              </w:rPr>
              <w:t>业绩要求：</w:t>
            </w:r>
            <w:r>
              <w:rPr>
                <w:color w:val="000000"/>
                <w:sz w:val="21"/>
                <w:szCs w:val="21"/>
                <w:lang w:eastAsia="zh-CN"/>
              </w:rPr>
              <w:t>2016年4月1日至投标截止时间前7日，投标人每具有1项化工、石化、煤化工自备热电站规模单台容量410t/h以上锅炉的工程设计或EPC总承包业绩</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评分标准：</w:t>
            </w:r>
            <w:r>
              <w:rPr>
                <w:color w:val="000000"/>
                <w:sz w:val="21"/>
                <w:szCs w:val="21"/>
                <w:lang w:eastAsia="zh-CN"/>
              </w:rPr>
              <w:t>410t/h-670t/h每具有1项得1分，670t/h以上每具有1项得3分，满分15分。</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证明材料：合同复印件，包括合同封面页、设计内容页、签订日期及双方盖章页等能够证明上述业绩要求的材料。</w:t>
            </w:r>
          </w:p>
        </w:tc>
      </w:tr>
      <w:tr>
        <w:tblPrEx>
          <w:tblCellMar>
            <w:top w:w="0" w:type="dxa"/>
            <w:left w:w="108" w:type="dxa"/>
            <w:bottom w:w="0" w:type="dxa"/>
            <w:right w:w="108" w:type="dxa"/>
          </w:tblCellMar>
        </w:tblPrEx>
        <w:trPr>
          <w:trHeight w:val="690" w:hRule="atLeast"/>
        </w:trPr>
        <w:tc>
          <w:tcPr>
            <w:tcW w:w="709" w:type="dxa"/>
            <w:vMerge w:val="continue"/>
            <w:tcBorders>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708" w:type="dxa"/>
            <w:vMerge w:val="continue"/>
            <w:tcBorders>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jc w:val="both"/>
              <w:rPr>
                <w:color w:val="000000"/>
                <w:sz w:val="21"/>
                <w:szCs w:val="21"/>
                <w:lang w:eastAsia="zh-CN"/>
              </w:rPr>
            </w:pPr>
            <w:r>
              <w:rPr>
                <w:rFonts w:hint="eastAsia"/>
                <w:color w:val="000000"/>
                <w:sz w:val="21"/>
                <w:szCs w:val="21"/>
                <w:lang w:eastAsia="zh-CN"/>
              </w:rPr>
              <w:t>技术方案</w:t>
            </w:r>
          </w:p>
        </w:tc>
        <w:tc>
          <w:tcPr>
            <w:tcW w:w="5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1"/>
                <w:szCs w:val="21"/>
                <w:lang w:eastAsia="zh-CN"/>
              </w:rPr>
            </w:pPr>
            <w:r>
              <w:rPr>
                <w:rFonts w:hint="eastAsia"/>
                <w:color w:val="000000"/>
                <w:sz w:val="21"/>
                <w:szCs w:val="21"/>
                <w:lang w:eastAsia="zh-CN"/>
              </w:rPr>
              <w:t>20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rFonts w:hint="eastAsia"/>
                <w:color w:val="000000"/>
                <w:sz w:val="21"/>
                <w:szCs w:val="21"/>
                <w:lang w:eastAsia="zh-CN"/>
              </w:rPr>
              <w:t>方案要求：针对本工程的建设条件和热负荷情况进行充分的分析和论证，提出建设设想及建设方案，并进行工程的投资估算及经济效益分析、风险分析等。</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评分标准：方案好</w:t>
            </w:r>
            <w:r>
              <w:rPr>
                <w:color w:val="000000"/>
                <w:sz w:val="21"/>
                <w:szCs w:val="21"/>
                <w:lang w:eastAsia="zh-CN"/>
              </w:rPr>
              <w:t>15-20分；方案较好10-15分；方案一般0-10分。</w:t>
            </w:r>
          </w:p>
        </w:tc>
      </w:tr>
      <w:tr>
        <w:tblPrEx>
          <w:tblCellMar>
            <w:top w:w="0" w:type="dxa"/>
            <w:left w:w="108" w:type="dxa"/>
            <w:bottom w:w="0" w:type="dxa"/>
            <w:right w:w="108" w:type="dxa"/>
          </w:tblCellMar>
        </w:tblPrEx>
        <w:trPr>
          <w:trHeight w:val="84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2</w:t>
            </w:r>
          </w:p>
        </w:tc>
        <w:tc>
          <w:tcPr>
            <w:tcW w:w="70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商务部分</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报价</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50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color w:val="000000"/>
                <w:sz w:val="21"/>
                <w:szCs w:val="21"/>
                <w:lang w:eastAsia="zh-CN"/>
              </w:rPr>
              <w:t>1：价格得分满分M=50分，价格得分计算规则为：</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投标报价为固定总价，最高限价为：</w:t>
            </w:r>
            <w:r>
              <w:rPr>
                <w:color w:val="000000"/>
                <w:sz w:val="21"/>
                <w:szCs w:val="21"/>
                <w:lang w:eastAsia="zh-CN"/>
              </w:rPr>
              <w:t>99万元</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投标人的报价应控制在招标人设定的最高限价（含）以下，高于最高限价的报价，作无效处理；</w:t>
            </w:r>
            <w:r>
              <w:rPr>
                <w:color w:val="000000"/>
                <w:sz w:val="21"/>
                <w:szCs w:val="21"/>
                <w:lang w:eastAsia="zh-CN"/>
              </w:rPr>
              <w:t xml:space="preserve"> </w:t>
            </w:r>
          </w:p>
          <w:p>
            <w:pPr>
              <w:widowControl/>
              <w:autoSpaceDE/>
              <w:autoSpaceDN/>
              <w:spacing w:line="240" w:lineRule="atLeast"/>
              <w:jc w:val="both"/>
              <w:rPr>
                <w:color w:val="000000"/>
                <w:sz w:val="21"/>
                <w:szCs w:val="21"/>
                <w:lang w:eastAsia="zh-CN"/>
              </w:rPr>
            </w:pPr>
            <w:r>
              <w:rPr>
                <w:color w:val="000000"/>
                <w:sz w:val="21"/>
                <w:szCs w:val="21"/>
                <w:lang w:eastAsia="zh-CN"/>
              </w:rPr>
              <w:t>2：评标基准价的确定：评标基准价指招标人</w:t>
            </w:r>
            <w:r>
              <w:rPr>
                <w:rFonts w:hint="eastAsia"/>
                <w:color w:val="000000"/>
                <w:sz w:val="21"/>
                <w:szCs w:val="21"/>
                <w:lang w:eastAsia="zh-CN"/>
              </w:rPr>
              <w:t>在</w:t>
            </w:r>
            <w:r>
              <w:rPr>
                <w:color w:val="000000"/>
                <w:sz w:val="21"/>
                <w:szCs w:val="21"/>
                <w:lang w:eastAsia="zh-CN"/>
              </w:rPr>
              <w:t>最高限价（含）以下</w:t>
            </w:r>
            <w:r>
              <w:rPr>
                <w:rFonts w:hint="eastAsia"/>
                <w:color w:val="000000"/>
                <w:sz w:val="21"/>
                <w:szCs w:val="21"/>
                <w:lang w:eastAsia="zh-CN"/>
              </w:rPr>
              <w:t>的</w:t>
            </w:r>
            <w:r>
              <w:rPr>
                <w:color w:val="000000"/>
                <w:sz w:val="21"/>
                <w:szCs w:val="21"/>
                <w:lang w:eastAsia="zh-CN"/>
              </w:rPr>
              <w:t xml:space="preserve">有效报价的所有资格、符合性审查均合格的投标人投标报价的平均值。 </w:t>
            </w:r>
          </w:p>
          <w:p>
            <w:pPr>
              <w:widowControl/>
              <w:autoSpaceDE/>
              <w:autoSpaceDN/>
              <w:spacing w:line="240" w:lineRule="atLeast"/>
              <w:jc w:val="both"/>
              <w:rPr>
                <w:color w:val="000000"/>
                <w:sz w:val="21"/>
                <w:szCs w:val="21"/>
                <w:lang w:eastAsia="zh-CN"/>
              </w:rPr>
            </w:pPr>
            <w:r>
              <w:rPr>
                <w:color w:val="000000"/>
                <w:sz w:val="21"/>
                <w:szCs w:val="21"/>
                <w:lang w:eastAsia="zh-CN"/>
              </w:rPr>
              <w:t>3：（1）投标人的投标报价等于评标基准价的得50分；</w:t>
            </w:r>
          </w:p>
          <w:p>
            <w:pPr>
              <w:widowControl/>
              <w:autoSpaceDE/>
              <w:autoSpaceDN/>
              <w:spacing w:line="240" w:lineRule="atLeast"/>
              <w:jc w:val="both"/>
              <w:rPr>
                <w:color w:val="000000"/>
                <w:sz w:val="21"/>
                <w:szCs w:val="21"/>
                <w:lang w:eastAsia="zh-CN"/>
              </w:rPr>
            </w:pPr>
            <w:r>
              <w:rPr>
                <w:rFonts w:hint="eastAsia"/>
                <w:color w:val="000000"/>
                <w:sz w:val="21"/>
                <w:szCs w:val="21"/>
                <w:lang w:eastAsia="zh-CN"/>
              </w:rPr>
              <w:t>（</w:t>
            </w:r>
            <w:r>
              <w:rPr>
                <w:color w:val="000000"/>
                <w:sz w:val="21"/>
                <w:szCs w:val="21"/>
                <w:lang w:eastAsia="zh-CN"/>
              </w:rPr>
              <w:t>2）偏离评标基准价的，每低于评标基准价1个百分点的扣0.5分，即商务标得分=50-[（评标基准价-投标报价）/评标基准价]×100×0.5；</w:t>
            </w:r>
          </w:p>
          <w:p>
            <w:pPr>
              <w:widowControl/>
              <w:autoSpaceDE/>
              <w:autoSpaceDN/>
              <w:spacing w:line="240" w:lineRule="atLeast"/>
              <w:jc w:val="both"/>
              <w:rPr>
                <w:color w:val="000000"/>
                <w:sz w:val="21"/>
                <w:szCs w:val="21"/>
                <w:lang w:eastAsia="zh-CN"/>
              </w:rPr>
            </w:pPr>
            <w:r>
              <w:rPr>
                <w:color w:val="000000"/>
                <w:sz w:val="21"/>
                <w:szCs w:val="21"/>
                <w:lang w:eastAsia="zh-CN"/>
              </w:rPr>
              <w:t>3.偏离评标基准价的，每高于评标基准价1个百分点的扣1分，即商务标得分=50-[（投标报价-评标基准价）/评标基准价]×100×1；</w:t>
            </w:r>
          </w:p>
          <w:p>
            <w:pPr>
              <w:widowControl/>
              <w:autoSpaceDE/>
              <w:autoSpaceDN/>
              <w:spacing w:line="240" w:lineRule="atLeast"/>
              <w:jc w:val="both"/>
              <w:rPr>
                <w:color w:val="000000"/>
                <w:sz w:val="21"/>
                <w:szCs w:val="21"/>
                <w:lang w:eastAsia="zh-CN"/>
              </w:rPr>
            </w:pPr>
            <w:r>
              <w:rPr>
                <w:color w:val="000000"/>
                <w:sz w:val="21"/>
                <w:szCs w:val="21"/>
                <w:lang w:eastAsia="zh-CN"/>
              </w:rPr>
              <w:t>4.投标报价得分小数点后保留两位，小数点后第三位四舍五入</w:t>
            </w:r>
          </w:p>
        </w:tc>
      </w:tr>
    </w:tbl>
    <w:p>
      <w:pPr>
        <w:pStyle w:val="7"/>
        <w:spacing w:before="35" w:line="276" w:lineRule="auto"/>
        <w:ind w:left="598"/>
        <w:rPr>
          <w:lang w:eastAsia="zh-CN"/>
        </w:rPr>
      </w:pPr>
      <w:r>
        <w:rPr>
          <w:lang w:eastAsia="zh-CN"/>
        </w:rPr>
        <w:t>2.参选人串选、相互勾结故意压低标价以排挤竞争对手的公平竞争的，其参选无效。</w:t>
      </w:r>
    </w:p>
    <w:p>
      <w:pPr>
        <w:pStyle w:val="7"/>
        <w:spacing w:before="153"/>
        <w:ind w:left="118" w:right="-28"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spacing w:before="83"/>
        <w:rPr>
          <w:sz w:val="24"/>
          <w:szCs w:val="24"/>
          <w:lang w:eastAsia="zh-CN"/>
        </w:rPr>
      </w:pPr>
      <w:r>
        <w:rPr>
          <w:rFonts w:hint="eastAsia"/>
          <w:w w:val="95"/>
          <w:sz w:val="24"/>
          <w:szCs w:val="24"/>
          <w:lang w:eastAsia="zh-CN"/>
        </w:rPr>
        <w:t>三</w:t>
      </w:r>
      <w:r>
        <w:rPr>
          <w:w w:val="95"/>
          <w:sz w:val="24"/>
          <w:szCs w:val="24"/>
          <w:lang w:eastAsia="zh-CN"/>
        </w:rPr>
        <w:t>、资格审查：</w:t>
      </w:r>
    </w:p>
    <w:p>
      <w:pPr>
        <w:pStyle w:val="7"/>
        <w:spacing w:before="211"/>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before="83"/>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7"/>
        <w:spacing w:before="210"/>
        <w:ind w:left="120" w:right="222" w:firstLine="52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的综合评分，综合得分最高者作为第一候选人。</w:t>
      </w:r>
    </w:p>
    <w:p>
      <w:pPr>
        <w:spacing w:before="15"/>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7"/>
        <w:ind w:left="698"/>
        <w:rPr>
          <w:lang w:eastAsia="zh-CN"/>
        </w:rPr>
      </w:pPr>
      <w:r>
        <w:rPr>
          <w:lang w:eastAsia="zh-CN"/>
        </w:rPr>
        <w:t>1.对比选文件提出的实质性要求和条件，参选文件未能在实质上响应的。</w:t>
      </w:r>
    </w:p>
    <w:p>
      <w:pPr>
        <w:pStyle w:val="7"/>
        <w:ind w:left="698"/>
        <w:rPr>
          <w:lang w:eastAsia="zh-CN"/>
        </w:rPr>
      </w:pPr>
      <w:r>
        <w:rPr>
          <w:lang w:eastAsia="zh-CN"/>
        </w:rPr>
        <w:t>2.参选文件存在重大偏差的。</w:t>
      </w:r>
    </w:p>
    <w:p>
      <w:pPr>
        <w:pStyle w:val="7"/>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ind w:left="367" w:firstLine="3373" w:firstLineChars="1200"/>
        <w:jc w:val="both"/>
        <w:rPr>
          <w:lang w:eastAsia="zh-CN"/>
        </w:rPr>
      </w:pPr>
    </w:p>
    <w:p>
      <w:pPr>
        <w:ind w:firstLine="343" w:firstLineChars="150"/>
        <w:rPr>
          <w:b/>
          <w:w w:val="95"/>
          <w:sz w:val="24"/>
          <w:szCs w:val="24"/>
          <w:lang w:eastAsia="zh-CN"/>
        </w:rPr>
      </w:pPr>
    </w:p>
    <w:p>
      <w:pPr>
        <w:ind w:firstLine="343" w:firstLineChars="150"/>
        <w:rPr>
          <w:b/>
          <w:w w:val="95"/>
          <w:sz w:val="24"/>
          <w:szCs w:val="24"/>
          <w:lang w:eastAsia="zh-CN"/>
        </w:rPr>
      </w:pPr>
    </w:p>
    <w:p>
      <w:pPr>
        <w:ind w:firstLine="343" w:firstLineChars="150"/>
        <w:rPr>
          <w:b/>
          <w:w w:val="95"/>
          <w:sz w:val="24"/>
          <w:szCs w:val="24"/>
          <w:lang w:eastAsia="zh-CN"/>
        </w:rPr>
      </w:pPr>
    </w:p>
    <w:p>
      <w:pPr>
        <w:ind w:firstLine="343" w:firstLineChars="150"/>
        <w:rPr>
          <w:b/>
          <w:w w:val="95"/>
          <w:sz w:val="24"/>
          <w:szCs w:val="24"/>
          <w:lang w:eastAsia="zh-CN"/>
        </w:rPr>
      </w:pPr>
    </w:p>
    <w:p>
      <w:pPr>
        <w:pStyle w:val="7"/>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7"/>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7"/>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7"/>
        <w:spacing w:before="24"/>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9"/>
          <w:rFonts w:hint="eastAsia"/>
          <w:sz w:val="24"/>
          <w:szCs w:val="24"/>
        </w:rPr>
        <w:t>福建福海创石油化工有限公司的权属子公司“腾龙芳烃（漳州）有限公司”作为合同执行主体，将于中选通知书发出之日起20日内与中选人完成合同签订事宜。</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lang w:eastAsia="zh-CN"/>
        </w:rPr>
        <w:t>南部热源点一期工程可行性研究及</w:t>
      </w:r>
      <w:r>
        <w:rPr>
          <w:rFonts w:hint="eastAsia" w:asciiTheme="majorEastAsia" w:hAnsiTheme="majorEastAsia" w:eastAsiaTheme="majorEastAsia"/>
          <w:b/>
          <w:lang w:eastAsia="zh-CN"/>
        </w:rPr>
        <w:t>项目申请</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7"/>
        <w:spacing w:before="26"/>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pStyle w:val="7"/>
        <w:rPr>
          <w:rFonts w:ascii="Times New Roman"/>
          <w:b/>
          <w:bCs/>
          <w:lang w:eastAsia="zh-CN"/>
        </w:rPr>
      </w:pPr>
      <w:bookmarkStart w:id="9" w:name="_Toc251742852"/>
      <w:r>
        <w:rPr>
          <w:rFonts w:hint="eastAsia" w:ascii="Times New Roman"/>
          <w:b/>
          <w:bCs/>
          <w:lang w:eastAsia="zh-CN"/>
        </w:rPr>
        <w:t>附件一</w:t>
      </w:r>
    </w:p>
    <w:p>
      <w:pPr>
        <w:pStyle w:val="9"/>
        <w:spacing w:line="400" w:lineRule="exact"/>
        <w:jc w:val="center"/>
        <w:rPr>
          <w:rFonts w:hAnsi="宋体"/>
          <w:b/>
          <w:sz w:val="36"/>
          <w:szCs w:val="36"/>
          <w:lang w:eastAsia="zh-CN"/>
        </w:rPr>
      </w:pPr>
      <w:r>
        <w:rPr>
          <w:rFonts w:hint="eastAsia" w:hAnsi="宋体"/>
          <w:b/>
          <w:sz w:val="36"/>
          <w:szCs w:val="36"/>
          <w:lang w:eastAsia="zh-CN"/>
        </w:rPr>
        <w:t>技术服务合同</w:t>
      </w:r>
    </w:p>
    <w:p>
      <w:pPr>
        <w:pStyle w:val="9"/>
        <w:spacing w:line="400" w:lineRule="exact"/>
        <w:jc w:val="center"/>
        <w:rPr>
          <w:rFonts w:hAnsi="宋体"/>
          <w:sz w:val="24"/>
          <w:szCs w:val="24"/>
          <w:lang w:eastAsia="zh-CN"/>
        </w:rPr>
      </w:pPr>
    </w:p>
    <w:p>
      <w:pPr>
        <w:pStyle w:val="9"/>
        <w:jc w:val="center"/>
        <w:rPr>
          <w:rFonts w:hAnsi="宋体"/>
          <w:sz w:val="24"/>
          <w:szCs w:val="24"/>
          <w:lang w:eastAsia="zh-CN"/>
        </w:rPr>
      </w:pPr>
      <w:r>
        <w:rPr>
          <w:rFonts w:hint="eastAsia" w:hAnsi="宋体"/>
          <w:sz w:val="24"/>
          <w:szCs w:val="24"/>
          <w:lang w:eastAsia="zh-CN"/>
        </w:rPr>
        <w:t>合同编号：</w:t>
      </w:r>
    </w:p>
    <w:p>
      <w:pPr>
        <w:pStyle w:val="9"/>
        <w:jc w:val="center"/>
        <w:rPr>
          <w:rFonts w:hAnsi="宋体"/>
          <w:sz w:val="24"/>
          <w:szCs w:val="24"/>
          <w:lang w:eastAsia="zh-CN"/>
        </w:rPr>
      </w:pPr>
      <w:r>
        <w:rPr>
          <w:rFonts w:hint="eastAsia" w:hAnsi="宋体"/>
          <w:sz w:val="24"/>
          <w:szCs w:val="24"/>
          <w:lang w:eastAsia="zh-CN"/>
        </w:rPr>
        <w:t>签订时间：</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：腾龙芳烃（漳州）有限公司</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：邱衍新</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：福建省漳州市漳浦县古雷经济开发区腾龙路86号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r>
        <w:rPr>
          <w:rFonts w:hint="eastAsia"/>
          <w:sz w:val="24"/>
          <w:szCs w:val="24"/>
          <w:shd w:val="clear" w:color="auto" w:fill="FFFFFF"/>
          <w:lang w:eastAsia="zh-CN"/>
        </w:rPr>
        <w:t>18060282370</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：yxqiu@fhcpec.com.cn</w:t>
      </w:r>
    </w:p>
    <w:p>
      <w:pPr>
        <w:pStyle w:val="9"/>
        <w:rPr>
          <w:rFonts w:asciiTheme="minorEastAsia" w:hAnsiTheme="minorEastAsia" w:eastAsiaTheme="minorEastAsia"/>
          <w:sz w:val="24"/>
          <w:szCs w:val="24"/>
          <w:lang w:eastAsia="zh-CN"/>
        </w:rPr>
      </w:pP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9"/>
        <w:rPr>
          <w:rFonts w:cs="黑体" w:asciiTheme="majorEastAsia" w:hAnsiTheme="majorEastAsia" w:eastAsiaTheme="majorEastAsia"/>
          <w:sz w:val="24"/>
          <w:u w:val="single"/>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lang w:eastAsia="zh-CN"/>
        </w:rPr>
        <w:t>本合同由甲方委托乙方就</w:t>
      </w:r>
      <w:r>
        <w:rPr>
          <w:rFonts w:hint="eastAsia" w:asciiTheme="majorEastAsia" w:hAnsiTheme="majorEastAsia" w:eastAsiaTheme="majorEastAsia"/>
          <w:bCs/>
          <w:sz w:val="24"/>
          <w:szCs w:val="24"/>
          <w:u w:val="single"/>
          <w:lang w:eastAsia="zh-CN"/>
        </w:rPr>
        <w:t>南部热源点一期工程可行性研究及</w:t>
      </w:r>
      <w:r>
        <w:rPr>
          <w:rFonts w:hint="eastAsia" w:asciiTheme="minorEastAsia" w:hAnsiTheme="minorEastAsia" w:eastAsiaTheme="minorEastAsia"/>
          <w:sz w:val="24"/>
          <w:u w:val="single"/>
          <w:lang w:eastAsia="zh-CN"/>
        </w:rPr>
        <w:t>项目申请</w:t>
      </w:r>
      <w:r>
        <w:rPr>
          <w:rFonts w:hint="eastAsia" w:asciiTheme="minorEastAsia" w:hAnsiTheme="minorEastAsia" w:eastAsiaTheme="minorEastAsia"/>
          <w:sz w:val="24"/>
          <w:lang w:eastAsia="zh-CN"/>
        </w:rPr>
        <w:t>进行技术服务，并支付技术服务报酬。双方经过平等协商，在真实、充分地表达各自意愿的基础上，根据《中华人民共和国民法典》的规定，达成如下协议，并由双方共同恪守。</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乙方进行技术服务的内容、要求、方式：</w:t>
      </w:r>
    </w:p>
    <w:p>
      <w:pPr>
        <w:pStyle w:val="9"/>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1.技术服务内容：</w:t>
      </w:r>
      <w:r>
        <w:rPr>
          <w:rFonts w:hint="eastAsia" w:asciiTheme="minorEastAsia" w:hAnsiTheme="minorEastAsia" w:eastAsiaTheme="minorEastAsia"/>
          <w:sz w:val="24"/>
          <w:u w:val="single"/>
          <w:lang w:eastAsia="zh-CN"/>
        </w:rPr>
        <w:t>南部热源点一期工程</w:t>
      </w:r>
      <w:r>
        <w:rPr>
          <w:rFonts w:hint="eastAsia"/>
          <w:sz w:val="24"/>
          <w:szCs w:val="24"/>
          <w:u w:val="single"/>
          <w:lang w:eastAsia="zh-CN"/>
        </w:rPr>
        <w:t>可行性研究及</w:t>
      </w:r>
      <w:r>
        <w:rPr>
          <w:rFonts w:hint="eastAsia" w:asciiTheme="minorEastAsia" w:hAnsiTheme="minorEastAsia" w:eastAsiaTheme="minorEastAsia"/>
          <w:sz w:val="24"/>
          <w:u w:val="single"/>
          <w:lang w:eastAsia="zh-CN"/>
        </w:rPr>
        <w:t>项目申请</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2.技术服务要求：</w:t>
      </w:r>
      <w:r>
        <w:rPr>
          <w:rFonts w:hint="eastAsia" w:asciiTheme="minorEastAsia" w:hAnsiTheme="minorEastAsia" w:eastAsiaTheme="minorEastAsia"/>
          <w:sz w:val="24"/>
          <w:szCs w:val="24"/>
          <w:u w:val="single"/>
          <w:lang w:eastAsia="zh-CN"/>
        </w:rPr>
        <w:t xml:space="preserve"> 详见附件“技术协议书”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1.技术服务地点：</w:t>
      </w:r>
      <w:r>
        <w:rPr>
          <w:rFonts w:hint="eastAsia" w:asciiTheme="minorEastAsia" w:hAnsiTheme="minorEastAsia" w:eastAsiaTheme="minorEastAsia"/>
          <w:sz w:val="24"/>
          <w:szCs w:val="24"/>
          <w:u w:val="single"/>
          <w:lang w:eastAsia="zh-CN"/>
        </w:rPr>
        <w:t xml:space="preserve"> 腾龙芳烃（漳州）有限公司  </w:t>
      </w:r>
    </w:p>
    <w:p>
      <w:pPr>
        <w:rPr>
          <w:rFonts w:asciiTheme="majorEastAsia" w:hAnsiTheme="majorEastAsia" w:eastAsiaTheme="majorEastAsia"/>
          <w:sz w:val="24"/>
          <w:szCs w:val="24"/>
          <w:lang w:eastAsia="zh-CN"/>
        </w:rPr>
      </w:pPr>
      <w:r>
        <w:rPr>
          <w:rFonts w:hint="eastAsia" w:asciiTheme="minorEastAsia" w:hAnsiTheme="minorEastAsia" w:eastAsiaTheme="minorEastAsia"/>
          <w:sz w:val="24"/>
          <w:szCs w:val="24"/>
          <w:lang w:eastAsia="zh-CN"/>
        </w:rPr>
        <w:t>2.技术服务期限：</w:t>
      </w:r>
      <w:r>
        <w:rPr>
          <w:rFonts w:hint="eastAsia" w:asciiTheme="majorEastAsia" w:hAnsiTheme="majorEastAsia" w:eastAsiaTheme="majorEastAsia"/>
          <w:sz w:val="24"/>
          <w:szCs w:val="24"/>
          <w:lang w:eastAsia="zh-CN"/>
        </w:rPr>
        <w:t xml:space="preserve">1）合同签订后60天完成可研报告并通过专家评审； </w:t>
      </w:r>
    </w:p>
    <w:p>
      <w:pPr>
        <w:pStyle w:val="9"/>
        <w:ind w:firstLine="1920" w:firstLineChars="800"/>
        <w:rPr>
          <w:rFonts w:asciiTheme="minorEastAsia" w:hAnsiTheme="minorEastAsia" w:eastAsiaTheme="minorEastAsia"/>
          <w:sz w:val="24"/>
          <w:szCs w:val="24"/>
          <w:lang w:eastAsia="zh-CN"/>
        </w:rPr>
      </w:pPr>
      <w:r>
        <w:rPr>
          <w:rFonts w:hint="eastAsia" w:asciiTheme="majorEastAsia" w:hAnsiTheme="majorEastAsia" w:eastAsiaTheme="majorEastAsia"/>
          <w:sz w:val="24"/>
          <w:szCs w:val="24"/>
          <w:lang w:eastAsia="zh-CN"/>
        </w:rPr>
        <w:t>2）资料提供齐全后20天内完成项目申请报告。</w:t>
      </w:r>
      <w:r>
        <w:rPr>
          <w:rFonts w:hint="eastAsia"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3.技术服务进度：</w:t>
      </w:r>
    </w:p>
    <w:p>
      <w:pPr>
        <w:rPr>
          <w:sz w:val="24"/>
          <w:szCs w:val="28"/>
          <w:lang w:eastAsia="zh-CN"/>
        </w:rPr>
      </w:pPr>
      <w:r>
        <w:rPr>
          <w:rFonts w:hint="eastAsia"/>
          <w:sz w:val="24"/>
          <w:szCs w:val="28"/>
          <w:lang w:eastAsia="zh-CN"/>
        </w:rPr>
        <w:t xml:space="preserve">1）合同签订后45天内提供可行性研究设计初稿； </w:t>
      </w:r>
    </w:p>
    <w:p>
      <w:pPr>
        <w:rPr>
          <w:sz w:val="24"/>
          <w:szCs w:val="28"/>
          <w:lang w:eastAsia="zh-CN"/>
        </w:rPr>
      </w:pPr>
      <w:r>
        <w:rPr>
          <w:rFonts w:hint="eastAsia"/>
          <w:sz w:val="24"/>
          <w:szCs w:val="28"/>
          <w:lang w:eastAsia="zh-CN"/>
        </w:rPr>
        <w:t>2）专家评审后15天内提供可行性研究文件正式文件。</w:t>
      </w:r>
    </w:p>
    <w:p>
      <w:pPr>
        <w:rPr>
          <w:sz w:val="24"/>
          <w:lang w:eastAsia="zh-CN"/>
        </w:rPr>
      </w:pPr>
      <w:r>
        <w:rPr>
          <w:rFonts w:hint="eastAsia" w:asciiTheme="minorEastAsia" w:hAnsiTheme="minorEastAsia" w:eastAsiaTheme="minorEastAsia"/>
          <w:sz w:val="24"/>
          <w:szCs w:val="24"/>
          <w:lang w:eastAsia="zh-CN"/>
        </w:rPr>
        <w:t>4、技术服务质量要求：</w:t>
      </w:r>
      <w:r>
        <w:rPr>
          <w:rFonts w:hint="eastAsia"/>
          <w:sz w:val="24"/>
          <w:lang w:eastAsia="zh-CN"/>
        </w:rPr>
        <w:t>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snapToGrid w:val="0"/>
        <w:ind w:firstLine="360" w:firstLineChars="150"/>
        <w:rPr>
          <w:sz w:val="24"/>
          <w:lang w:eastAsia="zh-CN"/>
        </w:rPr>
      </w:pPr>
      <w:r>
        <w:rPr>
          <w:rFonts w:hint="eastAsia"/>
          <w:sz w:val="24"/>
          <w:lang w:eastAsia="zh-CN"/>
        </w:rPr>
        <w:t>DL/T5375-2018     《火力发电厂可行性研究报告内容深度规定》</w:t>
      </w:r>
    </w:p>
    <w:p>
      <w:pPr>
        <w:snapToGrid w:val="0"/>
        <w:ind w:firstLine="360" w:firstLineChars="150"/>
        <w:rPr>
          <w:sz w:val="24"/>
          <w:lang w:eastAsia="zh-CN"/>
        </w:rPr>
      </w:pPr>
      <w:r>
        <w:rPr>
          <w:rFonts w:hint="eastAsia"/>
          <w:sz w:val="24"/>
          <w:lang w:eastAsia="zh-CN"/>
        </w:rPr>
        <w:t>GB</w:t>
      </w:r>
      <w:r>
        <w:rPr>
          <w:sz w:val="24"/>
          <w:lang w:eastAsia="zh-CN"/>
        </w:rPr>
        <w:t>500</w:t>
      </w:r>
      <w:r>
        <w:rPr>
          <w:rFonts w:hint="eastAsia"/>
          <w:sz w:val="24"/>
          <w:lang w:eastAsia="zh-CN"/>
        </w:rPr>
        <w:t>49</w:t>
      </w:r>
      <w:r>
        <w:rPr>
          <w:sz w:val="24"/>
          <w:lang w:eastAsia="zh-CN"/>
        </w:rPr>
        <w:t>-</w:t>
      </w:r>
      <w:r>
        <w:rPr>
          <w:rFonts w:hint="eastAsia"/>
          <w:sz w:val="24"/>
          <w:lang w:eastAsia="zh-CN"/>
        </w:rPr>
        <w:t>2011</w:t>
      </w:r>
      <w:r>
        <w:rPr>
          <w:rFonts w:hint="eastAsia"/>
          <w:sz w:val="24"/>
          <w:lang w:eastAsia="zh-CN"/>
        </w:rPr>
        <w:tab/>
      </w:r>
      <w:r>
        <w:rPr>
          <w:rFonts w:hint="eastAsia"/>
          <w:sz w:val="24"/>
          <w:lang w:eastAsia="zh-CN"/>
        </w:rPr>
        <w:t xml:space="preserve">   《小型火力发电厂设计规范》</w:t>
      </w:r>
    </w:p>
    <w:p>
      <w:pPr>
        <w:snapToGrid w:val="0"/>
        <w:ind w:firstLine="360" w:firstLineChars="150"/>
        <w:rPr>
          <w:sz w:val="24"/>
          <w:lang w:eastAsia="zh-CN"/>
        </w:rPr>
      </w:pPr>
      <w:r>
        <w:rPr>
          <w:rFonts w:hint="eastAsia"/>
          <w:sz w:val="24"/>
          <w:lang w:eastAsia="zh-CN"/>
        </w:rPr>
        <w:t>发改能源〔2016〕617号  《热电联产管理办法》</w:t>
      </w:r>
    </w:p>
    <w:p>
      <w:pPr>
        <w:ind w:firstLine="360" w:firstLineChars="150"/>
        <w:rPr>
          <w:rFonts w:asciiTheme="minorEastAsia" w:hAnsiTheme="minorEastAsia" w:eastAsiaTheme="minorEastAsia"/>
          <w:sz w:val="24"/>
          <w:szCs w:val="24"/>
          <w:u w:val="single"/>
          <w:lang w:eastAsia="zh-CN"/>
        </w:rPr>
      </w:pPr>
      <w:r>
        <w:rPr>
          <w:rFonts w:hint="eastAsia"/>
          <w:sz w:val="24"/>
          <w:lang w:eastAsia="zh-CN"/>
        </w:rPr>
        <w:t xml:space="preserve">国家能源局 </w:t>
      </w:r>
      <w:r>
        <w:rPr>
          <w:sz w:val="24"/>
          <w:lang w:eastAsia="zh-CN"/>
        </w:rPr>
        <w:t>国能安全〔</w:t>
      </w:r>
      <w:r>
        <w:rPr>
          <w:rFonts w:hint="eastAsia"/>
          <w:sz w:val="24"/>
          <w:lang w:eastAsia="zh-CN"/>
        </w:rPr>
        <w:t>2014〕161号《防止电力生产事故的二十五项重点要求》</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详见附件技术协议要求   </w:t>
      </w:r>
      <w:r>
        <w:rPr>
          <w:rFonts w:hint="eastAsia"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详见附件技术协议要求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甲方向乙方支付技术服务报酬及支付方式为：</w:t>
      </w:r>
    </w:p>
    <w:p>
      <w:pPr>
        <w:pStyle w:val="9"/>
        <w:autoSpaceDE/>
        <w:autoSpaceDN/>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元）税率</w:t>
      </w:r>
      <w:r>
        <w:rPr>
          <w:rFonts w:hint="eastAsia" w:asciiTheme="minorEastAsia" w:hAnsiTheme="minorEastAsia" w:eastAsiaTheme="minorEastAsia"/>
          <w:sz w:val="24"/>
          <w:szCs w:val="24"/>
          <w:u w:val="single"/>
          <w:lang w:eastAsia="zh-CN"/>
        </w:rPr>
        <w:t xml:space="preserve">    %</w:t>
      </w:r>
    </w:p>
    <w:p>
      <w:pPr>
        <w:pStyle w:val="24"/>
        <w:widowControl/>
        <w:spacing w:before="0"/>
        <w:ind w:left="0" w:firstLine="48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。乙方根据实际需要增加或者减少工程人员数量，本合同总价不变。</w:t>
      </w:r>
    </w:p>
    <w:p>
      <w:pPr>
        <w:pStyle w:val="24"/>
        <w:widowControl/>
        <w:spacing w:before="0"/>
        <w:ind w:left="0" w:firstLine="0"/>
        <w:rPr>
          <w:rFonts w:asciiTheme="minorEastAsia" w:hAnsiTheme="minorEastAsia" w:eastAsiaTheme="minorEastAsia"/>
          <w:color w:val="000000"/>
          <w:sz w:val="24"/>
          <w:szCs w:val="24"/>
          <w:lang w:eastAsia="zh-CN"/>
        </w:rPr>
      </w:pPr>
      <w:r>
        <w:rPr>
          <w:rFonts w:hint="eastAsia"/>
          <w:sz w:val="24"/>
          <w:szCs w:val="24"/>
          <w:lang w:eastAsia="zh-CN"/>
        </w:rPr>
        <w:t>2、</w:t>
      </w:r>
      <w:r>
        <w:rPr>
          <w:rFonts w:hint="eastAsia" w:asciiTheme="minorEastAsia" w:hAnsiTheme="minorEastAsia" w:eastAsiaTheme="minorEastAsia"/>
          <w:sz w:val="24"/>
          <w:szCs w:val="24"/>
          <w:lang w:eastAsia="zh-CN"/>
        </w:rPr>
        <w:t>具体支付方式和时间分配如下：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2）进度款：工作完成提交</w:t>
      </w:r>
      <w:r>
        <w:rPr>
          <w:rFonts w:hint="eastAsia"/>
          <w:sz w:val="24"/>
          <w:szCs w:val="28"/>
          <w:lang w:eastAsia="zh-CN"/>
        </w:rPr>
        <w:t>可行性研究初稿</w:t>
      </w:r>
      <w:r>
        <w:rPr>
          <w:rFonts w:hint="eastAsia" w:asciiTheme="minorEastAsia" w:hAnsiTheme="minorEastAsia" w:eastAsiaTheme="minorEastAsia"/>
          <w:sz w:val="24"/>
          <w:szCs w:val="24"/>
          <w:lang w:eastAsia="zh-CN"/>
        </w:rPr>
        <w:t>，并经甲方验收合格后，甲方收到乙方全额增值税专用发票15个工作日内，支付合同总价的80%作为进度款。</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3）验收款：</w:t>
      </w:r>
      <w:r>
        <w:rPr>
          <w:rFonts w:hint="eastAsia"/>
          <w:sz w:val="24"/>
          <w:szCs w:val="28"/>
          <w:lang w:eastAsia="zh-CN"/>
        </w:rPr>
        <w:t>专家评审后15天内提供可行性研究文件正式文件及申请报告书，甲方支付合同总价的20%作为验收款；</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4）乙方应在甲方付款期限届满</w:t>
      </w:r>
      <w:r>
        <w:rPr>
          <w:rFonts w:hint="eastAsia" w:asciiTheme="minorEastAsia" w:hAnsiTheme="minorEastAsia" w:eastAsiaTheme="minorEastAsia"/>
          <w:sz w:val="24"/>
          <w:szCs w:val="24"/>
          <w:u w:val="single"/>
          <w:lang w:eastAsia="zh-CN"/>
        </w:rPr>
        <w:t xml:space="preserve"> 15</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日前提供相应的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乙方开户银行：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 司  名 称：</w:t>
      </w:r>
      <w:r>
        <w:rPr>
          <w:rFonts w:hint="eastAsia"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双方确定，按以下标准和方式对乙方提交的技术服务工作成果进行验收：</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hint="eastAsia" w:asciiTheme="minorEastAsia" w:hAnsiTheme="minorEastAsia" w:eastAsiaTheme="minorEastAsia"/>
          <w:sz w:val="24"/>
          <w:szCs w:val="24"/>
          <w:u w:val="single"/>
          <w:lang w:eastAsia="zh-CN"/>
        </w:rPr>
        <w:t>南部热源点一期工程</w:t>
      </w:r>
      <w:r>
        <w:rPr>
          <w:rFonts w:hint="eastAsia"/>
          <w:sz w:val="24"/>
          <w:szCs w:val="28"/>
          <w:u w:val="single"/>
          <w:lang w:eastAsia="zh-CN"/>
        </w:rPr>
        <w:t>可行性研究报告及项目申请报告</w:t>
      </w:r>
      <w:r>
        <w:rPr>
          <w:rFonts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rPr>
          <w:sz w:val="24"/>
          <w:szCs w:val="24"/>
          <w:lang w:eastAsia="zh-CN"/>
        </w:rPr>
      </w:pPr>
      <w:r>
        <w:rPr>
          <w:rFonts w:hint="eastAsia"/>
          <w:sz w:val="24"/>
          <w:szCs w:val="24"/>
          <w:lang w:eastAsia="zh-CN"/>
        </w:rPr>
        <w:t>按现行国家标准（GB）、行业标准（DL）要求的规范、规程等执行。</w:t>
      </w:r>
    </w:p>
    <w:p>
      <w:pPr>
        <w:pStyle w:val="2"/>
        <w:spacing w:line="360" w:lineRule="auto"/>
        <w:ind w:firstLine="600" w:firstLineChars="250"/>
        <w:rPr>
          <w:rFonts w:hAnsi="宋体"/>
          <w:sz w:val="24"/>
          <w:szCs w:val="24"/>
        </w:rPr>
      </w:pPr>
      <w:r>
        <w:rPr>
          <w:rFonts w:hint="eastAsia"/>
          <w:sz w:val="24"/>
          <w:szCs w:val="24"/>
        </w:rPr>
        <w:t xml:space="preserve">DL/T5375-2008 </w:t>
      </w:r>
      <w:r>
        <w:rPr>
          <w:rFonts w:hint="eastAsia" w:hAnsi="宋体"/>
          <w:sz w:val="24"/>
          <w:szCs w:val="24"/>
        </w:rPr>
        <w:t>《火力发电厂可行性研究报告内容深度规定》</w:t>
      </w:r>
    </w:p>
    <w:p>
      <w:pPr>
        <w:pStyle w:val="2"/>
        <w:spacing w:line="360" w:lineRule="auto"/>
        <w:ind w:firstLine="600" w:firstLineChars="250"/>
        <w:rPr>
          <w:rFonts w:hAnsi="宋体"/>
          <w:sz w:val="24"/>
          <w:szCs w:val="24"/>
        </w:rPr>
      </w:pPr>
      <w:r>
        <w:rPr>
          <w:rFonts w:hint="eastAsia" w:hAnsi="宋体"/>
          <w:sz w:val="24"/>
          <w:szCs w:val="24"/>
        </w:rPr>
        <w:t>GB50660-2011 《大中型火力发电厂设计规范》</w:t>
      </w:r>
    </w:p>
    <w:p>
      <w:pPr>
        <w:ind w:left="605" w:leftChars="275"/>
        <w:rPr>
          <w:sz w:val="24"/>
          <w:lang w:eastAsia="zh-CN"/>
        </w:rPr>
      </w:pPr>
      <w:r>
        <w:rPr>
          <w:rFonts w:hint="eastAsia"/>
          <w:sz w:val="24"/>
          <w:szCs w:val="24"/>
          <w:lang w:eastAsia="zh-CN"/>
        </w:rPr>
        <w:t>国家能源局（2014年4月15日）“防止电力生产事故的二十五项重点要求”</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腾龙芳烃（漳州）有限公司</w:t>
      </w:r>
      <w:r>
        <w:rPr>
          <w:rFonts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pPr>
        <w:tabs>
          <w:tab w:val="left" w:pos="2010"/>
        </w:tabs>
        <w:rPr>
          <w:sz w:val="24"/>
          <w:lang w:eastAsia="zh-CN"/>
        </w:rPr>
      </w:pPr>
      <w:r>
        <w:rPr>
          <w:rFonts w:hint="eastAsia"/>
          <w:sz w:val="24"/>
          <w:lang w:eastAsia="zh-CN"/>
        </w:rPr>
        <w:t>5. 乙方在本合同签订之日，交纳的参选保证金自动转为履约保证金</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pPr>
        <w:pStyle w:val="2"/>
        <w:spacing w:line="360" w:lineRule="auto"/>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邱衍新</w:t>
      </w:r>
      <w:r>
        <w:rPr>
          <w:rFonts w:hint="eastAsia"/>
          <w:sz w:val="24"/>
          <w:szCs w:val="24"/>
          <w:u w:val="single"/>
          <w:shd w:val="clear" w:color="auto" w:fill="FFFFFF"/>
          <w:lang w:eastAsia="zh-CN"/>
        </w:rPr>
        <w:t>18060282370</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9"/>
        <w:autoSpaceDE/>
        <w:autoSpaceDN/>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详见附件“技术协议”</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rPr>
          <w:rStyle w:val="53"/>
          <w:rFonts w:asciiTheme="minorEastAsia" w:hAnsiTheme="minorEastAsia" w:eastAsiaTheme="minorEastAsia"/>
          <w:sz w:val="24"/>
          <w:lang w:eastAsia="zh-CN"/>
        </w:rPr>
      </w:pPr>
      <w:r>
        <w:rPr>
          <w:rStyle w:val="53"/>
          <w:rFonts w:hint="eastAsia" w:asciiTheme="minorEastAsia" w:hAnsiTheme="minorEastAsia" w:eastAsiaTheme="minorEastAsia"/>
          <w:color w:val="000000"/>
          <w:sz w:val="24"/>
          <w:lang w:eastAsia="zh-CN"/>
        </w:rPr>
        <w:t>1．乙方逾期提交可研报告的，每日应向甲方支付违约金为合同价格的</w:t>
      </w:r>
      <w:r>
        <w:rPr>
          <w:rStyle w:val="53"/>
          <w:rFonts w:hint="eastAsia" w:asciiTheme="minorEastAsia" w:hAnsiTheme="minorEastAsia" w:eastAsiaTheme="minorEastAsia"/>
          <w:color w:val="000000"/>
          <w:sz w:val="24"/>
          <w:u w:val="single"/>
          <w:lang w:eastAsia="zh-CN"/>
        </w:rPr>
        <w:t>1‰</w:t>
      </w:r>
      <w:r>
        <w:rPr>
          <w:rStyle w:val="53"/>
          <w:rFonts w:hint="eastAsia" w:asciiTheme="minorEastAsia" w:hAnsiTheme="minorEastAsia" w:eastAsiaTheme="minorEastAsia"/>
          <w:color w:val="000000"/>
          <w:sz w:val="24"/>
          <w:lang w:eastAsia="zh-CN"/>
        </w:rPr>
        <w:t>，逾期超过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3"/>
          <w:rFonts w:hint="eastAsia" w:asciiTheme="minorEastAsia" w:hAnsiTheme="minorEastAsia" w:eastAsiaTheme="minorEastAsia"/>
          <w:color w:val="000000"/>
          <w:sz w:val="24"/>
          <w:lang w:eastAsia="zh-CN"/>
        </w:rPr>
        <w:t>日的，甲方还有权解除本合同，乙方还需支付甲方合同总</w:t>
      </w:r>
      <w:r>
        <w:rPr>
          <w:rStyle w:val="53"/>
          <w:rFonts w:hint="eastAsia" w:asciiTheme="minorEastAsia" w:hAnsiTheme="minorEastAsia" w:eastAsiaTheme="minorEastAsia"/>
          <w:sz w:val="24"/>
          <w:lang w:eastAsia="zh-CN"/>
        </w:rPr>
        <w:t>额</w:t>
      </w:r>
      <w:r>
        <w:rPr>
          <w:rStyle w:val="53"/>
          <w:rFonts w:asciiTheme="minorEastAsia" w:hAnsiTheme="minorEastAsia" w:eastAsiaTheme="minorEastAsia"/>
          <w:sz w:val="24"/>
          <w:u w:val="single"/>
          <w:lang w:eastAsia="zh-CN"/>
        </w:rPr>
        <w:t>5</w:t>
      </w:r>
      <w:r>
        <w:rPr>
          <w:rStyle w:val="53"/>
          <w:rFonts w:hint="eastAsia" w:asciiTheme="minorEastAsia" w:hAnsiTheme="minorEastAsia" w:eastAsiaTheme="minorEastAsia"/>
          <w:sz w:val="24"/>
          <w:u w:val="single"/>
          <w:lang w:eastAsia="zh-CN"/>
        </w:rPr>
        <w:t>%</w:t>
      </w:r>
      <w:r>
        <w:rPr>
          <w:rStyle w:val="53"/>
          <w:rFonts w:hint="eastAsia" w:asciiTheme="minorEastAsia" w:hAnsiTheme="minorEastAsia" w:eastAsiaTheme="minorEastAsia"/>
          <w:sz w:val="24"/>
          <w:lang w:eastAsia="zh-CN"/>
        </w:rPr>
        <w:t>的违约金。</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2．乙方提交的试验报告不符合合同约定的，应在甲方指定期限内修改完善直至符合合同约定为止，由此造成逾期提交的，按照第1款约定执行。</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壹万</w:t>
      </w:r>
      <w:r>
        <w:rPr>
          <w:rFonts w:asciiTheme="minorEastAsia" w:hAnsiTheme="minorEastAsia" w:eastAsiaTheme="minorEastAsia"/>
          <w:sz w:val="24"/>
          <w:szCs w:val="24"/>
          <w:u w:val="single"/>
          <w:lang w:eastAsia="zh-CN"/>
        </w:rPr>
        <w:t xml:space="preserve"> </w:t>
      </w:r>
      <w:r>
        <w:rPr>
          <w:rStyle w:val="53"/>
          <w:rFonts w:hint="eastAsia" w:asciiTheme="minorEastAsia" w:hAnsiTheme="minorEastAsia" w:eastAsiaTheme="minorEastAsia"/>
          <w:sz w:val="24"/>
          <w:szCs w:val="24"/>
          <w:lang w:eastAsia="zh-CN"/>
        </w:rPr>
        <w:t>元；并赔偿由此给对方造成的损失。</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4、任何一方无正当理由单方解除合同的，应向对方支付合同总额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的违约金，并赔偿对方的损失。</w:t>
      </w:r>
    </w:p>
    <w:p>
      <w:pPr>
        <w:pStyle w:val="9"/>
        <w:rPr>
          <w:rStyle w:val="53"/>
          <w:rFonts w:asciiTheme="minorEastAsia" w:hAnsiTheme="minorEastAsia" w:eastAsiaTheme="minorEastAsia"/>
          <w:sz w:val="24"/>
          <w:szCs w:val="24"/>
          <w:lang w:eastAsia="zh-CN"/>
        </w:rPr>
      </w:pPr>
      <w:r>
        <w:rPr>
          <w:rStyle w:val="53"/>
          <w:rFonts w:hint="eastAsia" w:asciiTheme="minorEastAsia" w:hAnsiTheme="minorEastAsia" w:eastAsiaTheme="minorEastAsia"/>
          <w:sz w:val="24"/>
          <w:szCs w:val="24"/>
          <w:lang w:eastAsia="zh-CN"/>
        </w:rPr>
        <w:t>5、若乙方在履行合同过程中存在弄虚作假的情形，甲方有权单方解除合同，乙方支付甲方合同总额</w:t>
      </w:r>
      <w:r>
        <w:rPr>
          <w:rStyle w:val="53"/>
          <w:rFonts w:hint="eastAsia" w:asciiTheme="minorEastAsia" w:hAnsiTheme="minorEastAsia" w:eastAsiaTheme="minorEastAsia"/>
          <w:sz w:val="24"/>
          <w:szCs w:val="24"/>
          <w:u w:val="single"/>
          <w:lang w:eastAsia="zh-CN"/>
        </w:rPr>
        <w:t>5%</w:t>
      </w:r>
      <w:r>
        <w:rPr>
          <w:rStyle w:val="53"/>
          <w:rFonts w:hint="eastAsia" w:asciiTheme="minorEastAsia" w:hAnsiTheme="minorEastAsia" w:eastAsiaTheme="minorEastAsia"/>
          <w:sz w:val="24"/>
          <w:szCs w:val="24"/>
          <w:lang w:eastAsia="zh-CN"/>
        </w:rPr>
        <w:t>的违约金。</w:t>
      </w:r>
    </w:p>
    <w:p>
      <w:pPr>
        <w:pStyle w:val="9"/>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sz w:val="24"/>
          <w:szCs w:val="24"/>
          <w:lang w:eastAsia="zh-CN"/>
        </w:rPr>
        <w:t>6、乙方进入甲方现场服务期间，因不可归责于甲方的原因造成甲方、</w:t>
      </w:r>
      <w:r>
        <w:rPr>
          <w:rStyle w:val="53"/>
          <w:rFonts w:hint="eastAsia" w:asciiTheme="minorEastAsia" w:hAnsiTheme="minorEastAsia" w:eastAsiaTheme="minorEastAsia"/>
          <w:color w:val="000000"/>
          <w:sz w:val="24"/>
          <w:szCs w:val="24"/>
          <w:lang w:eastAsia="zh-CN"/>
        </w:rPr>
        <w:t>乙方或任何第三方人身财产损失的，由乙方承担全部责任。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9"/>
        <w:ind w:firstLine="480" w:firstLineChars="200"/>
        <w:rPr>
          <w:rStyle w:val="53"/>
          <w:rFonts w:asciiTheme="minorEastAsia" w:hAnsiTheme="minorEastAsia" w:eastAsiaTheme="minorEastAsia"/>
          <w:color w:val="000000"/>
          <w:sz w:val="24"/>
          <w:szCs w:val="24"/>
          <w:lang w:eastAsia="zh-CN"/>
        </w:rPr>
      </w:pPr>
      <w:r>
        <w:rPr>
          <w:rStyle w:val="53"/>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试验报告及其所包含的技术成果的所有权归甲方所有，甲方在此基础上可以进行技术创新和改进并对创新和改进的结果享有知识产权。乙方不得自用或将试验报告提供给第三方使用，如有违反按照泄密处理。</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rPr>
          <w:sz w:val="24"/>
          <w:szCs w:val="24"/>
          <w:lang w:eastAsia="zh-CN"/>
        </w:rPr>
      </w:pPr>
      <w:r>
        <w:rPr>
          <w:rFonts w:hint="eastAsia"/>
          <w:sz w:val="24"/>
          <w:lang w:eastAsia="zh-CN"/>
        </w:rPr>
        <w:t>附件1、</w:t>
      </w:r>
      <w:r>
        <w:rPr>
          <w:rFonts w:hint="eastAsia"/>
          <w:sz w:val="24"/>
          <w:szCs w:val="24"/>
          <w:lang w:eastAsia="zh-CN"/>
        </w:rPr>
        <w:t>技术规范书</w:t>
      </w:r>
    </w:p>
    <w:p>
      <w:pPr>
        <w:tabs>
          <w:tab w:val="left" w:pos="2010"/>
        </w:tabs>
        <w:rPr>
          <w:sz w:val="24"/>
          <w:lang w:eastAsia="zh-CN"/>
        </w:rPr>
      </w:pPr>
      <w:r>
        <w:rPr>
          <w:rFonts w:hint="eastAsia"/>
          <w:sz w:val="24"/>
          <w:lang w:eastAsia="zh-CN"/>
        </w:rPr>
        <w:t>附件2、价格清单</w:t>
      </w:r>
    </w:p>
    <w:p>
      <w:pPr>
        <w:tabs>
          <w:tab w:val="left" w:pos="2010"/>
        </w:tabs>
        <w:rPr>
          <w:sz w:val="24"/>
          <w:lang w:eastAsia="zh-CN"/>
        </w:rPr>
      </w:pPr>
      <w:r>
        <w:rPr>
          <w:rFonts w:hint="eastAsia"/>
          <w:sz w:val="24"/>
          <w:lang w:eastAsia="zh-CN"/>
        </w:rPr>
        <w:t>附件3、安全环保协议</w:t>
      </w:r>
    </w:p>
    <w:p>
      <w:pPr>
        <w:tabs>
          <w:tab w:val="left" w:pos="2010"/>
        </w:tabs>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ind w:firstLine="964" w:firstLineChars="400"/>
        <w:rPr>
          <w:sz w:val="24"/>
          <w:lang w:eastAsia="zh-CN"/>
        </w:rPr>
      </w:pPr>
      <w:r>
        <w:rPr>
          <w:rFonts w:hint="eastAsia" w:cs="Arial"/>
          <w:b/>
          <w:sz w:val="24"/>
          <w:lang w:eastAsia="zh-CN"/>
        </w:rPr>
        <w:t>（以下为签署栏，无正文）</w:t>
      </w:r>
    </w:p>
    <w:p>
      <w:pPr>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ind w:right="-147" w:rightChars="-67"/>
        <w:rPr>
          <w:b/>
          <w:sz w:val="24"/>
          <w:lang w:eastAsia="zh-CN"/>
        </w:rPr>
      </w:pPr>
      <w:r>
        <w:rPr>
          <w:rFonts w:hint="eastAsia"/>
          <w:b/>
          <w:spacing w:val="20"/>
          <w:sz w:val="24"/>
          <w:lang w:eastAsia="zh-CN"/>
        </w:rPr>
        <w:t xml:space="preserve">腾龙芳烃（漳州）有限公司          </w:t>
      </w:r>
    </w:p>
    <w:p>
      <w:pPr>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ind w:left="1038" w:right="-147" w:rightChars="-67" w:hanging="1038" w:hangingChars="472"/>
        <w:rPr>
          <w:szCs w:val="21"/>
          <w:lang w:eastAsia="zh-CN"/>
        </w:rPr>
      </w:pPr>
      <w:r>
        <w:rPr>
          <w:rFonts w:hint="eastAsia"/>
          <w:szCs w:val="21"/>
          <w:lang w:eastAsia="zh-CN"/>
        </w:rPr>
        <w:t xml:space="preserve">开户行：兴业银行漳州古雷支行                 开户行：                                </w:t>
      </w:r>
    </w:p>
    <w:p>
      <w:pPr>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pPr>
    </w:p>
    <w:p>
      <w:pPr>
        <w:pStyle w:val="2"/>
      </w:pPr>
    </w:p>
    <w:p>
      <w:pPr>
        <w:pStyle w:val="2"/>
        <w:rPr>
          <w:b/>
          <w:sz w:val="28"/>
          <w:szCs w:val="28"/>
        </w:rPr>
      </w:pPr>
      <w:r>
        <w:rPr>
          <w:rFonts w:hint="eastAsia"/>
          <w:b/>
          <w:sz w:val="28"/>
          <w:szCs w:val="28"/>
        </w:rPr>
        <w:t>附件1：</w:t>
      </w:r>
    </w:p>
    <w:p>
      <w:pPr>
        <w:jc w:val="center"/>
        <w:rPr>
          <w:b/>
          <w:sz w:val="36"/>
          <w:szCs w:val="36"/>
          <w:lang w:eastAsia="zh-CN"/>
        </w:rPr>
      </w:pPr>
      <w:r>
        <w:rPr>
          <w:rFonts w:hint="eastAsia"/>
          <w:b/>
          <w:sz w:val="36"/>
          <w:szCs w:val="36"/>
          <w:lang w:eastAsia="zh-CN"/>
        </w:rPr>
        <w:t>福建福海创石油化工有限公司</w:t>
      </w:r>
    </w:p>
    <w:p>
      <w:pPr>
        <w:jc w:val="center"/>
        <w:rPr>
          <w:b/>
          <w:sz w:val="36"/>
          <w:szCs w:val="36"/>
          <w:lang w:eastAsia="zh-CN"/>
        </w:rPr>
      </w:pPr>
    </w:p>
    <w:p>
      <w:pPr>
        <w:jc w:val="center"/>
        <w:rPr>
          <w:b/>
          <w:sz w:val="36"/>
          <w:szCs w:val="36"/>
          <w:lang w:eastAsia="zh-CN"/>
        </w:rPr>
      </w:pPr>
      <w:r>
        <w:rPr>
          <w:rFonts w:hint="eastAsia"/>
          <w:b/>
          <w:sz w:val="36"/>
          <w:szCs w:val="36"/>
          <w:lang w:eastAsia="zh-CN"/>
        </w:rPr>
        <w:t>南部热源点一期工程可研阶段</w:t>
      </w:r>
    </w:p>
    <w:p>
      <w:pPr>
        <w:jc w:val="center"/>
        <w:rPr>
          <w:b/>
          <w:sz w:val="52"/>
          <w:szCs w:val="52"/>
          <w:lang w:eastAsia="zh-CN"/>
        </w:rPr>
      </w:pPr>
    </w:p>
    <w:p>
      <w:pPr>
        <w:jc w:val="center"/>
        <w:rPr>
          <w:b/>
          <w:sz w:val="52"/>
          <w:szCs w:val="52"/>
        </w:rPr>
      </w:pPr>
      <w:r>
        <w:rPr>
          <w:rFonts w:hint="eastAsia"/>
          <w:b/>
          <w:sz w:val="52"/>
          <w:szCs w:val="52"/>
        </w:rPr>
        <w:t>技术规范书</w:t>
      </w:r>
    </w:p>
    <w:p/>
    <w:p/>
    <w:p/>
    <w:p/>
    <w:p/>
    <w:p>
      <w:pPr>
        <w:jc w:val="center"/>
        <w:rPr>
          <w:b/>
          <w:sz w:val="32"/>
        </w:rPr>
      </w:pPr>
    </w:p>
    <w:p>
      <w:pPr>
        <w:jc w:val="center"/>
        <w:rPr>
          <w:b/>
          <w:sz w:val="32"/>
        </w:rPr>
      </w:pPr>
    </w:p>
    <w:p>
      <w:pPr>
        <w:jc w:val="center"/>
        <w:rPr>
          <w:b/>
          <w:sz w:val="32"/>
        </w:rPr>
      </w:pPr>
    </w:p>
    <w:p>
      <w:pPr>
        <w:jc w:val="center"/>
        <w:rPr>
          <w:b/>
          <w:sz w:val="32"/>
        </w:rPr>
      </w:pPr>
    </w:p>
    <w:p>
      <w:pPr>
        <w:jc w:val="center"/>
        <w:rPr>
          <w:b/>
          <w:sz w:val="32"/>
          <w:lang w:eastAsia="zh-CN"/>
        </w:rPr>
      </w:pPr>
    </w:p>
    <w:p>
      <w:pPr>
        <w:pStyle w:val="2"/>
      </w:pPr>
    </w:p>
    <w:p>
      <w:pPr>
        <w:pStyle w:val="2"/>
      </w:pPr>
    </w:p>
    <w:p>
      <w:pPr>
        <w:pStyle w:val="2"/>
      </w:pPr>
    </w:p>
    <w:p>
      <w:pPr>
        <w:pStyle w:val="2"/>
      </w:pPr>
    </w:p>
    <w:p>
      <w:pPr>
        <w:jc w:val="center"/>
        <w:rPr>
          <w:b/>
          <w:sz w:val="32"/>
        </w:rPr>
      </w:pPr>
    </w:p>
    <w:p>
      <w:pPr>
        <w:jc w:val="center"/>
        <w:rPr>
          <w:b/>
          <w:sz w:val="32"/>
        </w:rPr>
      </w:pPr>
      <w:r>
        <w:rPr>
          <w:rFonts w:hint="eastAsia"/>
          <w:b/>
          <w:sz w:val="32"/>
        </w:rPr>
        <w:t>2021年0</w:t>
      </w:r>
      <w:r>
        <w:rPr>
          <w:rFonts w:hint="eastAsia"/>
          <w:b/>
          <w:sz w:val="32"/>
          <w:lang w:eastAsia="zh-CN"/>
        </w:rPr>
        <w:t>4</w:t>
      </w:r>
      <w:r>
        <w:rPr>
          <w:rFonts w:hint="eastAsia"/>
          <w:b/>
          <w:sz w:val="32"/>
        </w:rPr>
        <w:t>月</w:t>
      </w:r>
    </w:p>
    <w:p>
      <w:pPr>
        <w:jc w:val="center"/>
        <w:rPr>
          <w:b/>
          <w:sz w:val="32"/>
        </w:rPr>
      </w:pPr>
    </w:p>
    <w:p>
      <w:pPr>
        <w:pStyle w:val="3"/>
        <w:keepNext/>
        <w:keepLines/>
        <w:numPr>
          <w:ilvl w:val="0"/>
          <w:numId w:val="2"/>
        </w:numPr>
        <w:autoSpaceDE/>
        <w:autoSpaceDN/>
        <w:jc w:val="both"/>
        <w:rPr>
          <w:sz w:val="32"/>
          <w:szCs w:val="32"/>
        </w:rPr>
      </w:pPr>
      <w:r>
        <w:rPr>
          <w:rFonts w:hint="eastAsia"/>
          <w:sz w:val="32"/>
          <w:szCs w:val="32"/>
        </w:rPr>
        <w:t>总则</w:t>
      </w:r>
    </w:p>
    <w:p>
      <w:pPr>
        <w:rPr>
          <w:sz w:val="24"/>
          <w:szCs w:val="24"/>
          <w:lang w:eastAsia="zh-CN"/>
        </w:rPr>
      </w:pPr>
      <w:r>
        <w:rPr>
          <w:rFonts w:hint="eastAsia"/>
          <w:sz w:val="24"/>
          <w:szCs w:val="24"/>
          <w:lang w:eastAsia="zh-CN"/>
        </w:rPr>
        <w:t xml:space="preserve">1. </w:t>
      </w:r>
      <w:r>
        <w:rPr>
          <w:rFonts w:hint="eastAsia" w:asciiTheme="minorEastAsia" w:hAnsiTheme="minorEastAsia"/>
          <w:sz w:val="24"/>
          <w:szCs w:val="24"/>
          <w:lang w:eastAsia="zh-CN"/>
        </w:rPr>
        <w:t>本文件适用于福建福海创石油化工有限公司</w:t>
      </w:r>
      <w:bookmarkStart w:id="10" w:name="_Toc164177375"/>
      <w:bookmarkStart w:id="11" w:name="_Toc268274670"/>
      <w:bookmarkStart w:id="12" w:name="_Toc164179622"/>
      <w:r>
        <w:rPr>
          <w:rFonts w:hint="eastAsia" w:asciiTheme="minorEastAsia" w:hAnsiTheme="minorEastAsia"/>
          <w:sz w:val="24"/>
          <w:szCs w:val="24"/>
          <w:lang w:eastAsia="zh-CN"/>
        </w:rPr>
        <w:t>南部热源点一期工程可研阶段</w:t>
      </w:r>
      <w:r>
        <w:rPr>
          <w:rFonts w:asciiTheme="minorEastAsia" w:hAnsiTheme="minorEastAsia"/>
          <w:sz w:val="24"/>
          <w:szCs w:val="24"/>
          <w:lang w:eastAsia="zh-CN"/>
        </w:rPr>
        <w:t>。本次招标范围为</w:t>
      </w:r>
      <w:bookmarkEnd w:id="10"/>
      <w:bookmarkEnd w:id="11"/>
      <w:bookmarkEnd w:id="12"/>
      <w:r>
        <w:rPr>
          <w:rFonts w:hint="eastAsia" w:asciiTheme="minorEastAsia" w:hAnsiTheme="minorEastAsia"/>
          <w:sz w:val="24"/>
          <w:szCs w:val="24"/>
          <w:lang w:eastAsia="zh-CN"/>
        </w:rPr>
        <w:t>南部热源点一期工程可行性研究及项目申请报告编写服务。</w:t>
      </w:r>
    </w:p>
    <w:p>
      <w:pPr>
        <w:rPr>
          <w:sz w:val="24"/>
          <w:szCs w:val="24"/>
          <w:lang w:eastAsia="zh-CN"/>
        </w:rPr>
      </w:pPr>
      <w:bookmarkStart w:id="13" w:name="_Toc164177376"/>
      <w:bookmarkStart w:id="14" w:name="_Toc164179623"/>
      <w:bookmarkStart w:id="15" w:name="_Toc268274671"/>
      <w:r>
        <w:rPr>
          <w:rFonts w:hint="eastAsia"/>
          <w:sz w:val="24"/>
          <w:szCs w:val="24"/>
          <w:lang w:eastAsia="zh-CN"/>
        </w:rPr>
        <w:t xml:space="preserve">2. </w:t>
      </w:r>
      <w:r>
        <w:rPr>
          <w:sz w:val="24"/>
          <w:szCs w:val="24"/>
          <w:lang w:eastAsia="zh-CN"/>
        </w:rPr>
        <w:t>投标方</w:t>
      </w:r>
      <w:r>
        <w:rPr>
          <w:rFonts w:hint="eastAsia"/>
          <w:sz w:val="24"/>
          <w:szCs w:val="24"/>
          <w:lang w:eastAsia="zh-CN"/>
        </w:rPr>
        <w:t>需针对本工程的建设条件和热负荷情况进行充分的分析和论证，提出建设设想及建设方案，并进行工程的投资估算及经济效益分析、风险分析等</w:t>
      </w:r>
      <w:r>
        <w:rPr>
          <w:sz w:val="24"/>
          <w:szCs w:val="24"/>
          <w:lang w:eastAsia="zh-CN"/>
        </w:rPr>
        <w:t>。</w:t>
      </w:r>
      <w:bookmarkEnd w:id="13"/>
      <w:bookmarkEnd w:id="14"/>
      <w:bookmarkEnd w:id="15"/>
    </w:p>
    <w:p>
      <w:pPr>
        <w:rPr>
          <w:sz w:val="24"/>
          <w:szCs w:val="24"/>
          <w:lang w:eastAsia="zh-CN"/>
        </w:rPr>
      </w:pPr>
      <w:bookmarkStart w:id="16" w:name="_Toc164177377"/>
      <w:bookmarkStart w:id="17" w:name="_Toc164179624"/>
      <w:bookmarkStart w:id="18" w:name="_Toc268274672"/>
      <w:r>
        <w:rPr>
          <w:rFonts w:hint="eastAsia"/>
          <w:sz w:val="24"/>
          <w:szCs w:val="24"/>
          <w:lang w:eastAsia="zh-CN"/>
        </w:rPr>
        <w:t xml:space="preserve">3. </w:t>
      </w:r>
      <w:r>
        <w:rPr>
          <w:sz w:val="24"/>
          <w:szCs w:val="24"/>
          <w:lang w:eastAsia="zh-CN"/>
        </w:rPr>
        <w:t>本规范书对投标方首要条件是其</w:t>
      </w:r>
      <w:r>
        <w:rPr>
          <w:rFonts w:hint="eastAsia"/>
          <w:sz w:val="24"/>
          <w:szCs w:val="24"/>
          <w:lang w:eastAsia="zh-CN"/>
        </w:rPr>
        <w:t>具有石化行业或电力系统相关业绩</w:t>
      </w:r>
      <w:r>
        <w:rPr>
          <w:sz w:val="24"/>
          <w:szCs w:val="24"/>
          <w:lang w:eastAsia="zh-CN"/>
        </w:rPr>
        <w:t>并成功运行</w:t>
      </w:r>
      <w:r>
        <w:rPr>
          <w:rFonts w:hint="eastAsia"/>
          <w:sz w:val="24"/>
          <w:szCs w:val="24"/>
          <w:lang w:eastAsia="zh-CN"/>
        </w:rPr>
        <w:t>三</w:t>
      </w:r>
      <w:r>
        <w:rPr>
          <w:sz w:val="24"/>
          <w:szCs w:val="24"/>
          <w:lang w:eastAsia="zh-CN"/>
        </w:rPr>
        <w:t>年</w:t>
      </w:r>
      <w:r>
        <w:rPr>
          <w:rFonts w:hint="eastAsia"/>
          <w:sz w:val="24"/>
          <w:szCs w:val="24"/>
          <w:lang w:eastAsia="zh-CN"/>
        </w:rPr>
        <w:t>以上</w:t>
      </w:r>
      <w:r>
        <w:rPr>
          <w:sz w:val="24"/>
          <w:szCs w:val="24"/>
          <w:lang w:eastAsia="zh-CN"/>
        </w:rPr>
        <w:t>，</w:t>
      </w:r>
      <w:r>
        <w:rPr>
          <w:rFonts w:hint="eastAsia"/>
          <w:sz w:val="24"/>
          <w:szCs w:val="24"/>
          <w:lang w:eastAsia="zh-CN"/>
        </w:rPr>
        <w:t>有母管制热电厂设计经验，且在福建省内有成功运行的经验，</w:t>
      </w:r>
      <w:r>
        <w:rPr>
          <w:sz w:val="24"/>
          <w:szCs w:val="24"/>
          <w:lang w:eastAsia="zh-CN"/>
        </w:rPr>
        <w:t>以证明</w:t>
      </w:r>
      <w:r>
        <w:rPr>
          <w:rFonts w:hint="eastAsia"/>
          <w:sz w:val="24"/>
          <w:szCs w:val="24"/>
          <w:lang w:eastAsia="zh-CN"/>
        </w:rPr>
        <w:t>其设计方案</w:t>
      </w:r>
      <w:r>
        <w:rPr>
          <w:sz w:val="24"/>
          <w:szCs w:val="24"/>
          <w:lang w:eastAsia="zh-CN"/>
        </w:rPr>
        <w:t>安全可靠。投标方应提供同类型</w:t>
      </w:r>
      <w:r>
        <w:rPr>
          <w:rFonts w:hint="eastAsia"/>
          <w:sz w:val="24"/>
          <w:szCs w:val="24"/>
          <w:lang w:eastAsia="zh-CN"/>
        </w:rPr>
        <w:t>设计</w:t>
      </w:r>
      <w:r>
        <w:rPr>
          <w:sz w:val="24"/>
          <w:szCs w:val="24"/>
          <w:lang w:eastAsia="zh-CN"/>
        </w:rPr>
        <w:t>业绩资料。</w:t>
      </w:r>
      <w:bookmarkEnd w:id="16"/>
      <w:bookmarkEnd w:id="17"/>
      <w:r>
        <w:rPr>
          <w:rFonts w:hint="eastAsia"/>
          <w:sz w:val="24"/>
          <w:szCs w:val="24"/>
          <w:lang w:eastAsia="zh-CN"/>
        </w:rPr>
        <w:t>如发现有失实情况，招标方有权拒绝该投标。</w:t>
      </w:r>
      <w:bookmarkEnd w:id="18"/>
    </w:p>
    <w:p>
      <w:pPr>
        <w:rPr>
          <w:sz w:val="24"/>
          <w:szCs w:val="24"/>
          <w:lang w:eastAsia="zh-CN"/>
        </w:rPr>
      </w:pPr>
      <w:bookmarkStart w:id="19" w:name="_Toc164179625"/>
      <w:bookmarkStart w:id="20" w:name="_Toc164177378"/>
      <w:bookmarkStart w:id="21" w:name="_Toc268274673"/>
      <w:r>
        <w:rPr>
          <w:rFonts w:hint="eastAsia"/>
          <w:sz w:val="24"/>
          <w:szCs w:val="24"/>
          <w:lang w:eastAsia="zh-CN"/>
        </w:rPr>
        <w:t xml:space="preserve">4. </w:t>
      </w:r>
      <w:r>
        <w:rPr>
          <w:sz w:val="24"/>
          <w:szCs w:val="24"/>
          <w:lang w:eastAsia="zh-CN"/>
        </w:rPr>
        <w:t>本规范书提出的是最低限度的技术要求，并未对一切技术细节作出规定，也未充分引述有关标准和协议条文，投标方提供的</w:t>
      </w:r>
      <w:r>
        <w:rPr>
          <w:rFonts w:hint="eastAsia"/>
          <w:sz w:val="24"/>
          <w:szCs w:val="24"/>
          <w:lang w:eastAsia="zh-CN"/>
        </w:rPr>
        <w:t>设计图纸及资料</w:t>
      </w:r>
      <w:r>
        <w:rPr>
          <w:sz w:val="24"/>
          <w:szCs w:val="24"/>
          <w:lang w:eastAsia="zh-CN"/>
        </w:rPr>
        <w:t>必须执行国家强制性标准和相关工业标准，并保证提供符合本规范书要求的优质产品。</w:t>
      </w:r>
      <w:bookmarkEnd w:id="19"/>
      <w:bookmarkEnd w:id="20"/>
      <w:bookmarkEnd w:id="21"/>
      <w:r>
        <w:rPr>
          <w:rFonts w:hint="eastAsia"/>
          <w:sz w:val="24"/>
          <w:szCs w:val="24"/>
          <w:lang w:eastAsia="zh-CN"/>
        </w:rPr>
        <w:t>同时必须满足国家有关安全、环保等强制性标准和规范的要求。</w:t>
      </w:r>
    </w:p>
    <w:p>
      <w:pPr>
        <w:rPr>
          <w:sz w:val="24"/>
          <w:szCs w:val="24"/>
          <w:lang w:eastAsia="zh-CN"/>
        </w:rPr>
      </w:pPr>
      <w:bookmarkStart w:id="22" w:name="_Toc164177379"/>
      <w:bookmarkStart w:id="23" w:name="_Toc164179626"/>
      <w:bookmarkStart w:id="24" w:name="_Toc268274674"/>
      <w:r>
        <w:rPr>
          <w:rFonts w:hint="eastAsia"/>
          <w:sz w:val="24"/>
          <w:szCs w:val="24"/>
          <w:lang w:eastAsia="zh-CN"/>
        </w:rPr>
        <w:t xml:space="preserve">5. </w:t>
      </w:r>
      <w:r>
        <w:rPr>
          <w:sz w:val="24"/>
          <w:szCs w:val="24"/>
          <w:lang w:eastAsia="zh-CN"/>
        </w:rPr>
        <w:t>本</w:t>
      </w:r>
      <w:bookmarkStart w:id="25" w:name="_Toc72821885"/>
      <w:r>
        <w:rPr>
          <w:sz w:val="24"/>
          <w:szCs w:val="24"/>
          <w:lang w:eastAsia="zh-CN"/>
        </w:rPr>
        <w:t>规范书所使用的标准如遇与</w:t>
      </w:r>
      <w:bookmarkEnd w:id="25"/>
      <w:r>
        <w:rPr>
          <w:sz w:val="24"/>
          <w:szCs w:val="24"/>
          <w:lang w:eastAsia="zh-CN"/>
        </w:rPr>
        <w:t>投标方执行的标准发生矛盾时，按较高标准执行。</w:t>
      </w:r>
      <w:bookmarkEnd w:id="22"/>
      <w:bookmarkEnd w:id="23"/>
      <w:r>
        <w:rPr>
          <w:sz w:val="24"/>
          <w:szCs w:val="24"/>
          <w:lang w:eastAsia="zh-CN"/>
        </w:rPr>
        <w:t>若本招标文件前后有不一致的地方，应以有利于设备安全运行、工程质量为原则，由招标方确认</w:t>
      </w:r>
      <w:r>
        <w:rPr>
          <w:rFonts w:hint="eastAsia"/>
          <w:sz w:val="24"/>
          <w:szCs w:val="24"/>
          <w:lang w:eastAsia="zh-CN"/>
        </w:rPr>
        <w:t>。</w:t>
      </w:r>
      <w:bookmarkEnd w:id="24"/>
    </w:p>
    <w:p>
      <w:pPr>
        <w:rPr>
          <w:sz w:val="24"/>
          <w:szCs w:val="24"/>
          <w:lang w:eastAsia="zh-CN"/>
        </w:rPr>
      </w:pPr>
      <w:bookmarkStart w:id="26" w:name="_Toc164177380"/>
      <w:bookmarkStart w:id="27" w:name="_Toc268274675"/>
      <w:bookmarkStart w:id="28" w:name="_Toc164179627"/>
      <w:r>
        <w:rPr>
          <w:rFonts w:hint="eastAsia"/>
          <w:sz w:val="24"/>
          <w:szCs w:val="24"/>
          <w:lang w:eastAsia="zh-CN"/>
        </w:rPr>
        <w:t>6</w:t>
      </w:r>
      <w:bookmarkEnd w:id="26"/>
      <w:bookmarkEnd w:id="27"/>
      <w:bookmarkEnd w:id="28"/>
      <w:r>
        <w:rPr>
          <w:rFonts w:hint="eastAsia"/>
          <w:sz w:val="24"/>
          <w:szCs w:val="24"/>
          <w:lang w:eastAsia="zh-CN"/>
        </w:rPr>
        <w:t>．投标方的投标文件应按招标文件的内容进行逐条响应。</w:t>
      </w:r>
      <w:r>
        <w:rPr>
          <w:sz w:val="24"/>
          <w:szCs w:val="24"/>
          <w:lang w:eastAsia="zh-CN"/>
        </w:rPr>
        <w:t>投标方对招标文件的偏差（无论多少或者微小）都要以书面形式清楚地写进</w:t>
      </w:r>
      <w:r>
        <w:rPr>
          <w:rFonts w:hint="eastAsia"/>
          <w:sz w:val="24"/>
          <w:szCs w:val="24"/>
          <w:lang w:eastAsia="zh-CN"/>
        </w:rPr>
        <w:t>本规范书</w:t>
      </w:r>
      <w:r>
        <w:rPr>
          <w:sz w:val="24"/>
          <w:szCs w:val="24"/>
          <w:lang w:eastAsia="zh-CN"/>
        </w:rPr>
        <w:t>中的差异表，否则招标方将认为投标方完全接受和同意本技术规范的要求。</w:t>
      </w:r>
      <w:r>
        <w:rPr>
          <w:rFonts w:hint="eastAsia"/>
          <w:sz w:val="24"/>
          <w:szCs w:val="24"/>
          <w:lang w:eastAsia="zh-CN"/>
        </w:rPr>
        <w:t>如有其它需要说明的问题需另外说明。</w:t>
      </w:r>
    </w:p>
    <w:p>
      <w:pPr>
        <w:rPr>
          <w:sz w:val="24"/>
          <w:szCs w:val="24"/>
          <w:lang w:eastAsia="zh-CN"/>
        </w:rPr>
      </w:pPr>
      <w:bookmarkStart w:id="29" w:name="_Toc164177381"/>
      <w:bookmarkStart w:id="30" w:name="_Toc164179628"/>
      <w:bookmarkStart w:id="31" w:name="_Toc268274676"/>
      <w:r>
        <w:rPr>
          <w:rFonts w:hint="eastAsia"/>
          <w:sz w:val="24"/>
          <w:szCs w:val="24"/>
          <w:lang w:eastAsia="zh-CN"/>
        </w:rPr>
        <w:t>7．</w:t>
      </w:r>
      <w:r>
        <w:rPr>
          <w:sz w:val="24"/>
          <w:szCs w:val="24"/>
          <w:lang w:eastAsia="zh-CN"/>
        </w:rPr>
        <w:t>以本规范书和双方确认的澄清文件为基础编制的技术协议书将作为采购合同的附件，与合同正文具有同等效力。</w:t>
      </w:r>
      <w:bookmarkEnd w:id="29"/>
      <w:bookmarkEnd w:id="30"/>
      <w:bookmarkEnd w:id="31"/>
    </w:p>
    <w:p>
      <w:pPr>
        <w:rPr>
          <w:sz w:val="24"/>
          <w:szCs w:val="24"/>
          <w:lang w:eastAsia="zh-CN"/>
        </w:rPr>
      </w:pPr>
      <w:bookmarkStart w:id="32" w:name="_Toc164177382"/>
      <w:bookmarkStart w:id="33" w:name="_Toc164179629"/>
      <w:bookmarkStart w:id="34" w:name="_Toc268274677"/>
      <w:r>
        <w:rPr>
          <w:rFonts w:hint="eastAsia"/>
          <w:sz w:val="24"/>
          <w:szCs w:val="24"/>
          <w:lang w:eastAsia="zh-CN"/>
        </w:rPr>
        <w:t>8</w:t>
      </w:r>
      <w:bookmarkEnd w:id="32"/>
      <w:bookmarkEnd w:id="33"/>
      <w:bookmarkEnd w:id="34"/>
      <w:r>
        <w:rPr>
          <w:rFonts w:hint="eastAsia"/>
          <w:sz w:val="24"/>
          <w:szCs w:val="24"/>
          <w:lang w:eastAsia="zh-CN"/>
        </w:rPr>
        <w:t>．</w:t>
      </w:r>
      <w:r>
        <w:rPr>
          <w:sz w:val="24"/>
          <w:szCs w:val="24"/>
          <w:lang w:eastAsia="zh-CN"/>
        </w:rPr>
        <w:t xml:space="preserve">在签订合同之后，招标方保留对技术协议书提出补充要求和修改的权利，投标方应予以配合。若提出修改，具体项目和条件由招投标双方共同商定。 </w:t>
      </w:r>
    </w:p>
    <w:p>
      <w:pPr>
        <w:rPr>
          <w:sz w:val="24"/>
          <w:szCs w:val="24"/>
          <w:lang w:eastAsia="zh-CN"/>
        </w:rPr>
      </w:pPr>
      <w:bookmarkStart w:id="35" w:name="_Toc268274680"/>
      <w:bookmarkStart w:id="36" w:name="_Toc164177385"/>
      <w:bookmarkStart w:id="37" w:name="_Toc164179632"/>
      <w:r>
        <w:rPr>
          <w:rFonts w:hint="eastAsia"/>
          <w:sz w:val="24"/>
          <w:szCs w:val="24"/>
          <w:lang w:eastAsia="zh-CN"/>
        </w:rPr>
        <w:t>9．</w:t>
      </w:r>
      <w:r>
        <w:rPr>
          <w:sz w:val="24"/>
          <w:szCs w:val="24"/>
          <w:lang w:eastAsia="zh-CN"/>
        </w:rPr>
        <w:t>投标方应保证</w:t>
      </w:r>
      <w:r>
        <w:rPr>
          <w:rFonts w:hint="eastAsia"/>
          <w:sz w:val="24"/>
          <w:szCs w:val="24"/>
          <w:lang w:eastAsia="zh-CN"/>
        </w:rPr>
        <w:t>设计选择的设备</w:t>
      </w:r>
      <w:r>
        <w:rPr>
          <w:sz w:val="24"/>
          <w:szCs w:val="24"/>
          <w:lang w:eastAsia="zh-CN"/>
        </w:rPr>
        <w:t>适应安装地高湿度、高盐雾环境条件。投标方对</w:t>
      </w:r>
      <w:r>
        <w:rPr>
          <w:rFonts w:hint="eastAsia"/>
          <w:sz w:val="24"/>
          <w:szCs w:val="24"/>
          <w:lang w:eastAsia="zh-CN"/>
        </w:rPr>
        <w:t>设计文件</w:t>
      </w:r>
      <w:r>
        <w:rPr>
          <w:sz w:val="24"/>
          <w:szCs w:val="24"/>
          <w:lang w:eastAsia="zh-CN"/>
        </w:rPr>
        <w:t>负有全部技术责任，</w:t>
      </w:r>
      <w:r>
        <w:rPr>
          <w:rFonts w:hint="eastAsia"/>
          <w:sz w:val="24"/>
          <w:szCs w:val="24"/>
          <w:lang w:eastAsia="zh-CN"/>
        </w:rPr>
        <w:t>招标</w:t>
      </w:r>
      <w:r>
        <w:rPr>
          <w:sz w:val="24"/>
          <w:szCs w:val="24"/>
          <w:lang w:eastAsia="zh-CN"/>
        </w:rPr>
        <w:t>方对</w:t>
      </w:r>
      <w:r>
        <w:rPr>
          <w:rFonts w:hint="eastAsia"/>
          <w:sz w:val="24"/>
          <w:szCs w:val="24"/>
          <w:lang w:eastAsia="zh-CN"/>
        </w:rPr>
        <w:t>投标</w:t>
      </w:r>
      <w:r>
        <w:rPr>
          <w:sz w:val="24"/>
          <w:szCs w:val="24"/>
          <w:lang w:eastAsia="zh-CN"/>
        </w:rPr>
        <w:t>方图纸和文件的审核及确认，并不意味着免除或转移</w:t>
      </w:r>
      <w:r>
        <w:rPr>
          <w:rFonts w:hint="eastAsia"/>
          <w:sz w:val="24"/>
          <w:szCs w:val="24"/>
          <w:lang w:eastAsia="zh-CN"/>
        </w:rPr>
        <w:t>投标</w:t>
      </w:r>
      <w:r>
        <w:rPr>
          <w:sz w:val="24"/>
          <w:szCs w:val="24"/>
          <w:lang w:eastAsia="zh-CN"/>
        </w:rPr>
        <w:t>方的责任。</w:t>
      </w:r>
      <w:r>
        <w:rPr>
          <w:rFonts w:hint="eastAsia"/>
          <w:sz w:val="24"/>
          <w:szCs w:val="24"/>
          <w:lang w:eastAsia="zh-CN"/>
        </w:rPr>
        <w:t>投标</w:t>
      </w:r>
      <w:r>
        <w:rPr>
          <w:sz w:val="24"/>
          <w:szCs w:val="24"/>
          <w:lang w:eastAsia="zh-CN"/>
        </w:rPr>
        <w:t>方仍在合同范围内对其所提供的设计、设备和服务负责</w:t>
      </w:r>
      <w:r>
        <w:rPr>
          <w:rFonts w:hint="eastAsia"/>
          <w:sz w:val="24"/>
          <w:szCs w:val="24"/>
          <w:lang w:eastAsia="zh-CN"/>
        </w:rPr>
        <w:t>。</w:t>
      </w:r>
      <w:bookmarkEnd w:id="35"/>
      <w:bookmarkEnd w:id="36"/>
      <w:bookmarkEnd w:id="37"/>
    </w:p>
    <w:p>
      <w:pPr>
        <w:rPr>
          <w:sz w:val="24"/>
          <w:szCs w:val="24"/>
          <w:lang w:eastAsia="zh-CN"/>
        </w:rPr>
      </w:pPr>
      <w:r>
        <w:rPr>
          <w:rFonts w:hint="eastAsia"/>
          <w:sz w:val="24"/>
          <w:szCs w:val="24"/>
          <w:lang w:eastAsia="zh-CN"/>
        </w:rPr>
        <w:t>10．</w:t>
      </w:r>
      <w:r>
        <w:rPr>
          <w:rFonts w:hint="eastAsia"/>
          <w:kern w:val="44"/>
          <w:sz w:val="24"/>
          <w:szCs w:val="24"/>
          <w:lang w:eastAsia="zh-CN"/>
        </w:rPr>
        <w:t>本规范书中涉及有关商务方面的内容，如与招标文件的商务部分有矛盾时，以商务部分为准。</w:t>
      </w:r>
    </w:p>
    <w:p>
      <w:pPr>
        <w:rPr>
          <w:sz w:val="24"/>
          <w:szCs w:val="24"/>
          <w:lang w:eastAsia="zh-CN"/>
        </w:rPr>
      </w:pPr>
      <w:bookmarkStart w:id="38" w:name="_Toc164177387"/>
      <w:bookmarkStart w:id="39" w:name="_Toc164179634"/>
      <w:bookmarkStart w:id="40" w:name="_Toc268274682"/>
      <w:r>
        <w:rPr>
          <w:rFonts w:hint="eastAsia"/>
          <w:sz w:val="24"/>
          <w:szCs w:val="24"/>
          <w:lang w:eastAsia="zh-CN"/>
        </w:rPr>
        <w:t xml:space="preserve">11． </w:t>
      </w:r>
      <w:r>
        <w:rPr>
          <w:sz w:val="24"/>
          <w:szCs w:val="24"/>
          <w:lang w:eastAsia="zh-CN"/>
        </w:rPr>
        <w:t>为便于评标工作，投标方提交的所有投标文件的电子版应采用可编辑电子文件</w:t>
      </w:r>
      <w:r>
        <w:rPr>
          <w:rFonts w:hint="eastAsia"/>
          <w:sz w:val="24"/>
          <w:szCs w:val="24"/>
          <w:lang w:eastAsia="zh-CN"/>
        </w:rPr>
        <w:t>，使用语言为中文</w:t>
      </w:r>
      <w:bookmarkEnd w:id="38"/>
      <w:bookmarkEnd w:id="39"/>
      <w:bookmarkEnd w:id="40"/>
      <w:r>
        <w:rPr>
          <w:rFonts w:hint="eastAsia"/>
          <w:sz w:val="24"/>
          <w:szCs w:val="24"/>
          <w:lang w:eastAsia="zh-CN"/>
        </w:rPr>
        <w:t>，</w:t>
      </w:r>
      <w:r>
        <w:rPr>
          <w:sz w:val="24"/>
          <w:szCs w:val="24"/>
          <w:lang w:eastAsia="zh-CN"/>
        </w:rPr>
        <w:t>投标方在投标文件中所提的技术数据应以表格的形式列出。</w:t>
      </w:r>
      <w:r>
        <w:rPr>
          <w:rFonts w:hint="eastAsia"/>
          <w:sz w:val="24"/>
          <w:szCs w:val="24"/>
          <w:lang w:eastAsia="zh-CN"/>
        </w:rPr>
        <w:t>工程联系文件、技术资料、图纸、计算、仪表刻度和文件中的计量单位均采用法定计量单位。</w:t>
      </w:r>
    </w:p>
    <w:p>
      <w:pPr>
        <w:pStyle w:val="3"/>
        <w:keepNext/>
        <w:keepLines/>
        <w:numPr>
          <w:ilvl w:val="0"/>
          <w:numId w:val="2"/>
        </w:numPr>
        <w:autoSpaceDE/>
        <w:autoSpaceDN/>
        <w:jc w:val="both"/>
        <w:rPr>
          <w:sz w:val="32"/>
          <w:szCs w:val="32"/>
          <w:lang w:eastAsia="zh-CN"/>
        </w:rPr>
      </w:pPr>
      <w:r>
        <w:rPr>
          <w:rFonts w:hint="eastAsia"/>
          <w:sz w:val="32"/>
          <w:szCs w:val="32"/>
          <w:lang w:eastAsia="zh-CN"/>
        </w:rPr>
        <w:t>工程概况及设备运行环境条件</w:t>
      </w:r>
    </w:p>
    <w:p>
      <w:pPr>
        <w:pStyle w:val="4"/>
        <w:keepNext/>
        <w:keepLines/>
        <w:numPr>
          <w:ilvl w:val="0"/>
          <w:numId w:val="3"/>
        </w:numPr>
        <w:autoSpaceDE/>
        <w:autoSpaceDN/>
        <w:jc w:val="both"/>
        <w:rPr>
          <w:sz w:val="28"/>
        </w:rPr>
      </w:pPr>
      <w:bookmarkStart w:id="41" w:name="_Toc162615114"/>
      <w:r>
        <w:rPr>
          <w:sz w:val="28"/>
        </w:rPr>
        <w:t>工程简介</w:t>
      </w:r>
      <w:bookmarkEnd w:id="41"/>
    </w:p>
    <w:p>
      <w:pPr>
        <w:snapToGrid w:val="0"/>
        <w:ind w:firstLine="480" w:firstLineChars="200"/>
        <w:rPr>
          <w:sz w:val="24"/>
          <w:szCs w:val="24"/>
          <w:lang w:eastAsia="zh-CN"/>
        </w:rPr>
      </w:pPr>
      <w:r>
        <w:rPr>
          <w:rFonts w:hint="eastAsia"/>
          <w:sz w:val="24"/>
          <w:lang w:eastAsia="zh-CN"/>
        </w:rPr>
        <w:t>福海创</w:t>
      </w:r>
      <w:r>
        <w:rPr>
          <w:sz w:val="24"/>
          <w:lang w:eastAsia="zh-CN"/>
        </w:rPr>
        <w:t>热电厂以供热为主，并根据以热定电，灵活调整的原则</w:t>
      </w:r>
      <w:r>
        <w:rPr>
          <w:rFonts w:hint="eastAsia"/>
          <w:sz w:val="24"/>
          <w:lang w:eastAsia="zh-CN"/>
        </w:rPr>
        <w:t>。目前已建成</w:t>
      </w:r>
      <w:r>
        <w:rPr>
          <w:sz w:val="24"/>
          <w:lang w:eastAsia="zh-CN"/>
        </w:rPr>
        <w:t>4×</w:t>
      </w:r>
      <w:r>
        <w:rPr>
          <w:rFonts w:hint="eastAsia"/>
          <w:sz w:val="24"/>
          <w:lang w:eastAsia="zh-CN"/>
        </w:rPr>
        <w:t>67</w:t>
      </w:r>
      <w:r>
        <w:rPr>
          <w:sz w:val="24"/>
          <w:szCs w:val="24"/>
          <w:lang w:eastAsia="zh-CN"/>
        </w:rPr>
        <w:t>0t/h+3×1</w:t>
      </w:r>
      <w:r>
        <w:rPr>
          <w:rFonts w:hint="eastAsia"/>
          <w:sz w:val="24"/>
          <w:szCs w:val="24"/>
          <w:lang w:eastAsia="zh-CN"/>
        </w:rPr>
        <w:t>5</w:t>
      </w:r>
      <w:r>
        <w:rPr>
          <w:sz w:val="24"/>
          <w:szCs w:val="24"/>
          <w:lang w:eastAsia="zh-CN"/>
        </w:rPr>
        <w:t>0MW燃煤供热机组。</w:t>
      </w:r>
    </w:p>
    <w:p>
      <w:pPr>
        <w:snapToGrid w:val="0"/>
        <w:ind w:firstLine="480" w:firstLineChars="200"/>
        <w:rPr>
          <w:sz w:val="24"/>
          <w:lang w:eastAsia="zh-CN"/>
        </w:rPr>
      </w:pPr>
      <w:r>
        <w:rPr>
          <w:rFonts w:hint="eastAsia"/>
          <w:sz w:val="24"/>
          <w:lang w:eastAsia="zh-CN"/>
        </w:rPr>
        <w:t>热电厂工程装设4台上海锅炉厂生产的超高压参数自然循环、四角切向燃烧方式，单炉膛，无再热，平衡通风，露天布置，固态排渣，全钢构架，全悬吊结构，回转式空气预热器，“</w:t>
      </w:r>
      <w:r>
        <w:rPr>
          <w:sz w:val="24"/>
        </w:rPr>
        <w:sym w:font="Symbol" w:char="F050"/>
      </w:r>
      <w:r>
        <w:rPr>
          <w:rFonts w:hint="eastAsia"/>
          <w:sz w:val="24"/>
          <w:lang w:eastAsia="zh-CN"/>
        </w:rPr>
        <w:t>”型布置汽包锅炉。锅炉型号：</w:t>
      </w:r>
      <w:r>
        <w:rPr>
          <w:sz w:val="24"/>
          <w:lang w:eastAsia="zh-CN"/>
        </w:rPr>
        <w:t>SG-670/13.7- M</w:t>
      </w:r>
      <w:r>
        <w:rPr>
          <w:rFonts w:hint="eastAsia"/>
          <w:sz w:val="24"/>
          <w:lang w:eastAsia="zh-CN"/>
        </w:rPr>
        <w:t>3001。锅炉额定工况蒸汽压力为13.7MPa，在燃用设计煤种或校核煤种、额定给水温度、过热蒸汽温度、压力为额定值、蒸汽品质合格条件下，锅炉最大连续蒸发量不小于</w:t>
      </w:r>
      <w:r>
        <w:rPr>
          <w:sz w:val="24"/>
          <w:lang w:eastAsia="zh-CN"/>
        </w:rPr>
        <w:t>670t/h</w:t>
      </w:r>
      <w:r>
        <w:rPr>
          <w:rFonts w:hint="eastAsia"/>
          <w:sz w:val="24"/>
          <w:lang w:eastAsia="zh-CN"/>
        </w:rPr>
        <w:t>。</w:t>
      </w:r>
    </w:p>
    <w:p>
      <w:pPr>
        <w:snapToGrid w:val="0"/>
        <w:ind w:firstLine="480" w:firstLineChars="200"/>
        <w:rPr>
          <w:sz w:val="24"/>
          <w:lang w:eastAsia="zh-CN"/>
        </w:rPr>
      </w:pPr>
      <w:r>
        <w:rPr>
          <w:rFonts w:hint="eastAsia"/>
          <w:sz w:val="24"/>
          <w:lang w:eastAsia="zh-CN"/>
        </w:rPr>
        <w:t>四台锅炉对应配置三台</w:t>
      </w:r>
      <w:r>
        <w:rPr>
          <w:sz w:val="24"/>
          <w:lang w:eastAsia="zh-CN"/>
        </w:rPr>
        <w:t>型号</w:t>
      </w:r>
      <w:r>
        <w:rPr>
          <w:rFonts w:hint="eastAsia"/>
          <w:sz w:val="24"/>
          <w:lang w:eastAsia="zh-CN"/>
        </w:rPr>
        <w:t>为</w:t>
      </w:r>
      <w:r>
        <w:rPr>
          <w:sz w:val="24"/>
          <w:lang w:eastAsia="zh-CN"/>
        </w:rPr>
        <w:t>C150-12.</w:t>
      </w:r>
      <w:r>
        <w:rPr>
          <w:rFonts w:hint="eastAsia"/>
          <w:sz w:val="24"/>
          <w:lang w:eastAsia="zh-CN"/>
        </w:rPr>
        <w:t>5</w:t>
      </w:r>
      <w:r>
        <w:rPr>
          <w:sz w:val="24"/>
          <w:lang w:eastAsia="zh-CN"/>
        </w:rPr>
        <w:t>/</w:t>
      </w:r>
      <w:r>
        <w:rPr>
          <w:rFonts w:hint="eastAsia"/>
          <w:sz w:val="24"/>
          <w:lang w:eastAsia="zh-CN"/>
        </w:rPr>
        <w:t>4.3抽汽凝汽式汽轮发电机组，发电机为空冷式发电机。</w:t>
      </w:r>
      <w:r>
        <w:rPr>
          <w:sz w:val="24"/>
          <w:lang w:eastAsia="zh-CN"/>
        </w:rPr>
        <w:t>本汽轮机为南京汽轮电机</w:t>
      </w:r>
      <w:r>
        <w:rPr>
          <w:rFonts w:hint="eastAsia"/>
          <w:sz w:val="24"/>
          <w:lang w:eastAsia="zh-CN"/>
        </w:rPr>
        <w:t>集团</w:t>
      </w:r>
      <w:r>
        <w:rPr>
          <w:sz w:val="24"/>
          <w:lang w:eastAsia="zh-CN"/>
        </w:rPr>
        <w:t>公司制造的超高压冲动</w:t>
      </w:r>
      <w:r>
        <w:rPr>
          <w:rFonts w:hint="eastAsia"/>
          <w:sz w:val="24"/>
          <w:lang w:eastAsia="zh-CN"/>
        </w:rPr>
        <w:t>式</w:t>
      </w:r>
      <w:r>
        <w:rPr>
          <w:sz w:val="24"/>
          <w:lang w:eastAsia="zh-CN"/>
        </w:rPr>
        <w:t>、单轴双缸双排汽、抽汽凝汽式汽轮机。</w:t>
      </w:r>
      <w:r>
        <w:rPr>
          <w:rFonts w:hint="eastAsia"/>
          <w:sz w:val="24"/>
          <w:lang w:eastAsia="zh-CN"/>
        </w:rPr>
        <w:t>采用</w:t>
      </w:r>
      <w:r>
        <w:rPr>
          <w:sz w:val="24"/>
          <w:lang w:eastAsia="zh-CN"/>
        </w:rPr>
        <w:t>热电联供</w:t>
      </w:r>
      <w:r>
        <w:rPr>
          <w:rFonts w:hint="eastAsia"/>
          <w:sz w:val="24"/>
          <w:lang w:eastAsia="zh-CN"/>
        </w:rPr>
        <w:t>方式</w:t>
      </w:r>
      <w:r>
        <w:rPr>
          <w:sz w:val="24"/>
          <w:lang w:eastAsia="zh-CN"/>
        </w:rPr>
        <w:t>，</w:t>
      </w:r>
      <w:r>
        <w:rPr>
          <w:rFonts w:hint="eastAsia"/>
          <w:sz w:val="24"/>
          <w:lang w:eastAsia="zh-CN"/>
        </w:rPr>
        <w:t>能</w:t>
      </w:r>
      <w:r>
        <w:rPr>
          <w:sz w:val="24"/>
          <w:lang w:eastAsia="zh-CN"/>
        </w:rPr>
        <w:t>满足基本负荷和调峰要求</w:t>
      </w:r>
      <w:r>
        <w:rPr>
          <w:rFonts w:hint="eastAsia"/>
          <w:sz w:val="24"/>
          <w:lang w:eastAsia="zh-CN"/>
        </w:rPr>
        <w:t>。</w:t>
      </w:r>
      <w:r>
        <w:rPr>
          <w:sz w:val="24"/>
          <w:lang w:eastAsia="zh-CN"/>
        </w:rPr>
        <w:t>高</w:t>
      </w:r>
      <w:r>
        <w:rPr>
          <w:rFonts w:hint="eastAsia"/>
          <w:sz w:val="24"/>
          <w:lang w:eastAsia="zh-CN"/>
        </w:rPr>
        <w:t>压缸及</w:t>
      </w:r>
      <w:r>
        <w:rPr>
          <w:sz w:val="24"/>
          <w:lang w:eastAsia="zh-CN"/>
        </w:rPr>
        <w:t>低压缸</w:t>
      </w:r>
      <w:r>
        <w:rPr>
          <w:rFonts w:hint="eastAsia"/>
          <w:sz w:val="24"/>
          <w:lang w:eastAsia="zh-CN"/>
        </w:rPr>
        <w:t>均</w:t>
      </w:r>
      <w:r>
        <w:rPr>
          <w:sz w:val="24"/>
          <w:lang w:eastAsia="zh-CN"/>
        </w:rPr>
        <w:t>为双层缸</w:t>
      </w:r>
      <w:r>
        <w:rPr>
          <w:rFonts w:hint="eastAsia"/>
          <w:sz w:val="24"/>
          <w:lang w:eastAsia="zh-CN"/>
        </w:rPr>
        <w:t>结构</w:t>
      </w:r>
      <w:r>
        <w:rPr>
          <w:sz w:val="24"/>
          <w:lang w:eastAsia="zh-CN"/>
        </w:rPr>
        <w:t>，</w:t>
      </w:r>
      <w:r>
        <w:rPr>
          <w:rFonts w:hint="eastAsia"/>
          <w:sz w:val="24"/>
          <w:lang w:eastAsia="zh-CN"/>
        </w:rPr>
        <w:t>2个</w:t>
      </w:r>
      <w:r>
        <w:rPr>
          <w:sz w:val="24"/>
          <w:lang w:eastAsia="zh-CN"/>
        </w:rPr>
        <w:t>高压主汽阀</w:t>
      </w:r>
      <w:r>
        <w:rPr>
          <w:rFonts w:hint="eastAsia"/>
          <w:sz w:val="24"/>
          <w:lang w:eastAsia="zh-CN"/>
        </w:rPr>
        <w:t>布置</w:t>
      </w:r>
      <w:r>
        <w:rPr>
          <w:sz w:val="24"/>
          <w:lang w:eastAsia="zh-CN"/>
        </w:rPr>
        <w:t>在汽缸两侧，</w:t>
      </w:r>
      <w:r>
        <w:rPr>
          <w:rFonts w:hint="eastAsia"/>
          <w:sz w:val="24"/>
          <w:lang w:eastAsia="zh-CN"/>
        </w:rPr>
        <w:t>4</w:t>
      </w:r>
      <w:r>
        <w:rPr>
          <w:sz w:val="24"/>
          <w:lang w:eastAsia="zh-CN"/>
        </w:rPr>
        <w:t>个调节阀</w:t>
      </w:r>
      <w:r>
        <w:rPr>
          <w:rFonts w:hint="eastAsia"/>
          <w:sz w:val="24"/>
          <w:lang w:eastAsia="zh-CN"/>
        </w:rPr>
        <w:t>分别</w:t>
      </w:r>
      <w:r>
        <w:rPr>
          <w:sz w:val="24"/>
          <w:lang w:eastAsia="zh-CN"/>
        </w:rPr>
        <w:t>挂在高压外缸进汽部位。高压进汽</w:t>
      </w:r>
      <w:r>
        <w:rPr>
          <w:rFonts w:hint="eastAsia"/>
          <w:sz w:val="24"/>
          <w:lang w:eastAsia="zh-CN"/>
        </w:rPr>
        <w:t>口位于</w:t>
      </w:r>
      <w:r>
        <w:rPr>
          <w:sz w:val="24"/>
          <w:lang w:eastAsia="zh-CN"/>
        </w:rPr>
        <w:t>汽缸前部，高压前</w:t>
      </w:r>
      <w:r>
        <w:rPr>
          <w:rFonts w:hint="eastAsia"/>
          <w:sz w:val="24"/>
          <w:lang w:eastAsia="zh-CN"/>
        </w:rPr>
        <w:t>六</w:t>
      </w:r>
      <w:r>
        <w:rPr>
          <w:sz w:val="24"/>
          <w:lang w:eastAsia="zh-CN"/>
        </w:rPr>
        <w:t>级装于高压内缸，高压进汽通过高压</w:t>
      </w:r>
      <w:r>
        <w:rPr>
          <w:rFonts w:hint="eastAsia"/>
          <w:sz w:val="24"/>
          <w:lang w:eastAsia="zh-CN"/>
        </w:rPr>
        <w:t>进汽</w:t>
      </w:r>
      <w:r>
        <w:rPr>
          <w:sz w:val="24"/>
          <w:lang w:eastAsia="zh-CN"/>
        </w:rPr>
        <w:t>插管进入高压内缸。</w:t>
      </w:r>
      <w:r>
        <w:rPr>
          <w:rFonts w:hint="eastAsia"/>
          <w:sz w:val="24"/>
          <w:lang w:eastAsia="zh-CN"/>
        </w:rPr>
        <w:t>4.3</w:t>
      </w:r>
      <w:r>
        <w:rPr>
          <w:sz w:val="24"/>
          <w:lang w:eastAsia="zh-CN"/>
        </w:rPr>
        <w:t>MPa.a工业抽汽</w:t>
      </w:r>
      <w:r>
        <w:rPr>
          <w:rFonts w:hint="eastAsia"/>
          <w:sz w:val="24"/>
          <w:lang w:eastAsia="zh-CN"/>
        </w:rPr>
        <w:t>口位于高压缸</w:t>
      </w:r>
      <w:r>
        <w:rPr>
          <w:sz w:val="24"/>
          <w:lang w:eastAsia="zh-CN"/>
        </w:rPr>
        <w:t>第</w:t>
      </w:r>
      <w:r>
        <w:rPr>
          <w:rFonts w:hint="eastAsia"/>
          <w:sz w:val="24"/>
          <w:lang w:eastAsia="zh-CN"/>
        </w:rPr>
        <w:t>6</w:t>
      </w:r>
      <w:r>
        <w:rPr>
          <w:sz w:val="24"/>
          <w:lang w:eastAsia="zh-CN"/>
        </w:rPr>
        <w:t>级</w:t>
      </w:r>
      <w:r>
        <w:rPr>
          <w:rFonts w:hint="eastAsia"/>
          <w:sz w:val="24"/>
          <w:lang w:eastAsia="zh-CN"/>
        </w:rPr>
        <w:t>级</w:t>
      </w:r>
      <w:r>
        <w:rPr>
          <w:sz w:val="24"/>
          <w:lang w:eastAsia="zh-CN"/>
        </w:rPr>
        <w:t>后，高压缸排汽</w:t>
      </w:r>
      <w:r>
        <w:rPr>
          <w:rFonts w:hint="eastAsia"/>
          <w:sz w:val="24"/>
          <w:lang w:eastAsia="zh-CN"/>
        </w:rPr>
        <w:t>口位于</w:t>
      </w:r>
      <w:r>
        <w:rPr>
          <w:sz w:val="24"/>
          <w:lang w:eastAsia="zh-CN"/>
        </w:rPr>
        <w:t>高压缸上半</w:t>
      </w:r>
      <w:r>
        <w:rPr>
          <w:rFonts w:hint="eastAsia"/>
          <w:sz w:val="24"/>
          <w:lang w:eastAsia="zh-CN"/>
        </w:rPr>
        <w:t>后侧</w:t>
      </w:r>
      <w:r>
        <w:rPr>
          <w:sz w:val="24"/>
          <w:lang w:eastAsia="zh-CN"/>
        </w:rPr>
        <w:t>，</w:t>
      </w:r>
      <w:r>
        <w:rPr>
          <w:rFonts w:hint="eastAsia"/>
          <w:sz w:val="24"/>
          <w:lang w:eastAsia="zh-CN"/>
        </w:rPr>
        <w:t>高压</w:t>
      </w:r>
      <w:r>
        <w:rPr>
          <w:sz w:val="24"/>
          <w:lang w:eastAsia="zh-CN"/>
        </w:rPr>
        <w:t>排汽通过二根连通管进入低压缸中部，低压缸前后对称正反向流动，排汽进入下面凝汽器。供热抽汽通过第</w:t>
      </w:r>
      <w:r>
        <w:rPr>
          <w:rFonts w:hint="eastAsia"/>
          <w:sz w:val="24"/>
          <w:lang w:eastAsia="zh-CN"/>
        </w:rPr>
        <w:t>7</w:t>
      </w:r>
      <w:r>
        <w:rPr>
          <w:sz w:val="24"/>
          <w:lang w:eastAsia="zh-CN"/>
        </w:rPr>
        <w:t>级</w:t>
      </w:r>
      <w:r>
        <w:rPr>
          <w:rFonts w:hint="eastAsia"/>
          <w:sz w:val="24"/>
          <w:lang w:eastAsia="zh-CN"/>
        </w:rPr>
        <w:t>提阀</w:t>
      </w:r>
      <w:r>
        <w:rPr>
          <w:sz w:val="24"/>
          <w:lang w:eastAsia="zh-CN"/>
        </w:rPr>
        <w:t>控制实现可调。</w:t>
      </w:r>
    </w:p>
    <w:p>
      <w:pPr>
        <w:snapToGrid w:val="0"/>
        <w:ind w:firstLine="480" w:firstLineChars="200"/>
        <w:rPr>
          <w:sz w:val="24"/>
          <w:lang w:eastAsia="zh-CN"/>
        </w:rPr>
      </w:pPr>
      <w:r>
        <w:rPr>
          <w:rFonts w:hint="eastAsia"/>
          <w:sz w:val="24"/>
          <w:lang w:eastAsia="zh-CN"/>
        </w:rPr>
        <w:t>全厂用电负荷主要由热电厂3台发电机组供给，以热定电，经平衡后富余电量上网，不足部分由地方电网提供。热电厂设计装机容量为3台15</w:t>
      </w:r>
      <w:r>
        <w:rPr>
          <w:sz w:val="24"/>
          <w:lang w:eastAsia="zh-CN"/>
        </w:rPr>
        <w:t>0</w:t>
      </w:r>
      <w:r>
        <w:rPr>
          <w:rFonts w:hint="eastAsia"/>
          <w:sz w:val="24"/>
          <w:lang w:eastAsia="zh-CN"/>
        </w:rPr>
        <w:t>MW抽凝发电机组，发电机组接自2</w:t>
      </w:r>
      <w:r>
        <w:rPr>
          <w:sz w:val="24"/>
          <w:lang w:eastAsia="zh-CN"/>
        </w:rPr>
        <w:t>20</w:t>
      </w:r>
      <w:r>
        <w:rPr>
          <w:rFonts w:hint="eastAsia"/>
          <w:sz w:val="24"/>
          <w:lang w:eastAsia="zh-CN"/>
        </w:rPr>
        <w:t>KV总降压变电站2</w:t>
      </w:r>
      <w:r>
        <w:rPr>
          <w:sz w:val="24"/>
          <w:lang w:eastAsia="zh-CN"/>
        </w:rPr>
        <w:t>20</w:t>
      </w:r>
      <w:r>
        <w:rPr>
          <w:rFonts w:hint="eastAsia"/>
          <w:sz w:val="24"/>
          <w:lang w:eastAsia="zh-CN"/>
        </w:rPr>
        <w:t>kV母线与外电网并网运行。总降压变电站从220kV油田变接入2回220kV线路，线路采用单塔单回。2</w:t>
      </w:r>
      <w:r>
        <w:rPr>
          <w:sz w:val="24"/>
          <w:lang w:eastAsia="zh-CN"/>
        </w:rPr>
        <w:t>20</w:t>
      </w:r>
      <w:r>
        <w:rPr>
          <w:rFonts w:hint="eastAsia"/>
          <w:sz w:val="24"/>
          <w:lang w:eastAsia="zh-CN"/>
        </w:rPr>
        <w:t>kV的电气主接线采用双母线分段形式。建设3个发变间隔，4个主变间隔，2个220kV线路间隔。其中4台主变（供给PX、PTA装置）采用有载调压双绕组变压器（220kV/35kV），其中PX装置装设2台220kV/35kV 180MVA变压器，PTA装置装设2台220kV/35kV  75MVA变压器。总降压站35kV电气主接线采用单母线分段环形接线的形式。</w:t>
      </w:r>
      <w:r>
        <w:rPr>
          <w:sz w:val="24"/>
          <w:lang w:eastAsia="zh-CN"/>
        </w:rPr>
        <w:t>厂区供电电压等级分为：</w:t>
      </w:r>
      <w:r>
        <w:rPr>
          <w:rFonts w:hint="eastAsia"/>
          <w:sz w:val="24"/>
          <w:lang w:eastAsia="zh-CN"/>
        </w:rPr>
        <w:t>220kV、35kV、10kV、0.38kV、0.22kV。现有PX装置满负荷运行用电负荷为130MW/h左右。</w:t>
      </w:r>
    </w:p>
    <w:p>
      <w:pPr>
        <w:snapToGrid w:val="0"/>
        <w:ind w:firstLine="480" w:firstLineChars="200"/>
        <w:rPr>
          <w:sz w:val="24"/>
          <w:lang w:eastAsia="zh-CN"/>
        </w:rPr>
      </w:pPr>
      <w:r>
        <w:rPr>
          <w:rFonts w:hint="eastAsia"/>
          <w:sz w:val="24"/>
          <w:lang w:eastAsia="zh-CN"/>
        </w:rPr>
        <w:t>电厂供热参数分三级，分别为P=9.8MPa,T=330℃；P=4.3MPa,T=382℃；P=2.3MPa,T=230℃。三个供热等级，经电厂南、北侧减温减压器后向用户供汽，满足各类用户用汽需求。南、北侧供热管道环网运行。9.8MPa供热南、北侧共有四路减温减压器，北侧两路双减额定流量为230t/h，正常运行一用一备；南侧两路双减额定流量为300t/h，正常运行一用一备。4.3MPa供热正常运行由汽轮机一段抽汽供汽，主蒸汽母管经减温减压后作为4.3MPa母管备用汽源，备用汽源南、北侧共有三路减温减压器，北侧两路双减额定流量为350t/h；南侧一路双减额定流量为300t/h；4.3MPa供热正常汽源和备用汽源经一抽母管分南、北侧向PX、PTA供汽；供PX北侧管道接口设计流量为500 t/h，南侧管道接口设计流量为102 t/h。供PTA北侧管道接口设计流量为350 t/h，南侧管道接口设计流量为125 t/h。一抽母管经减温减压后供PX2.3MPa用汽，2.3MPa供热南、北侧共有四路减温减压器，北侧两路双减额定流量为210t/h，正常运行一用一备；南侧两路双减额定流量为120t/h，正常运行一用一备。</w:t>
      </w:r>
    </w:p>
    <w:p>
      <w:pPr>
        <w:snapToGrid w:val="0"/>
        <w:ind w:firstLine="480" w:firstLineChars="200"/>
        <w:rPr>
          <w:sz w:val="24"/>
          <w:lang w:eastAsia="zh-CN"/>
        </w:rPr>
      </w:pPr>
      <w:r>
        <w:rPr>
          <w:rFonts w:hint="eastAsia"/>
          <w:sz w:val="24"/>
          <w:lang w:eastAsia="zh-CN"/>
        </w:rPr>
        <w:t>为了解决中沙古雷乙烯项目中芒果项目必需的乙烯原料需求，拓宽福海创公司原油种类，提高市场谈判能力，消除生产装置规模不匹配的瓶颈，缓解PTA原料不足的问题，福海创公司拟实施</w:t>
      </w:r>
      <w:r>
        <w:rPr>
          <w:sz w:val="24"/>
          <w:lang w:eastAsia="zh-CN"/>
        </w:rPr>
        <w:t>原料适应性技改</w:t>
      </w:r>
      <w:r>
        <w:rPr>
          <w:rFonts w:hint="eastAsia"/>
          <w:sz w:val="24"/>
          <w:lang w:eastAsia="zh-CN"/>
        </w:rPr>
        <w:t>项目。根据原料适应性项目可研报告提供的蒸汽平衡表，原料适应性项目、芒果项目及企业搬迁项目等项目一旦投入生产后，我司热负荷需求将达到2817.1t/h，其中：12.5MPa（9.8MPa）需要836.7t/h；4.0MPa需要1285.1t/h；2.0MPa需要252.5t/h；1.2MPa需要423.3t/h；0.45MPa需要19.5t/h。热电厂现有4*670t/h+3*150MW机组，最大供热能力为1150t/h， 2021年开始拟将两台抽凝机组改造为抽背机组，改造方案详见附件，最大供热能力可提高至1500t/h，但仍无法满足2817.1t/h的供热需求，存在1317.1t/h的供热缺口。故需在热电厂南侧预留地新建锅炉及汽轮发电机组，以满足今后供热需求。</w:t>
      </w:r>
    </w:p>
    <w:p>
      <w:pPr>
        <w:snapToGrid w:val="0"/>
        <w:ind w:firstLine="480" w:firstLineChars="200"/>
        <w:rPr>
          <w:sz w:val="24"/>
        </w:rPr>
      </w:pPr>
      <w:r>
        <w:rPr>
          <w:rFonts w:hint="eastAsia"/>
          <w:sz w:val="24"/>
        </w:rPr>
        <w:t>热负荷表</w:t>
      </w:r>
    </w:p>
    <w:tbl>
      <w:tblPr>
        <w:tblStyle w:val="16"/>
        <w:tblpPr w:leftFromText="180" w:rightFromText="180" w:vertAnchor="text" w:horzAnchor="margin" w:tblpY="29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007"/>
        <w:gridCol w:w="992"/>
        <w:gridCol w:w="1134"/>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53" w:type="dxa"/>
          </w:tcPr>
          <w:p>
            <w:pPr>
              <w:pStyle w:val="24"/>
              <w:adjustRightInd w:val="0"/>
              <w:snapToGrid w:val="0"/>
              <w:spacing w:line="300" w:lineRule="auto"/>
              <w:ind w:left="0" w:firstLine="0"/>
              <w:rPr>
                <w:sz w:val="21"/>
                <w:szCs w:val="21"/>
              </w:rPr>
            </w:pPr>
            <w:r>
              <w:rPr>
                <w:rFonts w:hint="eastAsia"/>
                <w:sz w:val="21"/>
                <w:szCs w:val="21"/>
              </w:rPr>
              <w:t>蒸汽等级</w:t>
            </w:r>
          </w:p>
        </w:tc>
        <w:tc>
          <w:tcPr>
            <w:tcW w:w="1007" w:type="dxa"/>
            <w:vAlign w:val="center"/>
          </w:tcPr>
          <w:p>
            <w:pPr>
              <w:adjustRightInd w:val="0"/>
              <w:snapToGrid w:val="0"/>
              <w:spacing w:line="240" w:lineRule="atLeast"/>
              <w:jc w:val="both"/>
              <w:rPr>
                <w:sz w:val="21"/>
                <w:szCs w:val="21"/>
              </w:rPr>
            </w:pPr>
            <w:r>
              <w:rPr>
                <w:rFonts w:hint="eastAsia"/>
                <w:sz w:val="21"/>
                <w:szCs w:val="21"/>
              </w:rPr>
              <w:t>9.8</w:t>
            </w:r>
            <w:r>
              <w:rPr>
                <w:sz w:val="21"/>
                <w:szCs w:val="21"/>
              </w:rPr>
              <w:t>MPa</w:t>
            </w:r>
            <w:r>
              <w:rPr>
                <w:rFonts w:hint="eastAsia"/>
                <w:sz w:val="21"/>
                <w:szCs w:val="21"/>
              </w:rPr>
              <w:t xml:space="preserve"> 330℃</w:t>
            </w:r>
          </w:p>
        </w:tc>
        <w:tc>
          <w:tcPr>
            <w:tcW w:w="992" w:type="dxa"/>
            <w:vAlign w:val="center"/>
          </w:tcPr>
          <w:p>
            <w:pPr>
              <w:adjustRightInd w:val="0"/>
              <w:snapToGrid w:val="0"/>
              <w:spacing w:line="240" w:lineRule="atLeast"/>
              <w:jc w:val="both"/>
              <w:rPr>
                <w:sz w:val="21"/>
                <w:szCs w:val="21"/>
              </w:rPr>
            </w:pPr>
            <w:r>
              <w:rPr>
                <w:sz w:val="21"/>
                <w:szCs w:val="21"/>
              </w:rPr>
              <w:t>4.</w:t>
            </w:r>
            <w:r>
              <w:rPr>
                <w:rFonts w:hint="eastAsia"/>
                <w:sz w:val="21"/>
                <w:szCs w:val="21"/>
              </w:rPr>
              <w:t>3</w:t>
            </w:r>
            <w:r>
              <w:rPr>
                <w:sz w:val="21"/>
                <w:szCs w:val="21"/>
              </w:rPr>
              <w:t>MPa</w:t>
            </w:r>
            <w:r>
              <w:rPr>
                <w:rFonts w:hint="eastAsia"/>
                <w:sz w:val="21"/>
                <w:szCs w:val="21"/>
              </w:rPr>
              <w:t xml:space="preserve"> 375℃</w:t>
            </w:r>
          </w:p>
        </w:tc>
        <w:tc>
          <w:tcPr>
            <w:tcW w:w="1134" w:type="dxa"/>
            <w:vAlign w:val="center"/>
          </w:tcPr>
          <w:p>
            <w:pPr>
              <w:adjustRightInd w:val="0"/>
              <w:snapToGrid w:val="0"/>
              <w:spacing w:line="240" w:lineRule="atLeast"/>
              <w:jc w:val="both"/>
              <w:rPr>
                <w:sz w:val="21"/>
                <w:szCs w:val="21"/>
              </w:rPr>
            </w:pPr>
            <w:r>
              <w:rPr>
                <w:sz w:val="21"/>
                <w:szCs w:val="21"/>
              </w:rPr>
              <w:t>2.</w:t>
            </w:r>
            <w:r>
              <w:rPr>
                <w:rFonts w:hint="eastAsia"/>
                <w:sz w:val="21"/>
                <w:szCs w:val="21"/>
              </w:rPr>
              <w:t>3</w:t>
            </w:r>
            <w:r>
              <w:rPr>
                <w:sz w:val="21"/>
                <w:szCs w:val="21"/>
              </w:rPr>
              <w:t>MPa</w:t>
            </w:r>
            <w:r>
              <w:rPr>
                <w:rFonts w:hint="eastAsia"/>
                <w:sz w:val="21"/>
                <w:szCs w:val="21"/>
              </w:rPr>
              <w:t xml:space="preserve"> 230℃</w:t>
            </w:r>
          </w:p>
        </w:tc>
        <w:tc>
          <w:tcPr>
            <w:tcW w:w="1134" w:type="dxa"/>
            <w:vAlign w:val="center"/>
          </w:tcPr>
          <w:p>
            <w:pPr>
              <w:adjustRightInd w:val="0"/>
              <w:snapToGrid w:val="0"/>
              <w:spacing w:line="240" w:lineRule="atLeast"/>
              <w:jc w:val="both"/>
              <w:rPr>
                <w:sz w:val="21"/>
                <w:szCs w:val="21"/>
              </w:rPr>
            </w:pPr>
            <w:r>
              <w:rPr>
                <w:sz w:val="21"/>
                <w:szCs w:val="21"/>
              </w:rPr>
              <w:t>1.2MPa</w:t>
            </w:r>
            <w:r>
              <w:rPr>
                <w:rFonts w:hint="eastAsia"/>
                <w:sz w:val="21"/>
                <w:szCs w:val="21"/>
              </w:rPr>
              <w:t xml:space="preserve"> 210℃</w:t>
            </w:r>
          </w:p>
        </w:tc>
        <w:tc>
          <w:tcPr>
            <w:tcW w:w="1134" w:type="dxa"/>
            <w:vAlign w:val="center"/>
          </w:tcPr>
          <w:p>
            <w:pPr>
              <w:adjustRightInd w:val="0"/>
              <w:snapToGrid w:val="0"/>
              <w:spacing w:line="240" w:lineRule="atLeast"/>
              <w:jc w:val="both"/>
              <w:rPr>
                <w:sz w:val="21"/>
                <w:szCs w:val="21"/>
              </w:rPr>
            </w:pPr>
            <w:r>
              <w:rPr>
                <w:sz w:val="21"/>
                <w:szCs w:val="21"/>
              </w:rPr>
              <w:t>0.45MPa</w:t>
            </w:r>
            <w:r>
              <w:rPr>
                <w:rFonts w:hint="eastAsia"/>
                <w:sz w:val="21"/>
                <w:szCs w:val="21"/>
              </w:rPr>
              <w:t xml:space="preserve"> 155℃</w:t>
            </w:r>
          </w:p>
        </w:tc>
        <w:tc>
          <w:tcPr>
            <w:tcW w:w="1276" w:type="dxa"/>
            <w:vAlign w:val="center"/>
          </w:tcPr>
          <w:p>
            <w:pPr>
              <w:pStyle w:val="24"/>
              <w:adjustRightInd w:val="0"/>
              <w:snapToGrid w:val="0"/>
              <w:spacing w:line="300" w:lineRule="auto"/>
              <w:ind w:left="34" w:firstLine="0"/>
              <w:jc w:val="both"/>
              <w:rPr>
                <w:sz w:val="21"/>
                <w:szCs w:val="21"/>
              </w:rPr>
            </w:pPr>
            <w:r>
              <w:rPr>
                <w:rFonts w:hint="eastAsia"/>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53" w:type="dxa"/>
          </w:tcPr>
          <w:p>
            <w:pPr>
              <w:adjustRightInd w:val="0"/>
              <w:snapToGrid w:val="0"/>
              <w:spacing w:line="300" w:lineRule="auto"/>
              <w:rPr>
                <w:sz w:val="21"/>
                <w:szCs w:val="21"/>
              </w:rPr>
            </w:pPr>
            <w:r>
              <w:rPr>
                <w:rFonts w:hint="eastAsia"/>
                <w:sz w:val="21"/>
                <w:szCs w:val="21"/>
              </w:rPr>
              <w:t>蒸汽量（t/h）</w:t>
            </w:r>
          </w:p>
        </w:tc>
        <w:tc>
          <w:tcPr>
            <w:tcW w:w="1007" w:type="dxa"/>
            <w:vAlign w:val="center"/>
          </w:tcPr>
          <w:p>
            <w:pPr>
              <w:adjustRightInd w:val="0"/>
              <w:snapToGrid w:val="0"/>
              <w:spacing w:line="300" w:lineRule="auto"/>
              <w:jc w:val="both"/>
              <w:rPr>
                <w:sz w:val="21"/>
                <w:szCs w:val="21"/>
              </w:rPr>
            </w:pPr>
            <w:r>
              <w:rPr>
                <w:rFonts w:hint="eastAsia"/>
                <w:sz w:val="21"/>
                <w:szCs w:val="21"/>
              </w:rPr>
              <w:t>836.7</w:t>
            </w:r>
          </w:p>
        </w:tc>
        <w:tc>
          <w:tcPr>
            <w:tcW w:w="992" w:type="dxa"/>
            <w:vAlign w:val="center"/>
          </w:tcPr>
          <w:p>
            <w:pPr>
              <w:adjustRightInd w:val="0"/>
              <w:snapToGrid w:val="0"/>
              <w:spacing w:line="300" w:lineRule="auto"/>
              <w:jc w:val="both"/>
              <w:rPr>
                <w:sz w:val="21"/>
                <w:szCs w:val="21"/>
              </w:rPr>
            </w:pPr>
            <w:r>
              <w:rPr>
                <w:rFonts w:hint="eastAsia"/>
                <w:sz w:val="21"/>
                <w:szCs w:val="21"/>
              </w:rPr>
              <w:t>1285.1</w:t>
            </w:r>
          </w:p>
        </w:tc>
        <w:tc>
          <w:tcPr>
            <w:tcW w:w="1134" w:type="dxa"/>
            <w:vAlign w:val="center"/>
          </w:tcPr>
          <w:p>
            <w:pPr>
              <w:adjustRightInd w:val="0"/>
              <w:snapToGrid w:val="0"/>
              <w:spacing w:line="300" w:lineRule="auto"/>
              <w:jc w:val="both"/>
              <w:rPr>
                <w:sz w:val="21"/>
                <w:szCs w:val="21"/>
              </w:rPr>
            </w:pPr>
            <w:r>
              <w:rPr>
                <w:rFonts w:hint="eastAsia"/>
                <w:sz w:val="21"/>
                <w:szCs w:val="21"/>
              </w:rPr>
              <w:t>252.5</w:t>
            </w:r>
          </w:p>
        </w:tc>
        <w:tc>
          <w:tcPr>
            <w:tcW w:w="1134" w:type="dxa"/>
            <w:vAlign w:val="center"/>
          </w:tcPr>
          <w:p>
            <w:pPr>
              <w:adjustRightInd w:val="0"/>
              <w:snapToGrid w:val="0"/>
              <w:spacing w:line="300" w:lineRule="auto"/>
              <w:jc w:val="both"/>
              <w:rPr>
                <w:sz w:val="21"/>
                <w:szCs w:val="21"/>
              </w:rPr>
            </w:pPr>
            <w:r>
              <w:rPr>
                <w:rFonts w:hint="eastAsia"/>
                <w:sz w:val="21"/>
                <w:szCs w:val="21"/>
              </w:rPr>
              <w:t>423.3</w:t>
            </w:r>
          </w:p>
        </w:tc>
        <w:tc>
          <w:tcPr>
            <w:tcW w:w="1134" w:type="dxa"/>
            <w:vAlign w:val="center"/>
          </w:tcPr>
          <w:p>
            <w:pPr>
              <w:adjustRightInd w:val="0"/>
              <w:snapToGrid w:val="0"/>
              <w:spacing w:line="300" w:lineRule="auto"/>
              <w:jc w:val="both"/>
              <w:rPr>
                <w:sz w:val="21"/>
                <w:szCs w:val="21"/>
              </w:rPr>
            </w:pPr>
            <w:r>
              <w:rPr>
                <w:rFonts w:hint="eastAsia"/>
                <w:sz w:val="21"/>
                <w:szCs w:val="21"/>
              </w:rPr>
              <w:t>19.5</w:t>
            </w:r>
          </w:p>
        </w:tc>
        <w:tc>
          <w:tcPr>
            <w:tcW w:w="1276" w:type="dxa"/>
            <w:vAlign w:val="center"/>
          </w:tcPr>
          <w:p>
            <w:pPr>
              <w:adjustRightInd w:val="0"/>
              <w:snapToGrid w:val="0"/>
              <w:spacing w:line="300" w:lineRule="auto"/>
              <w:jc w:val="both"/>
              <w:rPr>
                <w:sz w:val="21"/>
                <w:szCs w:val="21"/>
              </w:rPr>
            </w:pPr>
            <w:r>
              <w:rPr>
                <w:rFonts w:hint="eastAsia"/>
                <w:sz w:val="21"/>
                <w:szCs w:val="21"/>
              </w:rPr>
              <w:t>2817.1</w:t>
            </w:r>
          </w:p>
        </w:tc>
      </w:tr>
    </w:tbl>
    <w:p>
      <w:pPr>
        <w:pStyle w:val="4"/>
        <w:keepNext/>
        <w:keepLines/>
        <w:numPr>
          <w:ilvl w:val="0"/>
          <w:numId w:val="3"/>
        </w:numPr>
        <w:autoSpaceDE/>
        <w:autoSpaceDN/>
        <w:jc w:val="both"/>
        <w:rPr>
          <w:sz w:val="28"/>
        </w:rPr>
      </w:pPr>
      <w:bookmarkStart w:id="42" w:name="_Toc162615115"/>
      <w:r>
        <w:rPr>
          <w:sz w:val="28"/>
        </w:rPr>
        <w:t>厂址条件</w:t>
      </w:r>
      <w:bookmarkEnd w:id="42"/>
    </w:p>
    <w:p>
      <w:pPr>
        <w:ind w:firstLine="480" w:firstLineChars="200"/>
        <w:rPr>
          <w:sz w:val="24"/>
          <w:lang w:eastAsia="zh-CN"/>
        </w:rPr>
      </w:pPr>
      <w:r>
        <w:rPr>
          <w:rFonts w:hint="eastAsia"/>
          <w:sz w:val="24"/>
          <w:lang w:eastAsia="zh-CN"/>
        </w:rPr>
        <w:t>福海创公司</w:t>
      </w:r>
      <w:r>
        <w:rPr>
          <w:sz w:val="24"/>
          <w:lang w:eastAsia="zh-CN"/>
        </w:rPr>
        <w:t>位于漳州古雷港口经济区</w:t>
      </w:r>
      <w:r>
        <w:rPr>
          <w:rFonts w:hint="eastAsia"/>
          <w:sz w:val="24"/>
          <w:lang w:eastAsia="zh-CN"/>
        </w:rPr>
        <w:t>（</w:t>
      </w:r>
      <w:r>
        <w:rPr>
          <w:sz w:val="24"/>
          <w:lang w:eastAsia="zh-CN"/>
        </w:rPr>
        <w:t>位于福建省南端，东经117°30′～117°45′，北纬23°25′～24°</w:t>
      </w:r>
      <w:r>
        <w:rPr>
          <w:rFonts w:hint="eastAsia"/>
          <w:sz w:val="24"/>
          <w:lang w:eastAsia="zh-CN"/>
        </w:rPr>
        <w:t>）</w:t>
      </w:r>
      <w:r>
        <w:rPr>
          <w:sz w:val="24"/>
          <w:lang w:eastAsia="zh-CN"/>
        </w:rPr>
        <w:t>，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pPr>
        <w:pStyle w:val="4"/>
        <w:keepNext/>
        <w:keepLines/>
        <w:numPr>
          <w:ilvl w:val="0"/>
          <w:numId w:val="3"/>
        </w:numPr>
        <w:autoSpaceDE/>
        <w:autoSpaceDN/>
        <w:jc w:val="both"/>
        <w:rPr>
          <w:sz w:val="28"/>
        </w:rPr>
      </w:pPr>
      <w:bookmarkStart w:id="43" w:name="_Toc162615116"/>
      <w:r>
        <w:rPr>
          <w:sz w:val="28"/>
        </w:rPr>
        <w:t>气象条件</w:t>
      </w:r>
      <w:bookmarkEnd w:id="43"/>
    </w:p>
    <w:p>
      <w:pPr>
        <w:ind w:firstLine="480" w:firstLineChars="200"/>
        <w:rPr>
          <w:sz w:val="24"/>
          <w:lang w:eastAsia="zh-CN"/>
        </w:rPr>
      </w:pPr>
      <w:r>
        <w:rPr>
          <w:sz w:val="24"/>
          <w:lang w:eastAsia="zh-CN"/>
        </w:rPr>
        <w:t>本项目所在地属南亚热带季风性气候，冬无严寒，夏无酷暑。年平均气温为21.3℃；年平均降水1327.4mm，雨季集中在5~8月；多年平均湿度为80%；常年主导风向为东北风；7~9月受台风影响频率最高。</w:t>
      </w:r>
    </w:p>
    <w:p>
      <w:pPr>
        <w:ind w:firstLine="480" w:firstLineChars="200"/>
        <w:rPr>
          <w:sz w:val="24"/>
          <w:lang w:eastAsia="zh-CN"/>
        </w:rPr>
      </w:pPr>
      <w:r>
        <w:rPr>
          <w:sz w:val="24"/>
          <w:lang w:eastAsia="zh-CN"/>
        </w:rPr>
        <w:t>气象台位置：东山县（“城关建国楼”117°30’，E；23°47’，N），1952～1980年实测统计资料：</w:t>
      </w:r>
    </w:p>
    <w:p>
      <w:pPr>
        <w:ind w:firstLine="480" w:firstLineChars="200"/>
        <w:rPr>
          <w:sz w:val="24"/>
        </w:rPr>
      </w:pPr>
      <w:r>
        <w:rPr>
          <w:sz w:val="24"/>
        </w:rPr>
        <w:t>1）气温</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4"/>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年平均大气温度</w:t>
            </w:r>
          </w:p>
        </w:tc>
        <w:tc>
          <w:tcPr>
            <w:tcW w:w="4575" w:type="dxa"/>
            <w:vAlign w:val="center"/>
          </w:tcPr>
          <w:p>
            <w:pPr>
              <w:rPr>
                <w:sz w:val="24"/>
              </w:rPr>
            </w:pPr>
            <w:r>
              <w:rPr>
                <w:sz w:val="24"/>
              </w:rPr>
              <w:t>21.3</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最高月平均气温</w:t>
            </w:r>
          </w:p>
        </w:tc>
        <w:tc>
          <w:tcPr>
            <w:tcW w:w="4575" w:type="dxa"/>
            <w:vAlign w:val="center"/>
          </w:tcPr>
          <w:p>
            <w:pPr>
              <w:rPr>
                <w:sz w:val="24"/>
              </w:rPr>
            </w:pPr>
            <w:r>
              <w:rPr>
                <w:sz w:val="24"/>
              </w:rPr>
              <w:t>28.8</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极端最高气温</w:t>
            </w:r>
          </w:p>
        </w:tc>
        <w:tc>
          <w:tcPr>
            <w:tcW w:w="4575" w:type="dxa"/>
            <w:vAlign w:val="center"/>
          </w:tcPr>
          <w:p>
            <w:pPr>
              <w:rPr>
                <w:sz w:val="24"/>
              </w:rPr>
            </w:pPr>
            <w:r>
              <w:rPr>
                <w:sz w:val="24"/>
              </w:rPr>
              <w:t>38.2</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最低月平均气温</w:t>
            </w:r>
          </w:p>
        </w:tc>
        <w:tc>
          <w:tcPr>
            <w:tcW w:w="4575" w:type="dxa"/>
            <w:vAlign w:val="center"/>
          </w:tcPr>
          <w:p>
            <w:pPr>
              <w:rPr>
                <w:sz w:val="24"/>
              </w:rPr>
            </w:pPr>
            <w:r>
              <w:rPr>
                <w:sz w:val="24"/>
              </w:rPr>
              <w:t>12.1</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极端最低气温</w:t>
            </w:r>
          </w:p>
        </w:tc>
        <w:tc>
          <w:tcPr>
            <w:tcW w:w="4575" w:type="dxa"/>
            <w:vAlign w:val="center"/>
          </w:tcPr>
          <w:p>
            <w:pPr>
              <w:rPr>
                <w:sz w:val="24"/>
              </w:rPr>
            </w:pPr>
            <w:r>
              <w:rPr>
                <w:sz w:val="24"/>
              </w:rPr>
              <w:t>4.7</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spacing w:line="240" w:lineRule="atLeast"/>
              <w:rPr>
                <w:sz w:val="24"/>
                <w:lang w:eastAsia="zh-CN"/>
              </w:rPr>
            </w:pPr>
            <w:r>
              <w:rPr>
                <w:rFonts w:hint="eastAsia"/>
                <w:sz w:val="24"/>
                <w:lang w:eastAsia="zh-CN"/>
              </w:rPr>
              <w:t>最热月的日最高大气温度的平均值</w:t>
            </w:r>
          </w:p>
        </w:tc>
        <w:tc>
          <w:tcPr>
            <w:tcW w:w="4575" w:type="dxa"/>
            <w:vAlign w:val="center"/>
          </w:tcPr>
          <w:p>
            <w:pPr>
              <w:rPr>
                <w:sz w:val="24"/>
              </w:rPr>
            </w:pPr>
            <w:r>
              <w:rPr>
                <w:sz w:val="24"/>
              </w:rPr>
              <w:t>31.6</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年最高气温日数</w:t>
            </w:r>
          </w:p>
        </w:tc>
        <w:tc>
          <w:tcPr>
            <w:tcW w:w="4575" w:type="dxa"/>
            <w:vAlign w:val="center"/>
          </w:tcPr>
          <w:p>
            <w:pPr>
              <w:rPr>
                <w:sz w:val="24"/>
              </w:rPr>
            </w:pPr>
            <w:r>
              <w:rPr>
                <w:sz w:val="24"/>
              </w:rPr>
              <w:t>≥30</w:t>
            </w:r>
            <w:r>
              <w:rPr>
                <w:rFonts w:hint="eastAsia"/>
                <w:sz w:val="24"/>
              </w:rPr>
              <w:t>℃，平均每年</w:t>
            </w:r>
            <w:r>
              <w:rPr>
                <w:sz w:val="24"/>
              </w:rPr>
              <w:t>81d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p>
        </w:tc>
        <w:tc>
          <w:tcPr>
            <w:tcW w:w="4575" w:type="dxa"/>
            <w:vAlign w:val="center"/>
          </w:tcPr>
          <w:p>
            <w:pPr>
              <w:rPr>
                <w:sz w:val="24"/>
              </w:rPr>
            </w:pPr>
            <w:r>
              <w:rPr>
                <w:sz w:val="24"/>
              </w:rPr>
              <w:t>≥35</w:t>
            </w:r>
            <w:r>
              <w:rPr>
                <w:rFonts w:hint="eastAsia"/>
                <w:sz w:val="24"/>
              </w:rPr>
              <w:t>℃，平均每年</w:t>
            </w:r>
            <w:r>
              <w:rPr>
                <w:sz w:val="24"/>
              </w:rPr>
              <w:t>0.65d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5" w:type="dxa"/>
            <w:vAlign w:val="center"/>
          </w:tcPr>
          <w:p>
            <w:pPr>
              <w:rPr>
                <w:sz w:val="24"/>
              </w:rPr>
            </w:pPr>
            <w:r>
              <w:rPr>
                <w:rFonts w:hint="eastAsia"/>
                <w:sz w:val="24"/>
              </w:rPr>
              <w:t>无霜期</w:t>
            </w:r>
          </w:p>
        </w:tc>
        <w:tc>
          <w:tcPr>
            <w:tcW w:w="4575" w:type="dxa"/>
            <w:vAlign w:val="center"/>
          </w:tcPr>
          <w:p>
            <w:pPr>
              <w:rPr>
                <w:sz w:val="24"/>
              </w:rPr>
            </w:pPr>
            <w:r>
              <w:rPr>
                <w:sz w:val="24"/>
              </w:rPr>
              <w:t>365</w:t>
            </w:r>
            <w:r>
              <w:rPr>
                <w:rFonts w:hint="eastAsia"/>
                <w:sz w:val="24"/>
              </w:rPr>
              <w:t>天</w:t>
            </w:r>
            <w:r>
              <w:rPr>
                <w:sz w:val="24"/>
              </w:rPr>
              <w:t>/</w:t>
            </w:r>
            <w:r>
              <w:rPr>
                <w:rFonts w:hint="eastAsia"/>
                <w:sz w:val="24"/>
              </w:rPr>
              <w:t>年</w:t>
            </w:r>
          </w:p>
        </w:tc>
      </w:tr>
    </w:tbl>
    <w:p>
      <w:pPr>
        <w:ind w:firstLine="480" w:firstLineChars="200"/>
        <w:rPr>
          <w:sz w:val="24"/>
        </w:rPr>
      </w:pPr>
      <w:r>
        <w:rPr>
          <w:sz w:val="24"/>
        </w:rPr>
        <w:t>2）降水</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1"/>
        <w:gridCol w:w="4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多年平均年降水量</w:t>
            </w:r>
          </w:p>
        </w:tc>
        <w:tc>
          <w:tcPr>
            <w:tcW w:w="4573" w:type="dxa"/>
            <w:vAlign w:val="center"/>
          </w:tcPr>
          <w:p>
            <w:pPr>
              <w:rPr>
                <w:sz w:val="24"/>
              </w:rPr>
            </w:pPr>
            <w:r>
              <w:rPr>
                <w:sz w:val="24"/>
              </w:rPr>
              <w:t>1327.4</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历年最多年降水量</w:t>
            </w:r>
          </w:p>
        </w:tc>
        <w:tc>
          <w:tcPr>
            <w:tcW w:w="4573" w:type="dxa"/>
            <w:vAlign w:val="center"/>
          </w:tcPr>
          <w:p>
            <w:pPr>
              <w:rPr>
                <w:sz w:val="24"/>
              </w:rPr>
            </w:pPr>
            <w:r>
              <w:rPr>
                <w:sz w:val="24"/>
              </w:rPr>
              <w:t>2125.6</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历年最少年降水量</w:t>
            </w:r>
          </w:p>
        </w:tc>
        <w:tc>
          <w:tcPr>
            <w:tcW w:w="4573" w:type="dxa"/>
            <w:vAlign w:val="center"/>
          </w:tcPr>
          <w:p>
            <w:pPr>
              <w:rPr>
                <w:sz w:val="24"/>
              </w:rPr>
            </w:pPr>
            <w:r>
              <w:rPr>
                <w:sz w:val="24"/>
              </w:rPr>
              <w:t>788.8</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历年最多月降水量</w:t>
            </w:r>
          </w:p>
        </w:tc>
        <w:tc>
          <w:tcPr>
            <w:tcW w:w="4573" w:type="dxa"/>
            <w:vAlign w:val="center"/>
          </w:tcPr>
          <w:p>
            <w:pPr>
              <w:rPr>
                <w:sz w:val="24"/>
              </w:rPr>
            </w:pPr>
            <w:r>
              <w:rPr>
                <w:sz w:val="24"/>
              </w:rPr>
              <w:t>676.2</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历年最多日降水量</w:t>
            </w:r>
          </w:p>
        </w:tc>
        <w:tc>
          <w:tcPr>
            <w:tcW w:w="4573" w:type="dxa"/>
            <w:vAlign w:val="center"/>
          </w:tcPr>
          <w:p>
            <w:pPr>
              <w:rPr>
                <w:sz w:val="24"/>
              </w:rPr>
            </w:pPr>
            <w:r>
              <w:rPr>
                <w:sz w:val="24"/>
              </w:rPr>
              <w:t>310.5</w:t>
            </w:r>
            <w:r>
              <w:rPr>
                <w:rFonts w:hint="eastAsia"/>
                <w:sz w:val="24"/>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年平均降水日数</w:t>
            </w:r>
          </w:p>
        </w:tc>
        <w:tc>
          <w:tcPr>
            <w:tcW w:w="4573" w:type="dxa"/>
            <w:vAlign w:val="center"/>
          </w:tcPr>
          <w:p>
            <w:pPr>
              <w:rPr>
                <w:sz w:val="24"/>
              </w:rPr>
            </w:pPr>
            <w:r>
              <w:rPr>
                <w:sz w:val="24"/>
              </w:rPr>
              <w:t>103.7</w:t>
            </w:r>
            <w:r>
              <w:rPr>
                <w:rFonts w:hint="eastAsia"/>
                <w:sz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7" w:type="dxa"/>
            <w:vAlign w:val="center"/>
          </w:tcPr>
          <w:p>
            <w:pPr>
              <w:rPr>
                <w:sz w:val="24"/>
              </w:rPr>
            </w:pPr>
            <w:r>
              <w:rPr>
                <w:rFonts w:hint="eastAsia"/>
                <w:sz w:val="24"/>
              </w:rPr>
              <w:t>全年</w:t>
            </w:r>
            <w:r>
              <w:rPr>
                <w:sz w:val="24"/>
              </w:rPr>
              <w:t>≥25</w:t>
            </w:r>
            <w:r>
              <w:rPr>
                <w:rFonts w:hint="eastAsia"/>
                <w:sz w:val="24"/>
              </w:rPr>
              <w:t>毫米降水日数</w:t>
            </w:r>
          </w:p>
        </w:tc>
        <w:tc>
          <w:tcPr>
            <w:tcW w:w="4573" w:type="dxa"/>
            <w:vAlign w:val="center"/>
          </w:tcPr>
          <w:p>
            <w:pPr>
              <w:rPr>
                <w:sz w:val="24"/>
              </w:rPr>
            </w:pPr>
            <w:r>
              <w:rPr>
                <w:rFonts w:hint="eastAsia"/>
                <w:sz w:val="24"/>
              </w:rPr>
              <w:t>平均为</w:t>
            </w:r>
            <w:r>
              <w:rPr>
                <w:sz w:val="24"/>
              </w:rPr>
              <w:t>18</w:t>
            </w:r>
            <w:r>
              <w:rPr>
                <w:rFonts w:hint="eastAsia"/>
                <w:sz w:val="24"/>
              </w:rPr>
              <w:t>天</w:t>
            </w:r>
            <w:r>
              <w:rPr>
                <w:sz w:val="24"/>
              </w:rPr>
              <w:t>(2003</w:t>
            </w:r>
            <w:r>
              <w:rPr>
                <w:rFonts w:hint="eastAsia"/>
                <w:sz w:val="24"/>
              </w:rPr>
              <w:t>年</w:t>
            </w:r>
            <w:r>
              <w:rPr>
                <w:sz w:val="24"/>
              </w:rPr>
              <w:t>~2007</w:t>
            </w:r>
            <w:r>
              <w:rPr>
                <w:rFonts w:hint="eastAsia"/>
                <w:sz w:val="24"/>
              </w:rPr>
              <w:t>年</w:t>
            </w:r>
            <w:r>
              <w:rPr>
                <w:sz w:val="24"/>
              </w:rPr>
              <w:t>)</w:t>
            </w:r>
          </w:p>
        </w:tc>
      </w:tr>
    </w:tbl>
    <w:p>
      <w:pPr>
        <w:ind w:firstLine="480" w:firstLineChars="200"/>
        <w:rPr>
          <w:sz w:val="24"/>
        </w:rPr>
      </w:pPr>
      <w:r>
        <w:rPr>
          <w:sz w:val="24"/>
        </w:rPr>
        <w:t>3）风</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3"/>
        <w:gridCol w:w="4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多年平均风速</w:t>
            </w:r>
          </w:p>
        </w:tc>
        <w:tc>
          <w:tcPr>
            <w:tcW w:w="4596" w:type="dxa"/>
            <w:vAlign w:val="center"/>
          </w:tcPr>
          <w:p>
            <w:pPr>
              <w:rPr>
                <w:sz w:val="24"/>
              </w:rPr>
            </w:pPr>
            <w:r>
              <w:rPr>
                <w:sz w:val="24"/>
              </w:rPr>
              <w:t>5.5</w:t>
            </w:r>
            <w:r>
              <w:rPr>
                <w:rFonts w:hint="eastAsia"/>
                <w:sz w:val="24"/>
              </w:rPr>
              <w:t>米</w:t>
            </w:r>
            <w:r>
              <w:rPr>
                <w:sz w:val="24"/>
              </w:rPr>
              <w:t>/</w:t>
            </w:r>
            <w:r>
              <w:rPr>
                <w:rFonts w:hint="eastAsia"/>
                <w:sz w:val="24"/>
              </w:rPr>
              <w:t>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夏季平均风速</w:t>
            </w:r>
          </w:p>
        </w:tc>
        <w:tc>
          <w:tcPr>
            <w:tcW w:w="4596" w:type="dxa"/>
            <w:vAlign w:val="center"/>
          </w:tcPr>
          <w:p>
            <w:pPr>
              <w:rPr>
                <w:sz w:val="24"/>
                <w:lang w:eastAsia="zh-CN"/>
              </w:rPr>
            </w:pPr>
            <w:r>
              <w:rPr>
                <w:sz w:val="24"/>
                <w:lang w:eastAsia="zh-CN"/>
              </w:rPr>
              <w:t>3.9</w:t>
            </w:r>
            <w:r>
              <w:rPr>
                <w:rFonts w:hint="eastAsia"/>
                <w:sz w:val="24"/>
                <w:lang w:eastAsia="zh-CN"/>
              </w:rPr>
              <w:t>米</w:t>
            </w:r>
            <w:r>
              <w:rPr>
                <w:sz w:val="24"/>
                <w:lang w:eastAsia="zh-CN"/>
              </w:rPr>
              <w:t>/</w:t>
            </w:r>
            <w:r>
              <w:rPr>
                <w:rFonts w:hint="eastAsia"/>
                <w:sz w:val="24"/>
                <w:lang w:eastAsia="zh-CN"/>
              </w:rPr>
              <w:t>秒（</w:t>
            </w:r>
            <w:r>
              <w:rPr>
                <w:sz w:val="24"/>
                <w:lang w:eastAsia="zh-CN"/>
              </w:rPr>
              <w:t>10m</w:t>
            </w:r>
            <w:r>
              <w:rPr>
                <w:rFonts w:hint="eastAsia"/>
                <w:sz w:val="24"/>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冬季平均风速</w:t>
            </w:r>
          </w:p>
        </w:tc>
        <w:tc>
          <w:tcPr>
            <w:tcW w:w="4596" w:type="dxa"/>
            <w:vAlign w:val="center"/>
          </w:tcPr>
          <w:p>
            <w:pPr>
              <w:rPr>
                <w:sz w:val="24"/>
                <w:lang w:eastAsia="zh-CN"/>
              </w:rPr>
            </w:pPr>
            <w:r>
              <w:rPr>
                <w:sz w:val="24"/>
                <w:lang w:eastAsia="zh-CN"/>
              </w:rPr>
              <w:t>6.9</w:t>
            </w:r>
            <w:r>
              <w:rPr>
                <w:rFonts w:hint="eastAsia"/>
                <w:sz w:val="24"/>
                <w:lang w:eastAsia="zh-CN"/>
              </w:rPr>
              <w:t>米</w:t>
            </w:r>
            <w:r>
              <w:rPr>
                <w:sz w:val="24"/>
                <w:lang w:eastAsia="zh-CN"/>
              </w:rPr>
              <w:t>/</w:t>
            </w:r>
            <w:r>
              <w:rPr>
                <w:rFonts w:hint="eastAsia"/>
                <w:sz w:val="24"/>
                <w:lang w:eastAsia="zh-CN"/>
              </w:rPr>
              <w:t>秒（</w:t>
            </w:r>
            <w:r>
              <w:rPr>
                <w:sz w:val="24"/>
                <w:lang w:eastAsia="zh-CN"/>
              </w:rPr>
              <w:t>10m</w:t>
            </w:r>
            <w:r>
              <w:rPr>
                <w:rFonts w:hint="eastAsia"/>
                <w:sz w:val="24"/>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基本风压值</w:t>
            </w:r>
          </w:p>
        </w:tc>
        <w:tc>
          <w:tcPr>
            <w:tcW w:w="4596" w:type="dxa"/>
            <w:vAlign w:val="center"/>
          </w:tcPr>
          <w:p>
            <w:pPr>
              <w:rPr>
                <w:sz w:val="24"/>
              </w:rPr>
            </w:pPr>
            <w:r>
              <w:rPr>
                <w:rFonts w:hint="eastAsia"/>
                <w:sz w:val="24"/>
              </w:rPr>
              <w:t>不小于1.2</w:t>
            </w:r>
            <w:r>
              <w:rPr>
                <w:sz w:val="24"/>
              </w:rPr>
              <w:t>kN/m2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864" w:type="dxa"/>
            <w:vAlign w:val="center"/>
          </w:tcPr>
          <w:p>
            <w:pPr>
              <w:rPr>
                <w:sz w:val="24"/>
              </w:rPr>
            </w:pPr>
          </w:p>
        </w:tc>
        <w:tc>
          <w:tcPr>
            <w:tcW w:w="4596" w:type="dxa"/>
            <w:vAlign w:val="center"/>
          </w:tcPr>
          <w:p>
            <w:pPr>
              <w:spacing w:line="240" w:lineRule="atLeast"/>
              <w:rPr>
                <w:sz w:val="24"/>
                <w:lang w:eastAsia="zh-CN"/>
              </w:rPr>
            </w:pPr>
            <w:r>
              <w:rPr>
                <w:rFonts w:hint="eastAsia"/>
                <w:sz w:val="24"/>
                <w:lang w:eastAsia="zh-CN"/>
              </w:rPr>
              <w:t>注：设计单位可按1.2</w:t>
            </w:r>
            <w:r>
              <w:rPr>
                <w:sz w:val="24"/>
                <w:lang w:eastAsia="zh-CN"/>
              </w:rPr>
              <w:t>kN/m2</w:t>
            </w:r>
            <w:r>
              <w:rPr>
                <w:rFonts w:hint="eastAsia"/>
                <w:sz w:val="24"/>
                <w:lang w:eastAsia="zh-CN"/>
              </w:rPr>
              <w:t>设计，但需考虑建设项目实际情况和建筑结构荷载规范</w:t>
            </w:r>
            <w:r>
              <w:rPr>
                <w:sz w:val="24"/>
                <w:lang w:eastAsia="zh-CN"/>
              </w:rPr>
              <w:t>GB50009-2001</w:t>
            </w:r>
            <w:r>
              <w:rPr>
                <w:rFonts w:hint="eastAsia"/>
                <w:sz w:val="24"/>
                <w:lang w:eastAsia="zh-CN"/>
              </w:rPr>
              <w:t>（</w:t>
            </w:r>
            <w:r>
              <w:rPr>
                <w:sz w:val="24"/>
                <w:lang w:eastAsia="zh-CN"/>
              </w:rPr>
              <w:t>2006</w:t>
            </w:r>
            <w:r>
              <w:rPr>
                <w:rFonts w:hint="eastAsia"/>
                <w:sz w:val="24"/>
                <w:lang w:eastAsia="zh-CN"/>
              </w:rPr>
              <w:t>版）等有关设计规范适当调整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64" w:type="dxa"/>
            <w:vAlign w:val="center"/>
          </w:tcPr>
          <w:p>
            <w:pPr>
              <w:rPr>
                <w:sz w:val="24"/>
              </w:rPr>
            </w:pPr>
            <w:r>
              <w:rPr>
                <w:rFonts w:hint="eastAsia"/>
                <w:sz w:val="24"/>
              </w:rPr>
              <w:t>主导风向</w:t>
            </w:r>
          </w:p>
        </w:tc>
        <w:tc>
          <w:tcPr>
            <w:tcW w:w="4596" w:type="dxa"/>
            <w:vAlign w:val="center"/>
          </w:tcPr>
          <w:p>
            <w:pPr>
              <w:rPr>
                <w:sz w:val="24"/>
              </w:rPr>
            </w:pPr>
            <w:r>
              <w:rPr>
                <w:rFonts w:hint="eastAsia"/>
                <w:sz w:val="24"/>
              </w:rPr>
              <w:t>东北，北北东</w:t>
            </w:r>
          </w:p>
        </w:tc>
      </w:tr>
    </w:tbl>
    <w:p>
      <w:pPr>
        <w:ind w:firstLine="480" w:firstLineChars="200"/>
        <w:rPr>
          <w:sz w:val="24"/>
        </w:rPr>
      </w:pPr>
      <w:r>
        <w:rPr>
          <w:sz w:val="24"/>
        </w:rPr>
        <w:t>4）台风</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1"/>
        <w:gridCol w:w="4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年台风次数</w:t>
            </w:r>
          </w:p>
        </w:tc>
        <w:tc>
          <w:tcPr>
            <w:tcW w:w="4572" w:type="dxa"/>
            <w:vAlign w:val="center"/>
          </w:tcPr>
          <w:p>
            <w:pPr>
              <w:rPr>
                <w:sz w:val="24"/>
              </w:rPr>
            </w:pPr>
            <w:r>
              <w:rPr>
                <w:sz w:val="24"/>
              </w:rPr>
              <w:t>5.9</w:t>
            </w:r>
            <w:r>
              <w:rPr>
                <w:rFonts w:hint="eastAsia"/>
                <w:sz w:val="24"/>
              </w:rPr>
              <w:t>次</w:t>
            </w:r>
            <w:r>
              <w:rPr>
                <w:sz w:val="24"/>
              </w:rPr>
              <w:t>/</w:t>
            </w:r>
            <w:r>
              <w:rPr>
                <w:rFonts w:hint="eastAsia"/>
                <w:sz w:val="24"/>
              </w:rPr>
              <w:t>年平均（</w:t>
            </w:r>
            <w:r>
              <w:rPr>
                <w:sz w:val="24"/>
              </w:rPr>
              <w:t>1951</w:t>
            </w:r>
            <w:r>
              <w:rPr>
                <w:rFonts w:hint="eastAsia"/>
                <w:sz w:val="24"/>
              </w:rPr>
              <w:t>年</w:t>
            </w:r>
            <w:r>
              <w:rPr>
                <w:sz w:val="24"/>
              </w:rPr>
              <w:t>~2000</w:t>
            </w:r>
            <w:r>
              <w:rPr>
                <w:rFonts w:hint="eastAsia"/>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spacing w:line="240" w:lineRule="atLeast"/>
              <w:rPr>
                <w:sz w:val="24"/>
                <w:lang w:eastAsia="zh-CN"/>
              </w:rPr>
            </w:pPr>
            <w:r>
              <w:rPr>
                <w:rFonts w:hint="eastAsia"/>
                <w:sz w:val="24"/>
                <w:lang w:eastAsia="zh-CN"/>
              </w:rPr>
              <w:t>最大瞬间风速（东山近</w:t>
            </w:r>
            <w:r>
              <w:rPr>
                <w:sz w:val="24"/>
                <w:lang w:eastAsia="zh-CN"/>
              </w:rPr>
              <w:t>20</w:t>
            </w:r>
            <w:r>
              <w:rPr>
                <w:rFonts w:hint="eastAsia"/>
                <w:sz w:val="24"/>
                <w:lang w:eastAsia="zh-CN"/>
              </w:rPr>
              <w:t>年资料）</w:t>
            </w:r>
          </w:p>
        </w:tc>
        <w:tc>
          <w:tcPr>
            <w:tcW w:w="4572" w:type="dxa"/>
            <w:vAlign w:val="center"/>
          </w:tcPr>
          <w:p>
            <w:pPr>
              <w:rPr>
                <w:sz w:val="24"/>
              </w:rPr>
            </w:pPr>
            <w:r>
              <w:rPr>
                <w:sz w:val="24"/>
              </w:rPr>
              <w:t>48m/s</w:t>
            </w:r>
            <w:r>
              <w:rPr>
                <w:rFonts w:hint="eastAsia"/>
                <w:sz w:val="24"/>
              </w:rPr>
              <w:t>（</w:t>
            </w:r>
            <w:r>
              <w:rPr>
                <w:sz w:val="24"/>
              </w:rPr>
              <w:t>1980</w:t>
            </w:r>
            <w:r>
              <w:rPr>
                <w:rFonts w:hint="eastAsia"/>
                <w:sz w:val="24"/>
              </w:rPr>
              <w:t>年</w:t>
            </w:r>
            <w:r>
              <w:rPr>
                <w:sz w:val="24"/>
              </w:rPr>
              <w:t>9</w:t>
            </w:r>
            <w:r>
              <w:rPr>
                <w:rFonts w:hint="eastAsia"/>
                <w:sz w:val="24"/>
              </w:rPr>
              <w:t>月</w:t>
            </w:r>
            <w:r>
              <w:rPr>
                <w:sz w:val="24"/>
              </w:rPr>
              <w:t>19</w:t>
            </w:r>
            <w:r>
              <w:rPr>
                <w:rFonts w:hint="eastAsia"/>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p>
        </w:tc>
        <w:tc>
          <w:tcPr>
            <w:tcW w:w="4572" w:type="dxa"/>
            <w:vAlign w:val="center"/>
          </w:tcPr>
          <w:p>
            <w:pPr>
              <w:rPr>
                <w:sz w:val="24"/>
              </w:rPr>
            </w:pPr>
            <w:r>
              <w:rPr>
                <w:sz w:val="24"/>
              </w:rPr>
              <w:t>37.6m/s</w:t>
            </w:r>
            <w:r>
              <w:rPr>
                <w:rFonts w:hint="eastAsia"/>
                <w:sz w:val="24"/>
              </w:rPr>
              <w:t>（</w:t>
            </w:r>
            <w:r>
              <w:rPr>
                <w:sz w:val="24"/>
              </w:rPr>
              <w:t>2006</w:t>
            </w:r>
            <w:r>
              <w:rPr>
                <w:rFonts w:hint="eastAsia"/>
                <w:sz w:val="24"/>
              </w:rPr>
              <w:t>年</w:t>
            </w:r>
            <w:r>
              <w:rPr>
                <w:sz w:val="24"/>
              </w:rPr>
              <w:t>5</w:t>
            </w:r>
            <w:r>
              <w:rPr>
                <w:rFonts w:hint="eastAsia"/>
                <w:sz w:val="24"/>
              </w:rPr>
              <w:t>月</w:t>
            </w:r>
            <w:r>
              <w:rPr>
                <w:sz w:val="24"/>
              </w:rPr>
              <w:t>17</w:t>
            </w:r>
            <w:r>
              <w:rPr>
                <w:rFonts w:hint="eastAsia"/>
                <w:sz w:val="24"/>
              </w:rPr>
              <w:t>日）</w:t>
            </w:r>
          </w:p>
        </w:tc>
      </w:tr>
    </w:tbl>
    <w:p>
      <w:pPr>
        <w:ind w:firstLine="480" w:firstLineChars="200"/>
        <w:rPr>
          <w:sz w:val="24"/>
        </w:rPr>
      </w:pPr>
      <w:r>
        <w:rPr>
          <w:sz w:val="24"/>
        </w:rPr>
        <w:t>5）雾</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2"/>
        <w:gridCol w:w="4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多年平均雾日数</w:t>
            </w:r>
          </w:p>
        </w:tc>
        <w:tc>
          <w:tcPr>
            <w:tcW w:w="4572" w:type="dxa"/>
            <w:vAlign w:val="center"/>
          </w:tcPr>
          <w:p>
            <w:pPr>
              <w:rPr>
                <w:sz w:val="24"/>
              </w:rPr>
            </w:pPr>
            <w:r>
              <w:rPr>
                <w:sz w:val="24"/>
              </w:rPr>
              <w:t>22.5</w:t>
            </w:r>
            <w:r>
              <w:rPr>
                <w:rFonts w:hint="eastAsia"/>
                <w:sz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最多年雾日数</w:t>
            </w:r>
          </w:p>
        </w:tc>
        <w:tc>
          <w:tcPr>
            <w:tcW w:w="4572" w:type="dxa"/>
            <w:vAlign w:val="center"/>
          </w:tcPr>
          <w:p>
            <w:pPr>
              <w:rPr>
                <w:sz w:val="24"/>
              </w:rPr>
            </w:pPr>
            <w:r>
              <w:rPr>
                <w:sz w:val="24"/>
              </w:rPr>
              <w:t>39</w:t>
            </w:r>
            <w:r>
              <w:rPr>
                <w:rFonts w:hint="eastAsia"/>
                <w:sz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pPr>
              <w:rPr>
                <w:sz w:val="24"/>
              </w:rPr>
            </w:pPr>
            <w:r>
              <w:rPr>
                <w:rFonts w:hint="eastAsia"/>
                <w:sz w:val="24"/>
              </w:rPr>
              <w:t>多雾月份</w:t>
            </w:r>
          </w:p>
        </w:tc>
        <w:tc>
          <w:tcPr>
            <w:tcW w:w="4572" w:type="dxa"/>
            <w:vAlign w:val="center"/>
          </w:tcPr>
          <w:p>
            <w:pPr>
              <w:rPr>
                <w:sz w:val="24"/>
              </w:rPr>
            </w:pPr>
            <w:r>
              <w:rPr>
                <w:sz w:val="24"/>
              </w:rPr>
              <w:t>2~4</w:t>
            </w:r>
            <w:r>
              <w:rPr>
                <w:rFonts w:hint="eastAsia"/>
                <w:sz w:val="24"/>
              </w:rPr>
              <w:t>月</w:t>
            </w:r>
          </w:p>
        </w:tc>
      </w:tr>
    </w:tbl>
    <w:p>
      <w:pPr>
        <w:ind w:firstLine="480" w:firstLineChars="200"/>
        <w:rPr>
          <w:sz w:val="24"/>
        </w:rPr>
      </w:pPr>
      <w:r>
        <w:rPr>
          <w:sz w:val="24"/>
        </w:rPr>
        <w:t>6）相对湿度</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7"/>
        <w:gridCol w:w="1067"/>
        <w:gridCol w:w="3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多年平均相对湿度</w:t>
            </w:r>
          </w:p>
        </w:tc>
        <w:tc>
          <w:tcPr>
            <w:tcW w:w="4563" w:type="dxa"/>
            <w:gridSpan w:val="2"/>
            <w:vAlign w:val="center"/>
          </w:tcPr>
          <w:p>
            <w:pPr>
              <w:rPr>
                <w:sz w:val="24"/>
              </w:rPr>
            </w:pPr>
            <w:r>
              <w:rPr>
                <w:sz w:val="24"/>
              </w:rPr>
              <w:t>80</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夏季相对湿度</w:t>
            </w:r>
          </w:p>
        </w:tc>
        <w:tc>
          <w:tcPr>
            <w:tcW w:w="4563" w:type="dxa"/>
            <w:gridSpan w:val="2"/>
            <w:vAlign w:val="center"/>
          </w:tcPr>
          <w:p>
            <w:pPr>
              <w:rPr>
                <w:sz w:val="24"/>
              </w:rPr>
            </w:pPr>
            <w:r>
              <w:rPr>
                <w:sz w:val="24"/>
              </w:rPr>
              <w:t>85.7</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冬季相对湿度</w:t>
            </w:r>
          </w:p>
        </w:tc>
        <w:tc>
          <w:tcPr>
            <w:tcW w:w="4563" w:type="dxa"/>
            <w:gridSpan w:val="2"/>
            <w:vAlign w:val="center"/>
          </w:tcPr>
          <w:p>
            <w:pPr>
              <w:rPr>
                <w:sz w:val="24"/>
              </w:rPr>
            </w:pPr>
            <w:r>
              <w:rPr>
                <w:sz w:val="24"/>
              </w:rPr>
              <w:t>77.3</w:t>
            </w:r>
            <w:r>
              <w:rPr>
                <w:rFonts w:hint="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lang w:eastAsia="zh-CN"/>
              </w:rPr>
            </w:pPr>
            <w:r>
              <w:rPr>
                <w:rFonts w:hint="eastAsia"/>
                <w:sz w:val="24"/>
                <w:lang w:eastAsia="zh-CN"/>
              </w:rPr>
              <w:t>夏天最热时间相对湿度</w:t>
            </w:r>
          </w:p>
        </w:tc>
        <w:tc>
          <w:tcPr>
            <w:tcW w:w="4563" w:type="dxa"/>
            <w:gridSpan w:val="2"/>
            <w:vAlign w:val="center"/>
          </w:tcPr>
          <w:p>
            <w:pPr>
              <w:rPr>
                <w:sz w:val="24"/>
              </w:rPr>
            </w:pPr>
            <w:r>
              <w:rPr>
                <w:sz w:val="24"/>
              </w:rPr>
              <w:t>75</w:t>
            </w:r>
            <w:r>
              <w:rPr>
                <w:rFonts w:hint="eastAsia"/>
                <w:sz w:val="24"/>
              </w:rPr>
              <w:t>％</w:t>
            </w:r>
            <w:r>
              <w:rPr>
                <w:sz w:val="24"/>
              </w:rPr>
              <w:t>(13</w:t>
            </w:r>
            <w:r>
              <w:rPr>
                <w:rFonts w:hint="eastAsia"/>
                <w:sz w:val="24"/>
              </w:rPr>
              <w:t>～</w:t>
            </w:r>
            <w:r>
              <w:rPr>
                <w:sz w:val="24"/>
              </w:rPr>
              <w:t>14</w:t>
            </w:r>
            <w:r>
              <w:rPr>
                <w:rFonts w:hint="eastAsia"/>
                <w:sz w:val="24"/>
              </w:rPr>
              <w:t>时</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最大相对湿度</w:t>
            </w:r>
          </w:p>
        </w:tc>
        <w:tc>
          <w:tcPr>
            <w:tcW w:w="4563" w:type="dxa"/>
            <w:gridSpan w:val="2"/>
            <w:vAlign w:val="center"/>
          </w:tcPr>
          <w:p>
            <w:pPr>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97" w:type="dxa"/>
            <w:vAlign w:val="center"/>
          </w:tcPr>
          <w:p>
            <w:pPr>
              <w:rPr>
                <w:sz w:val="24"/>
              </w:rPr>
            </w:pPr>
            <w:r>
              <w:rPr>
                <w:rFonts w:hint="eastAsia"/>
                <w:sz w:val="24"/>
              </w:rPr>
              <w:t>最热月平均相对湿度</w:t>
            </w:r>
          </w:p>
        </w:tc>
        <w:tc>
          <w:tcPr>
            <w:tcW w:w="4563" w:type="dxa"/>
            <w:gridSpan w:val="2"/>
            <w:vAlign w:val="center"/>
          </w:tcPr>
          <w:p>
            <w:pPr>
              <w:rPr>
                <w:sz w:val="24"/>
              </w:rPr>
            </w:pPr>
            <w:r>
              <w:rPr>
                <w:sz w:val="24"/>
              </w:rPr>
              <w:t>98% / 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7" w:type="dxa"/>
            <w:gridSpan w:val="2"/>
            <w:vAlign w:val="center"/>
          </w:tcPr>
          <w:p>
            <w:pPr>
              <w:spacing w:line="240" w:lineRule="atLeast"/>
              <w:rPr>
                <w:sz w:val="24"/>
                <w:lang w:eastAsia="zh-CN"/>
              </w:rPr>
            </w:pPr>
            <w:r>
              <w:rPr>
                <w:sz w:val="24"/>
                <w:lang w:eastAsia="zh-CN"/>
              </w:rPr>
              <w:t>2003~2007</w:t>
            </w:r>
            <w:r>
              <w:rPr>
                <w:rFonts w:hint="eastAsia"/>
                <w:sz w:val="24"/>
                <w:lang w:eastAsia="zh-CN"/>
              </w:rPr>
              <w:t>年最热月</w:t>
            </w:r>
            <w:r>
              <w:rPr>
                <w:sz w:val="24"/>
                <w:lang w:eastAsia="zh-CN"/>
              </w:rPr>
              <w:t>(7~9</w:t>
            </w:r>
            <w:r>
              <w:rPr>
                <w:rFonts w:hint="eastAsia"/>
                <w:sz w:val="24"/>
                <w:lang w:eastAsia="zh-CN"/>
              </w:rPr>
              <w:t>月</w:t>
            </w:r>
            <w:r>
              <w:rPr>
                <w:sz w:val="24"/>
                <w:lang w:eastAsia="zh-CN"/>
              </w:rPr>
              <w:t>)</w:t>
            </w:r>
            <w:r>
              <w:rPr>
                <w:rFonts w:hint="eastAsia"/>
                <w:sz w:val="24"/>
                <w:lang w:eastAsia="zh-CN"/>
              </w:rPr>
              <w:t>的平均相对湿度</w:t>
            </w:r>
          </w:p>
        </w:tc>
        <w:tc>
          <w:tcPr>
            <w:tcW w:w="3473" w:type="dxa"/>
            <w:vAlign w:val="center"/>
          </w:tcPr>
          <w:p>
            <w:pPr>
              <w:rPr>
                <w:sz w:val="24"/>
              </w:rPr>
            </w:pPr>
            <w:r>
              <w:rPr>
                <w:sz w:val="24"/>
              </w:rPr>
              <w:t>79%</w:t>
            </w:r>
          </w:p>
        </w:tc>
      </w:tr>
    </w:tbl>
    <w:p>
      <w:pPr>
        <w:ind w:firstLine="480" w:firstLineChars="200"/>
        <w:rPr>
          <w:sz w:val="24"/>
        </w:rPr>
      </w:pPr>
      <w:r>
        <w:rPr>
          <w:sz w:val="24"/>
        </w:rPr>
        <w:t>7）气压</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3"/>
        <w:gridCol w:w="4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76" w:type="dxa"/>
            <w:vAlign w:val="center"/>
          </w:tcPr>
          <w:p>
            <w:pPr>
              <w:rPr>
                <w:sz w:val="24"/>
              </w:rPr>
            </w:pPr>
            <w:r>
              <w:rPr>
                <w:rFonts w:hint="eastAsia"/>
                <w:sz w:val="24"/>
              </w:rPr>
              <w:t>年平均气压</w:t>
            </w:r>
          </w:p>
        </w:tc>
        <w:tc>
          <w:tcPr>
            <w:tcW w:w="4584" w:type="dxa"/>
            <w:vAlign w:val="center"/>
          </w:tcPr>
          <w:p>
            <w:pPr>
              <w:rPr>
                <w:sz w:val="24"/>
              </w:rPr>
            </w:pPr>
            <w:r>
              <w:rPr>
                <w:sz w:val="24"/>
              </w:rPr>
              <w:t>1007.6hPa</w:t>
            </w:r>
          </w:p>
        </w:tc>
      </w:tr>
    </w:tbl>
    <w:p>
      <w:pPr>
        <w:ind w:firstLine="480" w:firstLineChars="200"/>
        <w:rPr>
          <w:sz w:val="24"/>
        </w:rPr>
      </w:pPr>
      <w:r>
        <w:rPr>
          <w:sz w:val="24"/>
        </w:rPr>
        <w:t>8）蒸发量</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5"/>
        <w:gridCol w:w="4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4" w:type="dxa"/>
            <w:vAlign w:val="center"/>
          </w:tcPr>
          <w:p>
            <w:pPr>
              <w:rPr>
                <w:sz w:val="24"/>
              </w:rPr>
            </w:pPr>
            <w:r>
              <w:rPr>
                <w:rFonts w:hint="eastAsia"/>
                <w:sz w:val="24"/>
              </w:rPr>
              <w:t>年平均蒸发量</w:t>
            </w:r>
          </w:p>
        </w:tc>
        <w:tc>
          <w:tcPr>
            <w:tcW w:w="4576" w:type="dxa"/>
            <w:vAlign w:val="center"/>
          </w:tcPr>
          <w:p>
            <w:pPr>
              <w:rPr>
                <w:sz w:val="24"/>
              </w:rPr>
            </w:pPr>
            <w:r>
              <w:rPr>
                <w:sz w:val="24"/>
              </w:rPr>
              <w:t>1658.2</w:t>
            </w:r>
            <w:r>
              <w:rPr>
                <w:rFonts w:hint="eastAsia"/>
                <w:sz w:val="24"/>
              </w:rPr>
              <w:t>毫米</w:t>
            </w:r>
          </w:p>
        </w:tc>
      </w:tr>
    </w:tbl>
    <w:p>
      <w:pPr>
        <w:ind w:firstLine="480" w:firstLineChars="200"/>
        <w:rPr>
          <w:sz w:val="24"/>
        </w:rPr>
      </w:pPr>
      <w:r>
        <w:rPr>
          <w:sz w:val="24"/>
        </w:rPr>
        <w:t>9）地震</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9"/>
        <w:gridCol w:w="4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6" w:type="dxa"/>
            <w:vAlign w:val="center"/>
          </w:tcPr>
          <w:p>
            <w:pPr>
              <w:rPr>
                <w:sz w:val="24"/>
              </w:rPr>
            </w:pPr>
            <w:r>
              <w:rPr>
                <w:rFonts w:hint="eastAsia"/>
                <w:sz w:val="24"/>
              </w:rPr>
              <w:t>地震设防烈度</w:t>
            </w:r>
          </w:p>
        </w:tc>
        <w:tc>
          <w:tcPr>
            <w:tcW w:w="4574" w:type="dxa"/>
            <w:vAlign w:val="center"/>
          </w:tcPr>
          <w:p>
            <w:pPr>
              <w:rPr>
                <w:sz w:val="24"/>
              </w:rPr>
            </w:pPr>
            <w:r>
              <w:rPr>
                <w:sz w:val="24"/>
              </w:rPr>
              <w:t>7</w:t>
            </w:r>
            <w:r>
              <w:rPr>
                <w:rFonts w:hint="eastAsia"/>
                <w:sz w:val="24"/>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6" w:type="dxa"/>
            <w:vAlign w:val="center"/>
          </w:tcPr>
          <w:p>
            <w:pPr>
              <w:rPr>
                <w:sz w:val="24"/>
              </w:rPr>
            </w:pPr>
            <w:r>
              <w:rPr>
                <w:rFonts w:hint="eastAsia"/>
                <w:sz w:val="24"/>
              </w:rPr>
              <w:t>地震基本加速度</w:t>
            </w:r>
          </w:p>
        </w:tc>
        <w:tc>
          <w:tcPr>
            <w:tcW w:w="4574" w:type="dxa"/>
            <w:vAlign w:val="center"/>
          </w:tcPr>
          <w:p>
            <w:pPr>
              <w:rPr>
                <w:sz w:val="24"/>
              </w:rPr>
            </w:pPr>
            <w:r>
              <w:rPr>
                <w:sz w:val="24"/>
              </w:rPr>
              <w:t>0.15g</w:t>
            </w:r>
          </w:p>
        </w:tc>
      </w:tr>
    </w:tbl>
    <w:p>
      <w:pPr>
        <w:ind w:firstLine="480" w:firstLineChars="200"/>
        <w:rPr>
          <w:sz w:val="24"/>
        </w:rPr>
      </w:pPr>
      <w:r>
        <w:rPr>
          <w:sz w:val="24"/>
        </w:rPr>
        <w:t>10）暴雨强度公式：</w:t>
      </w:r>
    </w:p>
    <w:tbl>
      <w:tblPr>
        <w:tblStyle w:val="17"/>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40"/>
        <w:gridCol w:w="4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60" w:type="dxa"/>
            <w:gridSpan w:val="2"/>
            <w:vAlign w:val="center"/>
          </w:tcPr>
          <w:p>
            <w:pPr>
              <w:jc w:val="center"/>
              <w:rPr>
                <w:sz w:val="24"/>
              </w:rPr>
            </w:pPr>
            <w:r>
              <w:rPr>
                <w:sz w:val="24"/>
              </w:rPr>
              <w:t>q = 2003.515×(1 + 0.568lgTe)/ (t + 6.187) 0.659（L/S·ha）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04" w:type="dxa"/>
            <w:vAlign w:val="center"/>
          </w:tcPr>
          <w:p>
            <w:pPr>
              <w:rPr>
                <w:sz w:val="24"/>
                <w:lang w:eastAsia="zh-CN"/>
              </w:rPr>
            </w:pPr>
            <w:r>
              <w:rPr>
                <w:sz w:val="24"/>
                <w:lang w:eastAsia="zh-CN"/>
              </w:rPr>
              <w:t>其中：Te-设计重现期（a）</w:t>
            </w:r>
          </w:p>
        </w:tc>
        <w:tc>
          <w:tcPr>
            <w:tcW w:w="4556" w:type="dxa"/>
            <w:vAlign w:val="center"/>
          </w:tcPr>
          <w:p>
            <w:pPr>
              <w:rPr>
                <w:sz w:val="24"/>
                <w:lang w:eastAsia="zh-CN"/>
              </w:rPr>
            </w:pPr>
          </w:p>
        </w:tc>
      </w:tr>
    </w:tbl>
    <w:p>
      <w:pPr>
        <w:pStyle w:val="3"/>
        <w:keepNext/>
        <w:keepLines/>
        <w:numPr>
          <w:ilvl w:val="0"/>
          <w:numId w:val="2"/>
        </w:numPr>
        <w:autoSpaceDE/>
        <w:autoSpaceDN/>
        <w:jc w:val="both"/>
        <w:rPr>
          <w:sz w:val="32"/>
        </w:rPr>
      </w:pPr>
      <w:r>
        <w:rPr>
          <w:rFonts w:hint="eastAsia"/>
          <w:sz w:val="32"/>
        </w:rPr>
        <w:t>技术标准（不限于此）</w:t>
      </w:r>
    </w:p>
    <w:p>
      <w:pPr>
        <w:ind w:firstLine="480" w:firstLineChars="200"/>
        <w:rPr>
          <w:sz w:val="24"/>
          <w:lang w:eastAsia="zh-CN"/>
        </w:rPr>
      </w:pPr>
      <w:r>
        <w:rPr>
          <w:rFonts w:hint="eastAsia"/>
          <w:sz w:val="24"/>
          <w:lang w:eastAsia="zh-CN"/>
        </w:rPr>
        <w:t>设计文件及文件中所涉及的附件和设备应符合相应的标准规范或法规的最新版本或其修正本的要求</w:t>
      </w:r>
      <w:r>
        <w:rPr>
          <w:sz w:val="24"/>
          <w:lang w:eastAsia="zh-CN"/>
        </w:rPr>
        <w:t xml:space="preserve">, </w:t>
      </w:r>
      <w:r>
        <w:rPr>
          <w:rFonts w:hint="eastAsia"/>
          <w:sz w:val="24"/>
          <w:lang w:eastAsia="zh-CN"/>
        </w:rPr>
        <w:t>除非另有特别说明，将包括投标期内有效的任何修正和补充。</w:t>
      </w:r>
    </w:p>
    <w:p>
      <w:pPr>
        <w:ind w:firstLine="480" w:firstLineChars="200"/>
        <w:rPr>
          <w:sz w:val="24"/>
          <w:lang w:eastAsia="zh-CN"/>
        </w:rPr>
      </w:pPr>
      <w:r>
        <w:rPr>
          <w:rFonts w:hint="eastAsia"/>
          <w:sz w:val="24"/>
          <w:lang w:eastAsia="zh-CN"/>
        </w:rPr>
        <w:t>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snapToGrid w:val="0"/>
        <w:ind w:left="-105" w:firstLine="480"/>
        <w:rPr>
          <w:sz w:val="24"/>
          <w:lang w:eastAsia="zh-CN"/>
        </w:rPr>
      </w:pPr>
      <w:r>
        <w:rPr>
          <w:rFonts w:hint="eastAsia"/>
          <w:sz w:val="24"/>
          <w:lang w:eastAsia="zh-CN"/>
        </w:rPr>
        <w:t>DL/T5375-2018</w:t>
      </w:r>
      <w:r>
        <w:rPr>
          <w:rFonts w:hint="eastAsia"/>
          <w:sz w:val="24"/>
          <w:lang w:eastAsia="zh-CN"/>
        </w:rPr>
        <w:tab/>
      </w:r>
      <w:r>
        <w:rPr>
          <w:rFonts w:hint="eastAsia"/>
          <w:sz w:val="24"/>
          <w:lang w:eastAsia="zh-CN"/>
        </w:rPr>
        <w:tab/>
      </w:r>
      <w:r>
        <w:rPr>
          <w:rFonts w:hint="eastAsia"/>
          <w:sz w:val="24"/>
          <w:lang w:eastAsia="zh-CN"/>
        </w:rPr>
        <w:t>《火力发电厂可行性研究报告内容深度规定》</w:t>
      </w:r>
    </w:p>
    <w:p>
      <w:pPr>
        <w:snapToGrid w:val="0"/>
        <w:ind w:left="-105" w:firstLine="480"/>
        <w:rPr>
          <w:sz w:val="24"/>
          <w:lang w:eastAsia="zh-CN"/>
        </w:rPr>
      </w:pPr>
      <w:r>
        <w:rPr>
          <w:rFonts w:hint="eastAsia"/>
          <w:sz w:val="24"/>
          <w:lang w:eastAsia="zh-CN"/>
        </w:rPr>
        <w:t>GB</w:t>
      </w:r>
      <w:r>
        <w:rPr>
          <w:sz w:val="24"/>
          <w:lang w:eastAsia="zh-CN"/>
        </w:rPr>
        <w:t>500</w:t>
      </w:r>
      <w:r>
        <w:rPr>
          <w:rFonts w:hint="eastAsia"/>
          <w:sz w:val="24"/>
          <w:lang w:eastAsia="zh-CN"/>
        </w:rPr>
        <w:t>49</w:t>
      </w:r>
      <w:r>
        <w:rPr>
          <w:sz w:val="24"/>
          <w:lang w:eastAsia="zh-CN"/>
        </w:rPr>
        <w:t>-</w:t>
      </w:r>
      <w:r>
        <w:rPr>
          <w:rFonts w:hint="eastAsia"/>
          <w:sz w:val="24"/>
          <w:lang w:eastAsia="zh-CN"/>
        </w:rPr>
        <w:t>2011</w:t>
      </w:r>
      <w:r>
        <w:rPr>
          <w:rFonts w:hint="eastAsia"/>
          <w:sz w:val="24"/>
          <w:lang w:eastAsia="zh-CN"/>
        </w:rPr>
        <w:tab/>
      </w:r>
      <w:r>
        <w:rPr>
          <w:rFonts w:hint="eastAsia"/>
          <w:sz w:val="24"/>
          <w:lang w:eastAsia="zh-CN"/>
        </w:rPr>
        <w:t xml:space="preserve">   《小型火力发电厂设计规范》</w:t>
      </w:r>
    </w:p>
    <w:p>
      <w:pPr>
        <w:snapToGrid w:val="0"/>
        <w:ind w:left="-105" w:firstLine="480"/>
        <w:rPr>
          <w:sz w:val="24"/>
          <w:lang w:eastAsia="zh-CN"/>
        </w:rPr>
      </w:pPr>
      <w:r>
        <w:rPr>
          <w:rFonts w:hint="eastAsia"/>
          <w:sz w:val="24"/>
          <w:lang w:eastAsia="zh-CN"/>
        </w:rPr>
        <w:t>发改能源〔2016〕617号  《热电联产管理办法》</w:t>
      </w:r>
    </w:p>
    <w:p>
      <w:pPr>
        <w:widowControl/>
        <w:wordWrap w:val="0"/>
        <w:ind w:firstLine="424" w:firstLineChars="177"/>
        <w:rPr>
          <w:sz w:val="24"/>
          <w:lang w:eastAsia="zh-CN"/>
        </w:rPr>
      </w:pPr>
      <w:r>
        <w:rPr>
          <w:rFonts w:hint="eastAsia"/>
          <w:sz w:val="24"/>
          <w:lang w:eastAsia="zh-CN"/>
        </w:rPr>
        <w:t xml:space="preserve">国家能源局 </w:t>
      </w:r>
      <w:r>
        <w:rPr>
          <w:sz w:val="24"/>
          <w:lang w:eastAsia="zh-CN"/>
        </w:rPr>
        <w:t>国能安全〔</w:t>
      </w:r>
      <w:r>
        <w:rPr>
          <w:rFonts w:hint="eastAsia"/>
          <w:sz w:val="24"/>
          <w:lang w:eastAsia="zh-CN"/>
        </w:rPr>
        <w:t>2014〕161号《防止电力生产事故的二十五项重点要求》</w:t>
      </w:r>
    </w:p>
    <w:p>
      <w:pPr>
        <w:pStyle w:val="59"/>
        <w:adjustRightInd/>
        <w:spacing w:line="360" w:lineRule="auto"/>
        <w:ind w:firstLine="360" w:firstLineChars="150"/>
        <w:jc w:val="left"/>
        <w:rPr>
          <w:rFonts w:ascii="Times New Roman"/>
          <w:kern w:val="2"/>
          <w:szCs w:val="24"/>
        </w:rPr>
      </w:pPr>
      <w:r>
        <w:rPr>
          <w:rFonts w:hint="eastAsia" w:ascii="Times New Roman"/>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w:t>
      </w:r>
      <w:r>
        <w:rPr>
          <w:rFonts w:hint="eastAsia" w:ascii="Times New Roman" w:hAnsi="Times New Roman" w:cs="Times New Roman"/>
          <w:sz w:val="24"/>
          <w:szCs w:val="24"/>
        </w:rPr>
        <w:t>提供审查的标准应为中文版本。</w:t>
      </w:r>
    </w:p>
    <w:p>
      <w:pPr>
        <w:pStyle w:val="3"/>
        <w:keepNext/>
        <w:keepLines/>
        <w:numPr>
          <w:ilvl w:val="0"/>
          <w:numId w:val="2"/>
        </w:numPr>
        <w:autoSpaceDE/>
        <w:autoSpaceDN/>
        <w:jc w:val="both"/>
        <w:rPr>
          <w:sz w:val="32"/>
          <w:szCs w:val="32"/>
        </w:rPr>
      </w:pPr>
      <w:r>
        <w:rPr>
          <w:rFonts w:hint="eastAsia"/>
          <w:sz w:val="32"/>
          <w:szCs w:val="32"/>
        </w:rPr>
        <w:t>工程范围</w:t>
      </w:r>
    </w:p>
    <w:p>
      <w:pPr>
        <w:pStyle w:val="24"/>
        <w:numPr>
          <w:ilvl w:val="0"/>
          <w:numId w:val="4"/>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工程</w:t>
      </w:r>
      <w:r>
        <w:rPr>
          <w:rFonts w:ascii="Times New Roman" w:hAnsi="Times New Roman" w:cs="Times New Roman"/>
          <w:sz w:val="24"/>
          <w:szCs w:val="24"/>
          <w:lang w:eastAsia="zh-CN"/>
        </w:rPr>
        <w:t xml:space="preserve">范围： </w:t>
      </w:r>
      <w:r>
        <w:rPr>
          <w:rFonts w:hint="eastAsia" w:ascii="Times New Roman" w:hAnsi="Times New Roman" w:cs="Times New Roman"/>
          <w:sz w:val="24"/>
          <w:szCs w:val="24"/>
          <w:lang w:eastAsia="zh-CN"/>
        </w:rPr>
        <w:t>2台燃煤锅炉配2台抽汽背压式汽轮发电机组及配套设施包括燃料贮运系统、热力系统、燃烧系统、电气系统、控制系统、水工系统、消防系统、除灰渣系统、厂区供热管网、炉后烟气处理及其废水处理等环保系统、采暖通风工程、压缩空气系统和相应的土建工程等。</w:t>
      </w:r>
    </w:p>
    <w:p>
      <w:pPr>
        <w:pStyle w:val="24"/>
        <w:numPr>
          <w:ilvl w:val="0"/>
          <w:numId w:val="4"/>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工作范围：1) 投标方负责完成古雷南部供热项目可研及</w:t>
      </w:r>
      <w:r>
        <w:rPr>
          <w:rFonts w:hint="eastAsia" w:asciiTheme="minorEastAsia" w:hAnsiTheme="minorEastAsia"/>
          <w:sz w:val="24"/>
          <w:szCs w:val="24"/>
          <w:lang w:eastAsia="zh-CN"/>
        </w:rPr>
        <w:t>项目申请报告编写</w:t>
      </w:r>
      <w:r>
        <w:rPr>
          <w:rFonts w:hint="eastAsia" w:ascii="Times New Roman" w:hAnsi="Times New Roman" w:cs="Times New Roman"/>
          <w:sz w:val="24"/>
          <w:szCs w:val="24"/>
          <w:lang w:eastAsia="zh-CN"/>
        </w:rPr>
        <w:t>工作；2)</w:t>
      </w:r>
      <w:r>
        <w:rPr>
          <w:rFonts w:hint="eastAsia"/>
          <w:lang w:eastAsia="zh-CN"/>
        </w:rPr>
        <w:t xml:space="preserve"> </w:t>
      </w:r>
      <w:r>
        <w:rPr>
          <w:rFonts w:hint="eastAsia" w:ascii="Times New Roman" w:hAnsi="Times New Roman" w:cs="Times New Roman"/>
          <w:sz w:val="24"/>
          <w:szCs w:val="24"/>
          <w:lang w:eastAsia="zh-CN"/>
        </w:rPr>
        <w:t>投标方负责项目可研报告及项目报批过程中的专家评审会及相关费用。</w:t>
      </w:r>
    </w:p>
    <w:p>
      <w:pPr>
        <w:pStyle w:val="24"/>
        <w:numPr>
          <w:ilvl w:val="0"/>
          <w:numId w:val="4"/>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可研内容（包括但不限于以下内容）：</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电力系统；</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热负荷分析；</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燃料来源；</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厂址条件；</w:t>
      </w:r>
    </w:p>
    <w:p>
      <w:pPr>
        <w:pStyle w:val="24"/>
        <w:numPr>
          <w:ilvl w:val="0"/>
          <w:numId w:val="5"/>
        </w:numPr>
        <w:autoSpaceDE/>
        <w:autoSpaceDN/>
        <w:snapToGrid w:val="0"/>
        <w:spacing w:before="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智慧电厂（考虑机组未来先进性，减少人力资源）</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工程方案设想；</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环境保护与水土保持</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综合利用；</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劳动安全与职业卫生</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资源利用</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节能分析</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抗灾能力评价</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人力资源配置</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lang w:eastAsia="zh-CN"/>
        </w:rPr>
      </w:pPr>
      <w:r>
        <w:rPr>
          <w:rFonts w:ascii="Times New Roman" w:hAnsi="Times New Roman" w:cs="Times New Roman"/>
          <w:sz w:val="24"/>
          <w:szCs w:val="24"/>
          <w:lang w:eastAsia="zh-CN"/>
        </w:rPr>
        <w:t>项目实施的条件和建设进度及工期</w:t>
      </w:r>
      <w:r>
        <w:rPr>
          <w:rFonts w:hint="eastAsia" w:ascii="Times New Roman" w:hAnsi="Times New Roman" w:cs="Times New Roman"/>
          <w:sz w:val="24"/>
          <w:szCs w:val="24"/>
          <w:lang w:eastAsia="zh-CN"/>
        </w:rPr>
        <w:t>；</w:t>
      </w:r>
    </w:p>
    <w:p>
      <w:pPr>
        <w:pStyle w:val="24"/>
        <w:numPr>
          <w:ilvl w:val="0"/>
          <w:numId w:val="5"/>
        </w:numPr>
        <w:autoSpaceDE/>
        <w:autoSpaceDN/>
        <w:snapToGrid w:val="0"/>
        <w:spacing w:before="0"/>
        <w:jc w:val="both"/>
        <w:rPr>
          <w:rFonts w:ascii="Times New Roman" w:hAnsi="Times New Roman" w:cs="Times New Roman"/>
          <w:sz w:val="24"/>
          <w:szCs w:val="24"/>
          <w:lang w:eastAsia="zh-CN"/>
        </w:rPr>
      </w:pPr>
      <w:r>
        <w:rPr>
          <w:rFonts w:ascii="Times New Roman" w:hAnsi="Times New Roman" w:cs="Times New Roman"/>
          <w:sz w:val="24"/>
          <w:szCs w:val="24"/>
          <w:lang w:eastAsia="zh-CN"/>
        </w:rPr>
        <w:t>投资估算</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融资方案及财务分析</w:t>
      </w:r>
      <w:r>
        <w:rPr>
          <w:rFonts w:hint="eastAsia" w:ascii="Times New Roman" w:hAnsi="Times New Roman" w:cs="Times New Roman"/>
          <w:sz w:val="24"/>
          <w:szCs w:val="24"/>
          <w:lang w:eastAsia="zh-CN"/>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经济与社会影响分析</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ascii="Times New Roman" w:hAnsi="Times New Roman" w:cs="Times New Roman"/>
          <w:sz w:val="24"/>
          <w:szCs w:val="24"/>
        </w:rPr>
        <w:t>风险分析</w:t>
      </w:r>
      <w:r>
        <w:rPr>
          <w:rFonts w:hint="eastAsia" w:ascii="Times New Roman" w:hAnsi="Times New Roman" w:cs="Times New Roman"/>
          <w:sz w:val="24"/>
          <w:szCs w:val="24"/>
        </w:rPr>
        <w:t>；</w:t>
      </w:r>
    </w:p>
    <w:p>
      <w:pPr>
        <w:pStyle w:val="24"/>
        <w:numPr>
          <w:ilvl w:val="0"/>
          <w:numId w:val="5"/>
        </w:numPr>
        <w:autoSpaceDE/>
        <w:autoSpaceDN/>
        <w:snapToGrid w:val="0"/>
        <w:spacing w:before="0"/>
        <w:jc w:val="both"/>
        <w:rPr>
          <w:rFonts w:ascii="Times New Roman" w:hAnsi="Times New Roman" w:cs="Times New Roman"/>
          <w:sz w:val="24"/>
          <w:szCs w:val="24"/>
        </w:rPr>
      </w:pPr>
      <w:r>
        <w:rPr>
          <w:rFonts w:hint="eastAsia" w:ascii="Times New Roman" w:hAnsi="Times New Roman" w:cs="Times New Roman"/>
          <w:sz w:val="24"/>
          <w:szCs w:val="24"/>
        </w:rPr>
        <w:t>结论与建议</w:t>
      </w:r>
    </w:p>
    <w:p>
      <w:pPr>
        <w:pStyle w:val="24"/>
        <w:numPr>
          <w:ilvl w:val="0"/>
          <w:numId w:val="5"/>
        </w:numPr>
        <w:autoSpaceDE/>
        <w:autoSpaceDN/>
        <w:snapToGrid w:val="0"/>
        <w:spacing w:before="0"/>
        <w:ind w:left="714" w:hanging="357"/>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其他可能涉及到的相关内容。</w:t>
      </w:r>
      <w:r>
        <w:rPr>
          <w:rFonts w:ascii="Times New Roman" w:hAnsi="Times New Roman" w:cs="Times New Roman"/>
          <w:sz w:val="24"/>
          <w:szCs w:val="24"/>
          <w:lang w:eastAsia="zh-CN"/>
        </w:rPr>
        <w:t xml:space="preserve"> </w:t>
      </w:r>
    </w:p>
    <w:p>
      <w:pPr>
        <w:pStyle w:val="3"/>
        <w:keepNext/>
        <w:keepLines/>
        <w:numPr>
          <w:ilvl w:val="0"/>
          <w:numId w:val="2"/>
        </w:numPr>
        <w:autoSpaceDE/>
        <w:autoSpaceDN/>
        <w:jc w:val="both"/>
        <w:rPr>
          <w:sz w:val="32"/>
          <w:szCs w:val="32"/>
        </w:rPr>
      </w:pPr>
      <w:r>
        <w:rPr>
          <w:rFonts w:hint="eastAsia"/>
          <w:sz w:val="32"/>
          <w:szCs w:val="32"/>
        </w:rPr>
        <w:t>技术要求：</w:t>
      </w:r>
    </w:p>
    <w:p>
      <w:pPr>
        <w:pStyle w:val="4"/>
        <w:keepNext/>
        <w:keepLines/>
        <w:numPr>
          <w:ilvl w:val="0"/>
          <w:numId w:val="6"/>
        </w:numPr>
        <w:autoSpaceDE/>
        <w:autoSpaceDN/>
        <w:jc w:val="both"/>
        <w:rPr>
          <w:sz w:val="28"/>
        </w:rPr>
      </w:pPr>
      <w:r>
        <w:rPr>
          <w:rFonts w:hint="eastAsia"/>
          <w:sz w:val="28"/>
        </w:rPr>
        <w:t>总的要求：</w:t>
      </w:r>
    </w:p>
    <w:p>
      <w:pPr>
        <w:ind w:left="376" w:leftChars="171" w:firstLine="480" w:firstLineChars="200"/>
        <w:rPr>
          <w:sz w:val="24"/>
          <w:lang w:eastAsia="zh-CN"/>
        </w:rPr>
      </w:pPr>
      <w:r>
        <w:rPr>
          <w:rFonts w:hint="eastAsia"/>
          <w:sz w:val="24"/>
          <w:lang w:eastAsia="zh-CN"/>
        </w:rPr>
        <w:t>通过新建机组，提高供热能力，符合供热规划和热电联产规划要求，满足我司近期供热需要，同时，在热负荷富余情况下，立足本期，考虑远景，可对外供热，统筹规划，实现热电厂效益最大化。</w:t>
      </w:r>
    </w:p>
    <w:p>
      <w:pPr>
        <w:pStyle w:val="4"/>
        <w:keepNext/>
        <w:keepLines/>
        <w:numPr>
          <w:ilvl w:val="0"/>
          <w:numId w:val="6"/>
        </w:numPr>
        <w:autoSpaceDE/>
        <w:autoSpaceDN/>
        <w:jc w:val="both"/>
        <w:rPr>
          <w:sz w:val="28"/>
        </w:rPr>
      </w:pPr>
      <w:r>
        <w:rPr>
          <w:rFonts w:hint="eastAsia"/>
          <w:sz w:val="28"/>
        </w:rPr>
        <w:t>主要性能指标：</w:t>
      </w:r>
    </w:p>
    <w:p>
      <w:pPr>
        <w:pStyle w:val="24"/>
        <w:numPr>
          <w:ilvl w:val="0"/>
          <w:numId w:val="7"/>
        </w:numPr>
        <w:tabs>
          <w:tab w:val="left" w:pos="426"/>
        </w:tabs>
        <w:autoSpaceDE/>
        <w:autoSpaceDN/>
        <w:spacing w:before="0"/>
        <w:ind w:left="170" w:hanging="170"/>
        <w:jc w:val="both"/>
        <w:rPr>
          <w:sz w:val="24"/>
        </w:rPr>
      </w:pPr>
      <w:r>
        <w:rPr>
          <w:rFonts w:hint="eastAsia"/>
          <w:sz w:val="24"/>
        </w:rPr>
        <w:t>设计方案的可行性：</w:t>
      </w:r>
    </w:p>
    <w:p>
      <w:pPr>
        <w:pStyle w:val="24"/>
        <w:tabs>
          <w:tab w:val="left" w:pos="426"/>
        </w:tabs>
        <w:spacing w:before="0"/>
        <w:ind w:left="178" w:leftChars="81" w:firstLine="482"/>
        <w:rPr>
          <w:sz w:val="24"/>
          <w:lang w:eastAsia="zh-CN"/>
        </w:rPr>
      </w:pPr>
      <w:r>
        <w:rPr>
          <w:rFonts w:hint="eastAsia"/>
          <w:sz w:val="24"/>
          <w:lang w:eastAsia="zh-CN"/>
        </w:rPr>
        <w:t>设计方案必须与热电厂一期背压机技改工程相结合，统筹考虑二期扩建工程项目，出具的图纸符合现场实际情况，并控制施工难度，图纸具有可执行性。</w:t>
      </w:r>
    </w:p>
    <w:p>
      <w:pPr>
        <w:pStyle w:val="24"/>
        <w:numPr>
          <w:ilvl w:val="0"/>
          <w:numId w:val="7"/>
        </w:numPr>
        <w:tabs>
          <w:tab w:val="left" w:pos="426"/>
        </w:tabs>
        <w:autoSpaceDE/>
        <w:autoSpaceDN/>
        <w:spacing w:before="0"/>
        <w:jc w:val="both"/>
        <w:rPr>
          <w:sz w:val="24"/>
        </w:rPr>
      </w:pPr>
      <w:r>
        <w:rPr>
          <w:rFonts w:hint="eastAsia"/>
          <w:sz w:val="24"/>
        </w:rPr>
        <w:t>设计方案的经济性：</w:t>
      </w:r>
    </w:p>
    <w:p>
      <w:pPr>
        <w:pStyle w:val="24"/>
        <w:tabs>
          <w:tab w:val="left" w:pos="426"/>
        </w:tabs>
        <w:ind w:left="360" w:firstLine="0"/>
        <w:rPr>
          <w:sz w:val="24"/>
          <w:lang w:eastAsia="zh-CN"/>
        </w:rPr>
      </w:pPr>
      <w:r>
        <w:rPr>
          <w:rFonts w:hint="eastAsia"/>
          <w:sz w:val="24"/>
          <w:lang w:eastAsia="zh-CN"/>
        </w:rPr>
        <w:t xml:space="preserve">    设计方案必须是经过比选确定的最优方案，其投资符合委托方实际情况，其回报率也应符合委托方要求。</w:t>
      </w:r>
    </w:p>
    <w:p>
      <w:pPr>
        <w:pStyle w:val="24"/>
        <w:numPr>
          <w:ilvl w:val="0"/>
          <w:numId w:val="7"/>
        </w:numPr>
        <w:tabs>
          <w:tab w:val="left" w:pos="426"/>
        </w:tabs>
        <w:autoSpaceDE/>
        <w:autoSpaceDN/>
        <w:spacing w:before="0"/>
        <w:jc w:val="both"/>
        <w:rPr>
          <w:sz w:val="24"/>
        </w:rPr>
      </w:pPr>
      <w:r>
        <w:rPr>
          <w:rFonts w:hint="eastAsia"/>
          <w:sz w:val="24"/>
        </w:rPr>
        <w:t>设计方案的可靠性：</w:t>
      </w:r>
    </w:p>
    <w:p>
      <w:pPr>
        <w:pStyle w:val="24"/>
        <w:tabs>
          <w:tab w:val="left" w:pos="426"/>
        </w:tabs>
        <w:spacing w:before="0"/>
        <w:ind w:left="357" w:firstLine="0"/>
        <w:rPr>
          <w:sz w:val="24"/>
          <w:lang w:eastAsia="zh-CN"/>
        </w:rPr>
      </w:pPr>
      <w:r>
        <w:rPr>
          <w:rFonts w:hint="eastAsia"/>
          <w:sz w:val="24"/>
          <w:lang w:eastAsia="zh-CN"/>
        </w:rPr>
        <w:t xml:space="preserve">    设计方案应经专业人员讨论确认，保证其可靠性，设计方负责设计方案、图纸等上报相关监督管理部门审批同意。</w:t>
      </w:r>
    </w:p>
    <w:p>
      <w:pPr>
        <w:pStyle w:val="24"/>
        <w:numPr>
          <w:ilvl w:val="0"/>
          <w:numId w:val="7"/>
        </w:numPr>
        <w:tabs>
          <w:tab w:val="left" w:pos="426"/>
        </w:tabs>
        <w:autoSpaceDE/>
        <w:autoSpaceDN/>
        <w:spacing w:before="0"/>
        <w:jc w:val="both"/>
        <w:rPr>
          <w:sz w:val="24"/>
          <w:szCs w:val="24"/>
        </w:rPr>
      </w:pPr>
      <w:r>
        <w:rPr>
          <w:rFonts w:hint="eastAsia"/>
          <w:sz w:val="24"/>
          <w:szCs w:val="24"/>
        </w:rPr>
        <w:t>设计方案的安全性：</w:t>
      </w:r>
    </w:p>
    <w:p>
      <w:pPr>
        <w:pStyle w:val="24"/>
        <w:tabs>
          <w:tab w:val="left" w:pos="426"/>
        </w:tabs>
        <w:spacing w:before="0"/>
        <w:ind w:left="357" w:firstLine="0"/>
        <w:rPr>
          <w:sz w:val="24"/>
          <w:szCs w:val="24"/>
          <w:lang w:eastAsia="zh-CN"/>
        </w:rPr>
      </w:pPr>
      <w:r>
        <w:rPr>
          <w:rFonts w:hint="eastAsia"/>
          <w:sz w:val="24"/>
          <w:szCs w:val="24"/>
          <w:lang w:eastAsia="zh-CN"/>
        </w:rPr>
        <w:t xml:space="preserve">    设计方案应保证改造后设备的安全稳定运行，另因热电厂在石化厂区内，其安全性要充分考虑石化行业的特点，满足防火、防爆、环境保护、劳动安全和职业卫生的要求，并要考虑设计方案可能涉及到安全环保内容。</w:t>
      </w:r>
    </w:p>
    <w:p>
      <w:pPr>
        <w:pStyle w:val="4"/>
        <w:keepNext/>
        <w:keepLines/>
        <w:numPr>
          <w:ilvl w:val="0"/>
          <w:numId w:val="6"/>
        </w:numPr>
        <w:autoSpaceDE/>
        <w:autoSpaceDN/>
        <w:jc w:val="both"/>
        <w:rPr>
          <w:sz w:val="28"/>
        </w:rPr>
      </w:pPr>
      <w:r>
        <w:rPr>
          <w:rFonts w:hint="eastAsia"/>
          <w:sz w:val="28"/>
        </w:rPr>
        <w:t>工作要求：</w:t>
      </w:r>
    </w:p>
    <w:p>
      <w:pPr>
        <w:adjustRightInd w:val="0"/>
        <w:ind w:firstLine="480" w:firstLineChars="200"/>
        <w:rPr>
          <w:sz w:val="24"/>
          <w:lang w:eastAsia="zh-CN"/>
        </w:rPr>
      </w:pPr>
      <w:r>
        <w:rPr>
          <w:sz w:val="24"/>
          <w:lang w:eastAsia="zh-CN"/>
        </w:rPr>
        <w:t>严格执行技术大纲内容，主动配合委托方在设计过程中各方面的协调工作，处理好各相关单位和人员的关系。服务于全过程</w:t>
      </w:r>
      <w:r>
        <w:rPr>
          <w:rFonts w:hint="eastAsia"/>
          <w:sz w:val="24"/>
          <w:lang w:eastAsia="zh-CN"/>
        </w:rPr>
        <w:t>，</w:t>
      </w:r>
      <w:r>
        <w:rPr>
          <w:sz w:val="24"/>
          <w:lang w:eastAsia="zh-CN"/>
        </w:rPr>
        <w:t>及时做好各类质量信息的收集、汇总、分析和反馈。</w:t>
      </w:r>
    </w:p>
    <w:p>
      <w:pPr>
        <w:pStyle w:val="24"/>
        <w:numPr>
          <w:ilvl w:val="1"/>
          <w:numId w:val="8"/>
        </w:numPr>
        <w:autoSpaceDE/>
        <w:autoSpaceDN/>
        <w:adjustRightInd w:val="0"/>
        <w:spacing w:before="0"/>
        <w:ind w:left="851" w:hanging="425"/>
        <w:jc w:val="both"/>
        <w:rPr>
          <w:sz w:val="24"/>
        </w:rPr>
      </w:pPr>
      <w:r>
        <w:rPr>
          <w:sz w:val="24"/>
        </w:rPr>
        <w:t>质量目标：</w:t>
      </w:r>
    </w:p>
    <w:p>
      <w:pPr>
        <w:adjustRightInd w:val="0"/>
        <w:ind w:firstLine="480" w:firstLineChars="200"/>
        <w:rPr>
          <w:sz w:val="24"/>
          <w:lang w:eastAsia="zh-CN"/>
        </w:rPr>
      </w:pPr>
      <w:r>
        <w:rPr>
          <w:sz w:val="24"/>
          <w:lang w:eastAsia="zh-CN"/>
        </w:rPr>
        <w:t>按照国家有关标准、规程规范的要求，</w:t>
      </w:r>
      <w:r>
        <w:rPr>
          <w:rFonts w:hint="eastAsia"/>
          <w:sz w:val="24"/>
          <w:lang w:eastAsia="zh-CN"/>
        </w:rPr>
        <w:t>提供的数据准确可靠，结论正确</w:t>
      </w:r>
      <w:r>
        <w:rPr>
          <w:sz w:val="24"/>
          <w:lang w:eastAsia="zh-CN"/>
        </w:rPr>
        <w:t>。</w:t>
      </w:r>
    </w:p>
    <w:p>
      <w:pPr>
        <w:adjustRightInd w:val="0"/>
        <w:ind w:firstLine="480" w:firstLineChars="200"/>
        <w:rPr>
          <w:sz w:val="24"/>
          <w:lang w:eastAsia="zh-CN"/>
        </w:rPr>
      </w:pPr>
      <w:r>
        <w:rPr>
          <w:sz w:val="24"/>
          <w:lang w:eastAsia="zh-CN"/>
        </w:rPr>
        <w:t>在保证</w:t>
      </w:r>
      <w:r>
        <w:rPr>
          <w:rFonts w:hint="eastAsia"/>
          <w:sz w:val="24"/>
          <w:lang w:eastAsia="zh-CN"/>
        </w:rPr>
        <w:t>热电厂</w:t>
      </w:r>
      <w:r>
        <w:rPr>
          <w:sz w:val="24"/>
          <w:lang w:eastAsia="zh-CN"/>
        </w:rPr>
        <w:t>安全可靠运行的前提下，体现可靠性、经济性、合理性和先进性。贯彻以经济效益为中心，</w:t>
      </w:r>
      <w:r>
        <w:rPr>
          <w:rFonts w:hint="eastAsia"/>
          <w:sz w:val="24"/>
          <w:lang w:eastAsia="zh-CN"/>
        </w:rPr>
        <w:t>以供热安全为重点，符合国情和满足可持续发展要求，以合理的投资，获取最佳的经济效益和社会效益</w:t>
      </w:r>
      <w:r>
        <w:rPr>
          <w:sz w:val="24"/>
          <w:lang w:eastAsia="zh-CN"/>
        </w:rPr>
        <w:t>。具体内容为：</w:t>
      </w:r>
    </w:p>
    <w:p>
      <w:pPr>
        <w:adjustRightInd w:val="0"/>
        <w:ind w:firstLine="480" w:firstLineChars="200"/>
        <w:rPr>
          <w:sz w:val="24"/>
          <w:lang w:eastAsia="zh-CN"/>
        </w:rPr>
      </w:pPr>
      <w:r>
        <w:rPr>
          <w:rFonts w:hint="eastAsia"/>
          <w:sz w:val="24"/>
          <w:lang w:eastAsia="zh-CN"/>
        </w:rPr>
        <w:t>①</w:t>
      </w:r>
      <w:r>
        <w:rPr>
          <w:sz w:val="24"/>
          <w:lang w:eastAsia="zh-CN"/>
        </w:rPr>
        <w:t>应从国家产业政策、电力电量平衡、热负荷需求、地区环境质量</w:t>
      </w:r>
      <w:r>
        <w:rPr>
          <w:rFonts w:hint="eastAsia"/>
          <w:sz w:val="24"/>
          <w:lang w:eastAsia="zh-CN"/>
        </w:rPr>
        <w:t>，</w:t>
      </w:r>
      <w:r>
        <w:rPr>
          <w:sz w:val="24"/>
          <w:lang w:eastAsia="zh-CN"/>
        </w:rPr>
        <w:t>以及能源、煤炭和水资源、利用总量控制等方面论证项目建设的必要性和可行性；</w:t>
      </w:r>
    </w:p>
    <w:p>
      <w:pPr>
        <w:adjustRightInd w:val="0"/>
        <w:ind w:firstLine="480" w:firstLineChars="200"/>
        <w:rPr>
          <w:sz w:val="24"/>
          <w:lang w:eastAsia="zh-CN"/>
        </w:rPr>
      </w:pPr>
      <w:r>
        <w:rPr>
          <w:rFonts w:hint="eastAsia"/>
          <w:sz w:val="24"/>
          <w:lang w:eastAsia="zh-CN"/>
        </w:rPr>
        <w:t>②</w:t>
      </w:r>
      <w:r>
        <w:rPr>
          <w:sz w:val="24"/>
          <w:lang w:eastAsia="zh-CN"/>
        </w:rPr>
        <w:t>应落实环境保护、水土保持、土地利用、接入系统、热负荷、燃料、水源、交通运输、贮灰场、区域稳定及岩土工程、脱硫吸收剂和脱硝还原剂、脱硫副产品处置等建厂外部条件，并进行必要的方案比较；</w:t>
      </w:r>
    </w:p>
    <w:p>
      <w:pPr>
        <w:adjustRightInd w:val="0"/>
        <w:ind w:firstLine="480" w:firstLineChars="200"/>
        <w:rPr>
          <w:sz w:val="24"/>
          <w:lang w:eastAsia="zh-CN"/>
        </w:rPr>
      </w:pPr>
      <w:r>
        <w:rPr>
          <w:rFonts w:hint="eastAsia"/>
          <w:sz w:val="24"/>
          <w:lang w:eastAsia="zh-CN"/>
        </w:rPr>
        <w:t>③</w:t>
      </w:r>
      <w:r>
        <w:rPr>
          <w:sz w:val="24"/>
          <w:lang w:eastAsia="zh-CN"/>
        </w:rPr>
        <w:t>应对厂址的总体规划、厂区总平面规划布置以及各工艺系统提出工程方案设想，以满足投资估算和财务评价的要求；</w:t>
      </w:r>
    </w:p>
    <w:p>
      <w:pPr>
        <w:adjustRightInd w:val="0"/>
        <w:ind w:firstLine="480" w:firstLineChars="200"/>
        <w:rPr>
          <w:sz w:val="24"/>
          <w:lang w:eastAsia="zh-CN"/>
        </w:rPr>
      </w:pPr>
      <w:r>
        <w:rPr>
          <w:rFonts w:hint="eastAsia"/>
          <w:sz w:val="24"/>
          <w:lang w:eastAsia="zh-CN"/>
        </w:rPr>
        <w:t>④</w:t>
      </w:r>
      <w:r>
        <w:rPr>
          <w:sz w:val="24"/>
          <w:lang w:eastAsia="zh-CN"/>
        </w:rPr>
        <w:t>应论证并提出主设备技术条件，以满足主设备招标的要求</w:t>
      </w:r>
      <w:r>
        <w:rPr>
          <w:rFonts w:hint="eastAsia"/>
          <w:sz w:val="24"/>
          <w:lang w:eastAsia="zh-CN"/>
        </w:rPr>
        <w:t>，并</w:t>
      </w:r>
      <w:r>
        <w:rPr>
          <w:sz w:val="24"/>
          <w:lang w:eastAsia="zh-CN"/>
        </w:rPr>
        <w:t>做到系统、设备选型合理、高效，降低运行能耗</w:t>
      </w:r>
      <w:r>
        <w:rPr>
          <w:rFonts w:hint="eastAsia"/>
          <w:sz w:val="24"/>
          <w:lang w:eastAsia="zh-CN"/>
        </w:rPr>
        <w:t>，</w:t>
      </w:r>
      <w:r>
        <w:rPr>
          <w:sz w:val="24"/>
          <w:lang w:eastAsia="zh-CN"/>
        </w:rPr>
        <w:t>自动化水平先进适用；</w:t>
      </w:r>
    </w:p>
    <w:p>
      <w:pPr>
        <w:adjustRightInd w:val="0"/>
        <w:ind w:firstLine="480" w:firstLineChars="200"/>
        <w:rPr>
          <w:sz w:val="24"/>
          <w:lang w:eastAsia="zh-CN"/>
        </w:rPr>
      </w:pPr>
      <w:r>
        <w:rPr>
          <w:rFonts w:hint="eastAsia"/>
          <w:sz w:val="24"/>
          <w:lang w:eastAsia="zh-CN"/>
        </w:rPr>
        <w:t>⑤</w:t>
      </w:r>
      <w:r>
        <w:rPr>
          <w:sz w:val="24"/>
          <w:lang w:eastAsia="zh-CN"/>
        </w:rPr>
        <w:t>投资估算应能满足控制概算的要求，节约工程投资，并进行造价分析；</w:t>
      </w:r>
    </w:p>
    <w:p>
      <w:pPr>
        <w:adjustRightInd w:val="0"/>
        <w:ind w:firstLine="480" w:firstLineChars="200"/>
        <w:rPr>
          <w:sz w:val="24"/>
          <w:lang w:eastAsia="zh-CN"/>
        </w:rPr>
      </w:pPr>
      <w:r>
        <w:rPr>
          <w:rFonts w:hint="eastAsia"/>
          <w:sz w:val="24"/>
          <w:lang w:eastAsia="zh-CN"/>
        </w:rPr>
        <w:t>⑥</w:t>
      </w:r>
      <w:r>
        <w:rPr>
          <w:sz w:val="24"/>
          <w:lang w:eastAsia="zh-CN"/>
        </w:rPr>
        <w:t>财务分析所需的原始资料应切合实际，以此确定相应上网参考电价估算值；利用外资项目的财务分析指标，还应符合国家规定的有关利用外资项目的技术经济政策；</w:t>
      </w:r>
    </w:p>
    <w:p>
      <w:pPr>
        <w:adjustRightInd w:val="0"/>
        <w:ind w:firstLine="480" w:firstLineChars="200"/>
        <w:rPr>
          <w:sz w:val="24"/>
          <w:lang w:eastAsia="zh-CN"/>
        </w:rPr>
      </w:pPr>
      <w:r>
        <w:rPr>
          <w:rFonts w:hint="eastAsia" w:asciiTheme="minorEastAsia" w:hAnsiTheme="minorEastAsia"/>
          <w:sz w:val="24"/>
          <w:lang w:eastAsia="zh-CN"/>
        </w:rPr>
        <w:t>⑦</w:t>
      </w:r>
      <w:r>
        <w:rPr>
          <w:sz w:val="24"/>
          <w:lang w:eastAsia="zh-CN"/>
        </w:rPr>
        <w:t>应说明合理利用资源情况，并进行节能分析、抗灾能力评价、风险分析和经济与社会影响分析；</w:t>
      </w:r>
    </w:p>
    <w:p>
      <w:pPr>
        <w:adjustRightInd w:val="0"/>
        <w:ind w:firstLine="480" w:firstLineChars="200"/>
        <w:rPr>
          <w:sz w:val="24"/>
          <w:lang w:eastAsia="zh-CN"/>
        </w:rPr>
      </w:pPr>
      <w:r>
        <w:rPr>
          <w:rFonts w:hint="eastAsia" w:asciiTheme="minorEastAsia" w:hAnsiTheme="minorEastAsia"/>
          <w:sz w:val="24"/>
          <w:lang w:eastAsia="zh-CN"/>
        </w:rPr>
        <w:t>⑧</w:t>
      </w:r>
      <w:r>
        <w:rPr>
          <w:sz w:val="24"/>
          <w:lang w:eastAsia="zh-CN"/>
        </w:rPr>
        <w:t>应结合项目社会稳定风险分析及评估意见，说明项目建设风险等级、防范与化解措施；</w:t>
      </w:r>
    </w:p>
    <w:p>
      <w:pPr>
        <w:adjustRightInd w:val="0"/>
        <w:ind w:firstLine="480" w:firstLineChars="200"/>
        <w:rPr>
          <w:sz w:val="24"/>
          <w:lang w:eastAsia="zh-CN"/>
        </w:rPr>
      </w:pPr>
      <w:r>
        <w:rPr>
          <w:rFonts w:hint="eastAsia" w:asciiTheme="minorEastAsia" w:hAnsiTheme="minorEastAsia"/>
          <w:sz w:val="24"/>
          <w:lang w:eastAsia="zh-CN"/>
        </w:rPr>
        <w:t>⑨应</w:t>
      </w:r>
      <w:r>
        <w:rPr>
          <w:rFonts w:hint="eastAsia"/>
          <w:sz w:val="24"/>
          <w:lang w:eastAsia="zh-CN"/>
        </w:rPr>
        <w:t>充分考虑现有装置与新建设备、系统的互用性，结合原有总平面布置，原有生产系统布置，和原有生产管理经验等方面的特点统筹考虑，不应设置重复的系统、设备或设施，提高运行安全性。</w:t>
      </w:r>
    </w:p>
    <w:p>
      <w:pPr>
        <w:adjustRightInd w:val="0"/>
        <w:ind w:firstLine="480" w:firstLineChars="200"/>
        <w:rPr>
          <w:sz w:val="24"/>
          <w:lang w:eastAsia="zh-CN"/>
        </w:rPr>
      </w:pPr>
      <w:r>
        <w:rPr>
          <w:rFonts w:hint="eastAsia" w:asciiTheme="minorEastAsia" w:hAnsiTheme="minorEastAsia"/>
          <w:sz w:val="24"/>
          <w:lang w:eastAsia="zh-CN"/>
        </w:rPr>
        <w:t>⑩</w:t>
      </w:r>
      <w:r>
        <w:rPr>
          <w:rFonts w:hint="eastAsia"/>
          <w:sz w:val="24"/>
          <w:lang w:eastAsia="zh-CN"/>
        </w:rPr>
        <w:t>设备</w:t>
      </w:r>
      <w:r>
        <w:rPr>
          <w:sz w:val="24"/>
          <w:lang w:eastAsia="zh-CN"/>
        </w:rPr>
        <w:t>投产后达到：运行安全、可靠、经济，并维修方便；保证不因设计原因造成</w:t>
      </w:r>
      <w:r>
        <w:rPr>
          <w:rFonts w:hint="eastAsia"/>
          <w:sz w:val="24"/>
          <w:lang w:eastAsia="zh-CN"/>
        </w:rPr>
        <w:t>设备</w:t>
      </w:r>
      <w:r>
        <w:rPr>
          <w:sz w:val="24"/>
          <w:lang w:eastAsia="zh-CN"/>
        </w:rPr>
        <w:t>投产后需进行完善化工作和技改工作，保证不因设计原因造成非计划停运，保证不因设计原因造成提前大修。</w:t>
      </w:r>
    </w:p>
    <w:p>
      <w:pPr>
        <w:pStyle w:val="24"/>
        <w:numPr>
          <w:ilvl w:val="1"/>
          <w:numId w:val="8"/>
        </w:numPr>
        <w:autoSpaceDE/>
        <w:autoSpaceDN/>
        <w:adjustRightInd w:val="0"/>
        <w:spacing w:before="0"/>
        <w:ind w:left="851" w:hanging="425"/>
        <w:jc w:val="both"/>
        <w:rPr>
          <w:sz w:val="24"/>
        </w:rPr>
      </w:pPr>
      <w:r>
        <w:rPr>
          <w:sz w:val="24"/>
        </w:rPr>
        <w:t>设计</w:t>
      </w:r>
      <w:r>
        <w:rPr>
          <w:rFonts w:hint="eastAsia"/>
          <w:sz w:val="24"/>
        </w:rPr>
        <w:t>方责任</w:t>
      </w:r>
      <w:r>
        <w:rPr>
          <w:sz w:val="24"/>
        </w:rPr>
        <w:t>：</w:t>
      </w:r>
    </w:p>
    <w:p>
      <w:pPr>
        <w:adjustRightInd w:val="0"/>
        <w:ind w:firstLine="480" w:firstLineChars="200"/>
        <w:rPr>
          <w:sz w:val="24"/>
          <w:lang w:eastAsia="zh-CN"/>
        </w:rPr>
      </w:pPr>
      <w:r>
        <w:rPr>
          <w:sz w:val="24"/>
          <w:lang w:eastAsia="zh-CN"/>
        </w:rPr>
        <w:t>全面加强与委托方的沟通，将</w:t>
      </w:r>
      <w:r>
        <w:rPr>
          <w:rFonts w:hint="eastAsia"/>
          <w:sz w:val="24"/>
          <w:lang w:eastAsia="zh-CN"/>
        </w:rPr>
        <w:t>热电厂汽轮机改造</w:t>
      </w:r>
      <w:r>
        <w:rPr>
          <w:sz w:val="24"/>
          <w:lang w:eastAsia="zh-CN"/>
        </w:rPr>
        <w:t>成一个安全可靠、经济适用、高效环保。设计方目标明确、措施得力</w:t>
      </w:r>
      <w:r>
        <w:rPr>
          <w:rFonts w:hint="eastAsia"/>
          <w:sz w:val="24"/>
          <w:lang w:eastAsia="zh-CN"/>
        </w:rPr>
        <w:t>，</w:t>
      </w:r>
      <w:r>
        <w:rPr>
          <w:sz w:val="24"/>
          <w:lang w:eastAsia="zh-CN"/>
        </w:rPr>
        <w:t>为委托方提供满意的设计成果。</w:t>
      </w:r>
    </w:p>
    <w:p>
      <w:pPr>
        <w:pStyle w:val="60"/>
        <w:widowControl w:val="0"/>
        <w:numPr>
          <w:ilvl w:val="0"/>
          <w:numId w:val="9"/>
        </w:numPr>
        <w:adjustRightInd w:val="0"/>
        <w:ind w:left="0" w:firstLine="480"/>
        <w:jc w:val="both"/>
        <w:rPr>
          <w:sz w:val="24"/>
          <w:szCs w:val="24"/>
        </w:rPr>
      </w:pPr>
      <w:r>
        <w:rPr>
          <w:sz w:val="24"/>
          <w:szCs w:val="24"/>
        </w:rPr>
        <w:t>全力提供优质的设计产品、提供优质的全过程技术服务；对工程寿命期的设计质量终身负责。</w:t>
      </w:r>
    </w:p>
    <w:p>
      <w:pPr>
        <w:pStyle w:val="60"/>
        <w:widowControl w:val="0"/>
        <w:numPr>
          <w:ilvl w:val="0"/>
          <w:numId w:val="9"/>
        </w:numPr>
        <w:adjustRightInd w:val="0"/>
        <w:ind w:left="0" w:firstLine="480"/>
        <w:jc w:val="both"/>
        <w:rPr>
          <w:sz w:val="24"/>
          <w:szCs w:val="24"/>
        </w:rPr>
      </w:pPr>
      <w:r>
        <w:rPr>
          <w:sz w:val="24"/>
          <w:szCs w:val="24"/>
        </w:rPr>
        <w:t>建立设计项目经理（设总）负责的全过程设计、服务组织体系，做到设计水平、产品质量及交付进度与工程进度总体一致和紧密衔接，让委托方满意最大化；服务态度、服务内容、服务行为规范化；服务计划、服务组织制度化；服务工作及时、周到、主动，让委托方满意。</w:t>
      </w:r>
    </w:p>
    <w:p>
      <w:pPr>
        <w:pStyle w:val="60"/>
        <w:widowControl w:val="0"/>
        <w:numPr>
          <w:ilvl w:val="0"/>
          <w:numId w:val="9"/>
        </w:numPr>
        <w:adjustRightInd w:val="0"/>
        <w:ind w:left="0" w:firstLine="480"/>
        <w:jc w:val="both"/>
        <w:rPr>
          <w:sz w:val="24"/>
          <w:szCs w:val="24"/>
        </w:rPr>
      </w:pPr>
      <w:r>
        <w:rPr>
          <w:sz w:val="24"/>
          <w:szCs w:val="24"/>
        </w:rPr>
        <w:t>严格履行合同规定的责任和义务。按合同规定进行设计的组织和实施，保证设计质量和工期。</w:t>
      </w:r>
    </w:p>
    <w:p>
      <w:pPr>
        <w:pStyle w:val="60"/>
        <w:widowControl w:val="0"/>
        <w:numPr>
          <w:ilvl w:val="0"/>
          <w:numId w:val="9"/>
        </w:numPr>
        <w:adjustRightInd w:val="0"/>
        <w:ind w:left="0" w:firstLine="480"/>
        <w:jc w:val="both"/>
        <w:rPr>
          <w:sz w:val="24"/>
          <w:szCs w:val="24"/>
        </w:rPr>
      </w:pPr>
      <w:r>
        <w:rPr>
          <w:sz w:val="24"/>
          <w:szCs w:val="24"/>
        </w:rPr>
        <w:t>保持设计服务的完整性、连续性，对设计质量、综合技术全面负责，做好工程设计、协调、善后服务等工作。在工程设计中</w:t>
      </w:r>
      <w:r>
        <w:rPr>
          <w:rFonts w:hint="eastAsia"/>
          <w:sz w:val="24"/>
          <w:szCs w:val="24"/>
        </w:rPr>
        <w:t>、</w:t>
      </w:r>
      <w:r>
        <w:rPr>
          <w:sz w:val="24"/>
          <w:szCs w:val="24"/>
        </w:rPr>
        <w:t>与承包商谈判中贯彻委托方的意图和技术原则，并协调技术问题</w:t>
      </w:r>
      <w:r>
        <w:rPr>
          <w:rFonts w:hint="eastAsia"/>
          <w:sz w:val="24"/>
          <w:szCs w:val="24"/>
        </w:rPr>
        <w:t>。</w:t>
      </w:r>
    </w:p>
    <w:p>
      <w:pPr>
        <w:pStyle w:val="60"/>
        <w:widowControl w:val="0"/>
        <w:numPr>
          <w:ilvl w:val="0"/>
          <w:numId w:val="9"/>
        </w:numPr>
        <w:adjustRightInd w:val="0"/>
        <w:ind w:left="0" w:firstLine="480"/>
        <w:jc w:val="both"/>
        <w:rPr>
          <w:sz w:val="24"/>
          <w:szCs w:val="24"/>
        </w:rPr>
      </w:pPr>
      <w:r>
        <w:rPr>
          <w:sz w:val="24"/>
          <w:szCs w:val="24"/>
        </w:rPr>
        <w:t>在设计服务过程中，认真听取委托方的意见，持续改进设计和服务工作。在不违背国家政策及技术原则的前提下，对委托方根据工作需要所作的决定，积极支持并贯彻，并尽职尽责、努力工作、严守机密。与委托方密切配合，实现工程质量零缺陷，工程质量零危险，服务质量零抱怨。</w:t>
      </w:r>
    </w:p>
    <w:p>
      <w:pPr>
        <w:pStyle w:val="60"/>
        <w:widowControl w:val="0"/>
        <w:numPr>
          <w:ilvl w:val="0"/>
          <w:numId w:val="9"/>
        </w:numPr>
        <w:adjustRightInd w:val="0"/>
        <w:ind w:left="0" w:firstLine="480"/>
        <w:jc w:val="both"/>
        <w:rPr>
          <w:sz w:val="24"/>
          <w:szCs w:val="24"/>
        </w:rPr>
      </w:pPr>
      <w:r>
        <w:rPr>
          <w:sz w:val="24"/>
          <w:szCs w:val="24"/>
        </w:rPr>
        <w:t>明确以项目为中心的指导思想。充分理解委托方当前和未来的需要，满足委托方并争取超越委托方期望。工程的全部设计、服务工作，均以实现委托方满意为最终目标。设计方将主动对委托方的要求予以识别，包括委托方指明的及未指明但预期或规定为精品工程必须的内容，主动汇总和归纳从</w:t>
      </w:r>
      <w:r>
        <w:rPr>
          <w:rFonts w:hint="eastAsia"/>
          <w:sz w:val="24"/>
          <w:szCs w:val="24"/>
        </w:rPr>
        <w:t>委托方</w:t>
      </w:r>
      <w:r>
        <w:rPr>
          <w:sz w:val="24"/>
          <w:szCs w:val="24"/>
        </w:rPr>
        <w:t>回馈的缺陷和建议，有针对性扎实地予以改进提高。</w:t>
      </w:r>
    </w:p>
    <w:p>
      <w:pPr>
        <w:pStyle w:val="60"/>
        <w:widowControl w:val="0"/>
        <w:numPr>
          <w:ilvl w:val="0"/>
          <w:numId w:val="9"/>
        </w:numPr>
        <w:adjustRightInd w:val="0"/>
        <w:ind w:left="0" w:firstLine="480"/>
        <w:jc w:val="both"/>
        <w:rPr>
          <w:sz w:val="24"/>
          <w:szCs w:val="24"/>
        </w:rPr>
      </w:pPr>
      <w:r>
        <w:rPr>
          <w:sz w:val="24"/>
          <w:szCs w:val="24"/>
        </w:rPr>
        <w:t>深入优化技术方案，严格执行国家、地方和电力行业的各种规范和规定，优质完成工程的各阶段设计文件，提供优秀勘测设计成品。如果以上规范、规定和要求出现重叠、交叉或矛盾，设计方将首先和委托方研究、讨论，若无重大原则问题一般将采用标准高的规范和要求。为确保工程的精品水平，我公司将集中优秀的管理及技术专家，对各系统方案的设计进行策划和指导，并参与各设计阶段的评审、验证和确认。</w:t>
      </w:r>
    </w:p>
    <w:p>
      <w:pPr>
        <w:pStyle w:val="24"/>
        <w:numPr>
          <w:ilvl w:val="1"/>
          <w:numId w:val="8"/>
        </w:numPr>
        <w:autoSpaceDE/>
        <w:autoSpaceDN/>
        <w:adjustRightInd w:val="0"/>
        <w:spacing w:before="0"/>
        <w:ind w:left="851" w:hanging="425"/>
        <w:jc w:val="both"/>
        <w:rPr>
          <w:sz w:val="24"/>
        </w:rPr>
      </w:pPr>
      <w:r>
        <w:rPr>
          <w:rFonts w:hint="eastAsia"/>
          <w:sz w:val="24"/>
        </w:rPr>
        <w:t>委托方责任</w:t>
      </w:r>
      <w:r>
        <w:rPr>
          <w:sz w:val="24"/>
        </w:rPr>
        <w:t>：</w:t>
      </w:r>
    </w:p>
    <w:p>
      <w:pPr>
        <w:pStyle w:val="60"/>
        <w:widowControl w:val="0"/>
        <w:adjustRightInd w:val="0"/>
        <w:ind w:firstLineChars="0"/>
        <w:jc w:val="both"/>
        <w:rPr>
          <w:sz w:val="24"/>
          <w:szCs w:val="24"/>
        </w:rPr>
      </w:pPr>
      <w:r>
        <w:rPr>
          <w:sz w:val="24"/>
          <w:szCs w:val="24"/>
        </w:rPr>
        <w:fldChar w:fldCharType="begin"/>
      </w:r>
      <w:r>
        <w:rPr>
          <w:sz w:val="24"/>
          <w:szCs w:val="24"/>
        </w:rPr>
        <w:instrText xml:space="preserve"> </w:instrText>
      </w:r>
      <w:r>
        <w:rPr>
          <w:rFonts w:hint="eastAsia"/>
          <w:sz w:val="24"/>
          <w:szCs w:val="24"/>
        </w:rPr>
        <w:instrText xml:space="preserve">=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根据投标方要求，提供热电厂相关资料；</w:t>
      </w:r>
    </w:p>
    <w:p>
      <w:pPr>
        <w:pStyle w:val="60"/>
        <w:widowControl w:val="0"/>
        <w:adjustRightInd w:val="0"/>
        <w:ind w:firstLineChars="0"/>
        <w:jc w:val="both"/>
        <w:rPr>
          <w:sz w:val="24"/>
          <w:szCs w:val="24"/>
        </w:rPr>
      </w:pP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因勘察等原因，投标方需入厂实地察看时，委托方需帮助投标方办理入厂手续</w:t>
      </w:r>
    </w:p>
    <w:p>
      <w:pPr>
        <w:pStyle w:val="60"/>
        <w:widowControl w:val="0"/>
        <w:adjustRightInd w:val="0"/>
        <w:ind w:firstLineChars="0"/>
        <w:jc w:val="both"/>
        <w:rPr>
          <w:sz w:val="24"/>
          <w:szCs w:val="24"/>
        </w:rPr>
      </w:pPr>
      <w:r>
        <w:rPr>
          <w:sz w:val="24"/>
          <w:szCs w:val="24"/>
        </w:rPr>
        <w:fldChar w:fldCharType="begin"/>
      </w:r>
      <w:r>
        <w:rPr>
          <w:sz w:val="24"/>
          <w:szCs w:val="24"/>
        </w:rPr>
        <w:instrText xml:space="preserve"> </w:instrText>
      </w:r>
      <w:r>
        <w:rPr>
          <w:rFonts w:hint="eastAsia"/>
          <w:sz w:val="24"/>
          <w:szCs w:val="24"/>
        </w:rPr>
        <w:instrText xml:space="preserve">=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其他需要配合投标方的事宜（技术人员对接、协调工作）</w:t>
      </w:r>
    </w:p>
    <w:p>
      <w:pPr>
        <w:pStyle w:val="4"/>
        <w:keepNext/>
        <w:keepLines/>
        <w:numPr>
          <w:ilvl w:val="0"/>
          <w:numId w:val="6"/>
        </w:numPr>
        <w:autoSpaceDE/>
        <w:autoSpaceDN/>
        <w:jc w:val="both"/>
        <w:rPr>
          <w:sz w:val="28"/>
        </w:rPr>
      </w:pPr>
      <w:r>
        <w:rPr>
          <w:rFonts w:hint="eastAsia"/>
          <w:sz w:val="28"/>
        </w:rPr>
        <w:t>资质要求：</w:t>
      </w:r>
      <w:r>
        <w:rPr>
          <w:sz w:val="28"/>
        </w:rPr>
        <w:t xml:space="preserve"> </w:t>
      </w:r>
    </w:p>
    <w:p>
      <w:pPr>
        <w:numPr>
          <w:ilvl w:val="0"/>
          <w:numId w:val="10"/>
        </w:numPr>
        <w:autoSpaceDE/>
        <w:autoSpaceDN/>
        <w:ind w:left="426" w:hanging="142"/>
        <w:jc w:val="both"/>
        <w:rPr>
          <w:sz w:val="24"/>
          <w:lang w:eastAsia="zh-CN"/>
        </w:rPr>
      </w:pPr>
      <w:r>
        <w:rPr>
          <w:rFonts w:hint="eastAsia"/>
          <w:sz w:val="24"/>
          <w:lang w:eastAsia="zh-CN"/>
        </w:rPr>
        <w:t>投标方应具有建设主管部门颁发的电力工程设计资质甲级及以上资质、工程勘察甲级及以上资质；</w:t>
      </w:r>
    </w:p>
    <w:p>
      <w:pPr>
        <w:numPr>
          <w:ilvl w:val="0"/>
          <w:numId w:val="10"/>
        </w:numPr>
        <w:autoSpaceDE/>
        <w:autoSpaceDN/>
        <w:ind w:left="284" w:firstLine="0"/>
        <w:jc w:val="both"/>
        <w:rPr>
          <w:sz w:val="24"/>
          <w:lang w:eastAsia="zh-CN"/>
        </w:rPr>
      </w:pPr>
      <w:r>
        <w:rPr>
          <w:rFonts w:hint="eastAsia"/>
          <w:sz w:val="24"/>
          <w:lang w:eastAsia="zh-CN"/>
        </w:rPr>
        <w:t>近五年内承担过同类工程设计或</w:t>
      </w:r>
      <w:r>
        <w:rPr>
          <w:sz w:val="24"/>
          <w:lang w:eastAsia="zh-CN"/>
        </w:rPr>
        <w:t>EPC业绩</w:t>
      </w:r>
      <w:r>
        <w:rPr>
          <w:rFonts w:hint="eastAsia"/>
          <w:sz w:val="24"/>
          <w:lang w:eastAsia="zh-CN"/>
        </w:rPr>
        <w:t>，并有良好的履约记录；</w:t>
      </w:r>
    </w:p>
    <w:p>
      <w:pPr>
        <w:numPr>
          <w:ilvl w:val="0"/>
          <w:numId w:val="10"/>
        </w:numPr>
        <w:autoSpaceDE/>
        <w:autoSpaceDN/>
        <w:ind w:left="284" w:firstLine="0"/>
        <w:jc w:val="both"/>
        <w:rPr>
          <w:sz w:val="24"/>
          <w:lang w:eastAsia="zh-CN"/>
        </w:rPr>
      </w:pPr>
      <w:r>
        <w:rPr>
          <w:rFonts w:hint="eastAsia"/>
          <w:sz w:val="24"/>
          <w:lang w:eastAsia="zh-CN"/>
        </w:rPr>
        <w:t>近三年内无设计质量事故，无被相关行政部门处罚记录；</w:t>
      </w:r>
    </w:p>
    <w:p>
      <w:pPr>
        <w:numPr>
          <w:ilvl w:val="0"/>
          <w:numId w:val="10"/>
        </w:numPr>
        <w:autoSpaceDE/>
        <w:autoSpaceDN/>
        <w:ind w:left="284" w:firstLine="0"/>
        <w:jc w:val="both"/>
        <w:rPr>
          <w:sz w:val="24"/>
          <w:lang w:eastAsia="zh-CN"/>
        </w:rPr>
      </w:pPr>
      <w:r>
        <w:rPr>
          <w:rFonts w:hint="eastAsia"/>
          <w:sz w:val="24"/>
          <w:lang w:eastAsia="zh-CN"/>
        </w:rPr>
        <w:t>投标单位应能提供相关设计业绩（附相关服务业绩证明）；</w:t>
      </w:r>
    </w:p>
    <w:p>
      <w:pPr>
        <w:numPr>
          <w:ilvl w:val="0"/>
          <w:numId w:val="10"/>
        </w:numPr>
        <w:autoSpaceDE/>
        <w:autoSpaceDN/>
        <w:ind w:left="284" w:firstLine="0"/>
        <w:jc w:val="both"/>
        <w:rPr>
          <w:sz w:val="24"/>
          <w:lang w:eastAsia="zh-CN"/>
        </w:rPr>
      </w:pPr>
      <w:r>
        <w:rPr>
          <w:rFonts w:hint="eastAsia"/>
          <w:sz w:val="24"/>
          <w:lang w:eastAsia="zh-CN"/>
        </w:rPr>
        <w:t>报告应满足安全、适用、经济、满足本项目电力设计使用功能的要求，并经当地主管部门认可、审批通过。</w:t>
      </w:r>
    </w:p>
    <w:p>
      <w:pPr>
        <w:pStyle w:val="3"/>
        <w:keepNext/>
        <w:keepLines/>
        <w:numPr>
          <w:ilvl w:val="0"/>
          <w:numId w:val="2"/>
        </w:numPr>
        <w:autoSpaceDE/>
        <w:autoSpaceDN/>
        <w:jc w:val="both"/>
        <w:rPr>
          <w:sz w:val="32"/>
          <w:szCs w:val="32"/>
        </w:rPr>
      </w:pPr>
      <w:r>
        <w:rPr>
          <w:rFonts w:hint="eastAsia"/>
          <w:sz w:val="32"/>
          <w:szCs w:val="32"/>
        </w:rPr>
        <w:t>附件</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附件1：福海创蒸汽负荷表</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附件2：热电厂平面布置图</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附件3：永福院初设总说明（现有装置）</w:t>
      </w:r>
    </w:p>
    <w:p>
      <w:pPr>
        <w:pStyle w:val="24"/>
        <w:spacing w:before="0"/>
        <w:ind w:left="357" w:firstLine="0"/>
        <w:rPr>
          <w:rFonts w:ascii="Times New Roman" w:hAnsi="Times New Roman" w:cs="Times New Roman"/>
          <w:sz w:val="24"/>
          <w:szCs w:val="24"/>
          <w:lang w:eastAsia="zh-CN"/>
        </w:rPr>
      </w:pPr>
      <w:r>
        <w:rPr>
          <w:rFonts w:hint="eastAsia" w:ascii="Times New Roman" w:hAnsi="Times New Roman" w:cs="Times New Roman"/>
          <w:sz w:val="24"/>
          <w:szCs w:val="24"/>
          <w:lang w:eastAsia="zh-CN"/>
        </w:rPr>
        <w:t>附件4：永福院施工图总说明（现有装置）</w:t>
      </w:r>
    </w:p>
    <w:p>
      <w:pPr>
        <w:pStyle w:val="24"/>
        <w:spacing w:before="0"/>
        <w:ind w:left="357" w:firstLine="0"/>
        <w:rPr>
          <w:rFonts w:ascii="Times New Roman" w:hAnsi="Times New Roman" w:cs="Times New Roman"/>
          <w:sz w:val="24"/>
          <w:szCs w:val="24"/>
          <w:lang w:eastAsia="zh-CN"/>
        </w:rPr>
      </w:pPr>
      <w:r>
        <w:rPr>
          <w:rFonts w:ascii="Times New Roman" w:hAnsi="Times New Roman" w:cs="Times New Roman"/>
          <w:sz w:val="24"/>
          <w:szCs w:val="24"/>
          <w:lang w:eastAsia="zh-CN"/>
        </w:rPr>
        <w:t>附件5</w:t>
      </w:r>
      <w:r>
        <w:rPr>
          <w:rFonts w:hint="eastAsia" w:ascii="Times New Roman" w:hAnsi="Times New Roman" w:cs="Times New Roman"/>
          <w:sz w:val="24"/>
          <w:szCs w:val="24"/>
          <w:lang w:eastAsia="zh-CN"/>
        </w:rPr>
        <w:t>：中环院施工图总说明（现有装置）</w:t>
      </w:r>
    </w:p>
    <w:p>
      <w:pPr>
        <w:pStyle w:val="24"/>
        <w:spacing w:before="0"/>
        <w:ind w:left="357" w:firstLine="0"/>
        <w:rPr>
          <w:lang w:eastAsia="zh-CN"/>
        </w:rPr>
      </w:pPr>
      <w:r>
        <w:rPr>
          <w:rFonts w:ascii="Times New Roman" w:hAnsi="Times New Roman" w:cs="Times New Roman"/>
          <w:sz w:val="24"/>
          <w:szCs w:val="24"/>
          <w:lang w:eastAsia="zh-CN"/>
        </w:rPr>
        <w:t>附件6</w:t>
      </w:r>
      <w:r>
        <w:rPr>
          <w:rFonts w:hint="eastAsia" w:ascii="Times New Roman" w:hAnsi="Times New Roman" w:cs="Times New Roman"/>
          <w:sz w:val="24"/>
          <w:szCs w:val="24"/>
          <w:lang w:eastAsia="zh-CN"/>
        </w:rPr>
        <w:t>：热电厂汽轮机改造工程可研报告</w:t>
      </w:r>
    </w:p>
    <w:p>
      <w:pPr>
        <w:pStyle w:val="2"/>
        <w:rPr>
          <w:b/>
          <w:sz w:val="28"/>
          <w:szCs w:val="28"/>
        </w:rPr>
      </w:pPr>
    </w:p>
    <w:p>
      <w:pPr>
        <w:pStyle w:val="2"/>
        <w:rPr>
          <w:b/>
          <w:sz w:val="28"/>
          <w:szCs w:val="28"/>
        </w:rPr>
      </w:pPr>
    </w:p>
    <w:p>
      <w:pPr>
        <w:pStyle w:val="2"/>
        <w:rPr>
          <w:b/>
          <w:sz w:val="28"/>
          <w:szCs w:val="28"/>
        </w:rPr>
      </w:pPr>
      <w:r>
        <w:rPr>
          <w:rFonts w:hint="eastAsia"/>
          <w:b/>
          <w:sz w:val="28"/>
          <w:szCs w:val="28"/>
        </w:rPr>
        <w:t>附件2：</w:t>
      </w:r>
    </w:p>
    <w:p>
      <w:pPr>
        <w:pStyle w:val="2"/>
        <w:rPr>
          <w:b/>
          <w:sz w:val="28"/>
          <w:szCs w:val="28"/>
        </w:rPr>
      </w:pPr>
    </w:p>
    <w:p>
      <w:pPr>
        <w:pStyle w:val="2"/>
        <w:rPr>
          <w:b/>
          <w:sz w:val="28"/>
          <w:szCs w:val="28"/>
        </w:rPr>
      </w:pPr>
      <w:r>
        <w:rPr>
          <w:rFonts w:hint="eastAsia"/>
          <w:b/>
          <w:sz w:val="28"/>
          <w:szCs w:val="28"/>
        </w:rPr>
        <w:t xml:space="preserve">                 价格清单</w:t>
      </w:r>
    </w:p>
    <w:p>
      <w:pPr>
        <w:pStyle w:val="2"/>
      </w:pPr>
    </w:p>
    <w:p>
      <w:pPr>
        <w:pStyle w:val="2"/>
        <w:rPr>
          <w:b/>
          <w:sz w:val="28"/>
          <w:szCs w:val="28"/>
        </w:rPr>
      </w:pPr>
      <w:r>
        <w:rPr>
          <w:rFonts w:hint="eastAsia"/>
          <w:b/>
          <w:sz w:val="28"/>
          <w:szCs w:val="28"/>
        </w:rPr>
        <w:t>附件3：</w:t>
      </w:r>
    </w:p>
    <w:p>
      <w:pPr>
        <w:pStyle w:val="9"/>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kern w:val="59"/>
          <w:u w:val="single"/>
          <w:lang w:eastAsia="zh-CN"/>
        </w:rPr>
        <w:t>南部热源点一期工程可行性研究及项目申请</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ind w:left="1"/>
        <w:rPr>
          <w:szCs w:val="21"/>
          <w:lang w:eastAsia="zh-CN"/>
        </w:rPr>
      </w:pPr>
      <w:r>
        <w:rPr>
          <w:rFonts w:hint="eastAsia"/>
          <w:b/>
          <w:szCs w:val="21"/>
          <w:lang w:eastAsia="zh-CN"/>
        </w:rPr>
        <w:t>一、甲方的权利和义务：</w:t>
      </w:r>
    </w:p>
    <w:p>
      <w:pPr>
        <w:rPr>
          <w:szCs w:val="21"/>
          <w:lang w:eastAsia="zh-CN"/>
        </w:rPr>
      </w:pPr>
      <w:r>
        <w:rPr>
          <w:rFonts w:hint="eastAsia"/>
          <w:szCs w:val="21"/>
          <w:lang w:eastAsia="zh-CN"/>
        </w:rPr>
        <w:t>1、 甲方有权对乙方的资质进行审查，确认其符合且具备进厂条件，方可进厂施工。</w:t>
      </w:r>
    </w:p>
    <w:p>
      <w:pPr>
        <w:rPr>
          <w:szCs w:val="21"/>
          <w:lang w:eastAsia="zh-CN"/>
        </w:rPr>
      </w:pPr>
      <w:r>
        <w:rPr>
          <w:rFonts w:hint="eastAsia"/>
          <w:szCs w:val="21"/>
          <w:lang w:eastAsia="zh-CN"/>
        </w:rPr>
        <w:t>2、 甲方有权要求乙方维护好甲方相关的安全环保设施、设备和器材。</w:t>
      </w:r>
    </w:p>
    <w:p>
      <w:pPr>
        <w:tabs>
          <w:tab w:val="left" w:pos="360"/>
          <w:tab w:val="left" w:pos="840"/>
        </w:tabs>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rPr>
          <w:color w:val="FF0000"/>
          <w:szCs w:val="21"/>
          <w:lang w:eastAsia="zh-CN"/>
        </w:rPr>
      </w:pPr>
      <w:r>
        <w:rPr>
          <w:rFonts w:hint="eastAsia"/>
          <w:szCs w:val="21"/>
          <w:lang w:eastAsia="zh-CN"/>
        </w:rPr>
        <w:t>5、 甲方有权对乙方不服从管理和严重违章者，驱除施工现场。</w:t>
      </w:r>
    </w:p>
    <w:p>
      <w:pPr>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rPr>
          <w:szCs w:val="21"/>
          <w:lang w:eastAsia="zh-CN"/>
        </w:rPr>
      </w:pPr>
      <w:r>
        <w:rPr>
          <w:rFonts w:hint="eastAsia"/>
          <w:szCs w:val="21"/>
          <w:lang w:eastAsia="zh-CN"/>
        </w:rPr>
        <w:t>9、 甲方在开工前必须对乙方进行全面的安全技术及文明施工交底。</w:t>
      </w:r>
    </w:p>
    <w:p>
      <w:pPr>
        <w:ind w:left="1"/>
        <w:rPr>
          <w:b/>
          <w:szCs w:val="21"/>
          <w:lang w:eastAsia="zh-CN"/>
        </w:rPr>
      </w:pPr>
      <w:r>
        <w:rPr>
          <w:rFonts w:hint="eastAsia"/>
          <w:b/>
          <w:szCs w:val="21"/>
          <w:lang w:eastAsia="zh-CN"/>
        </w:rPr>
        <w:t>二、乙方的权利和义务：</w:t>
      </w:r>
    </w:p>
    <w:p>
      <w:pPr>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rPr>
          <w:szCs w:val="21"/>
          <w:lang w:eastAsia="zh-CN"/>
        </w:rPr>
      </w:pPr>
      <w:r>
        <w:rPr>
          <w:rFonts w:hint="eastAsia"/>
          <w:szCs w:val="21"/>
          <w:lang w:eastAsia="zh-CN"/>
        </w:rPr>
        <w:t>2、  乙方有权对甲方安全管理工作提出合理化建议或改进措施。</w:t>
      </w:r>
    </w:p>
    <w:p>
      <w:pPr>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rPr>
          <w:szCs w:val="21"/>
          <w:lang w:eastAsia="zh-CN"/>
        </w:rPr>
      </w:pPr>
      <w:r>
        <w:rPr>
          <w:rFonts w:hint="eastAsia"/>
          <w:szCs w:val="21"/>
          <w:lang w:eastAsia="zh-CN"/>
        </w:rPr>
        <w:t>4、 乙方对危及生命安全和身体健康的施工作业条件和环境，有权提出整改建议或拒绝施工作业。</w:t>
      </w:r>
    </w:p>
    <w:p>
      <w:pPr>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rPr>
          <w:szCs w:val="21"/>
          <w:lang w:eastAsia="zh-CN"/>
        </w:rPr>
      </w:pPr>
      <w:r>
        <w:rPr>
          <w:rFonts w:hint="eastAsia"/>
          <w:szCs w:val="21"/>
          <w:lang w:eastAsia="zh-CN"/>
        </w:rPr>
        <w:t>6、 乙方有权要求甲方提供相关的安全资料。</w:t>
      </w:r>
    </w:p>
    <w:p>
      <w:pPr>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ind w:left="1"/>
        <w:rPr>
          <w:b/>
          <w:szCs w:val="21"/>
        </w:rPr>
      </w:pPr>
      <w:r>
        <w:rPr>
          <w:rFonts w:hint="eastAsia"/>
          <w:b/>
          <w:szCs w:val="21"/>
        </w:rPr>
        <w:t>三、违约责任及处理</w:t>
      </w:r>
    </w:p>
    <w:p>
      <w:pPr>
        <w:pStyle w:val="24"/>
        <w:numPr>
          <w:ilvl w:val="0"/>
          <w:numId w:val="11"/>
        </w:numPr>
        <w:autoSpaceDE/>
        <w:autoSpaceDN/>
        <w:spacing w:before="0"/>
        <w:jc w:val="both"/>
        <w:rPr>
          <w:b/>
          <w:szCs w:val="21"/>
          <w:lang w:eastAsia="zh-CN"/>
        </w:rPr>
      </w:pPr>
      <w:r>
        <w:rPr>
          <w:rFonts w:hint="eastAsia"/>
          <w:szCs w:val="21"/>
          <w:lang w:eastAsia="zh-CN"/>
        </w:rPr>
        <w:t>乙方不得将工程违法转包、分包。</w:t>
      </w:r>
    </w:p>
    <w:p>
      <w:pPr>
        <w:rPr>
          <w:szCs w:val="21"/>
          <w:lang w:eastAsia="zh-CN"/>
        </w:rPr>
      </w:pPr>
      <w:r>
        <w:rPr>
          <w:rFonts w:hint="eastAsia"/>
          <w:szCs w:val="21"/>
          <w:lang w:eastAsia="zh-CN"/>
        </w:rPr>
        <w:t>2、发生安全事故时，甲乙双方均有抢险、救灾的义务，所发生的费用由责任方承担。</w:t>
      </w:r>
    </w:p>
    <w:p>
      <w:pPr>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rPr>
          <w:szCs w:val="21"/>
          <w:lang w:eastAsia="zh-CN"/>
        </w:rPr>
      </w:pPr>
      <w:r>
        <w:rPr>
          <w:rFonts w:hint="eastAsia"/>
          <w:szCs w:val="21"/>
          <w:lang w:eastAsia="zh-CN"/>
        </w:rPr>
        <w:t>4、甲方违约造成的事故，甲方承担全部责任，并按规定追究有关人员责任及上报。</w:t>
      </w:r>
    </w:p>
    <w:p>
      <w:pPr>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ind w:left="1"/>
        <w:rPr>
          <w:b/>
          <w:szCs w:val="21"/>
          <w:lang w:eastAsia="zh-CN"/>
        </w:rPr>
      </w:pPr>
      <w:r>
        <w:rPr>
          <w:rFonts w:hint="eastAsia"/>
          <w:b/>
          <w:szCs w:val="21"/>
          <w:lang w:eastAsia="zh-CN"/>
        </w:rPr>
        <w:t>四、 不可抗力：</w:t>
      </w:r>
    </w:p>
    <w:p>
      <w:pPr>
        <w:rPr>
          <w:szCs w:val="21"/>
          <w:lang w:eastAsia="zh-CN"/>
        </w:rPr>
      </w:pPr>
      <w:r>
        <w:rPr>
          <w:rFonts w:hint="eastAsia"/>
          <w:szCs w:val="21"/>
          <w:lang w:eastAsia="zh-CN"/>
        </w:rPr>
        <w:t xml:space="preserve"> 由于不可抗力造成合同项目施工作业事故及产生的损失，甲乙双方各自承担相应的损失。</w:t>
      </w:r>
    </w:p>
    <w:p>
      <w:pPr>
        <w:ind w:left="1"/>
        <w:rPr>
          <w:szCs w:val="21"/>
          <w:lang w:eastAsia="zh-CN"/>
        </w:rPr>
      </w:pPr>
      <w:r>
        <w:rPr>
          <w:rFonts w:hint="eastAsia"/>
          <w:b/>
          <w:szCs w:val="21"/>
          <w:lang w:eastAsia="zh-CN"/>
        </w:rPr>
        <w:t>五、</w:t>
      </w:r>
      <w:r>
        <w:rPr>
          <w:rFonts w:hint="eastAsia"/>
          <w:szCs w:val="21"/>
          <w:lang w:eastAsia="zh-CN"/>
        </w:rPr>
        <w:t>本协议书一式6份，甲方执4份，乙方执2份。</w:t>
      </w:r>
    </w:p>
    <w:p>
      <w:pPr>
        <w:ind w:left="1"/>
        <w:rPr>
          <w:szCs w:val="21"/>
          <w:lang w:eastAsia="zh-CN"/>
        </w:rPr>
      </w:pPr>
      <w:r>
        <w:rPr>
          <w:rFonts w:hint="eastAsia"/>
          <w:b/>
          <w:szCs w:val="21"/>
          <w:lang w:eastAsia="zh-CN"/>
        </w:rPr>
        <w:t>六、</w:t>
      </w:r>
      <w:r>
        <w:rPr>
          <w:rFonts w:hint="eastAsia"/>
          <w:szCs w:val="21"/>
          <w:lang w:eastAsia="zh-CN"/>
        </w:rPr>
        <w:t>本协议书经双方盖章后生效。</w:t>
      </w:r>
    </w:p>
    <w:p>
      <w:pPr>
        <w:ind w:left="1"/>
        <w:rPr>
          <w:b/>
          <w:szCs w:val="21"/>
          <w:lang w:eastAsia="zh-CN"/>
        </w:rPr>
      </w:pPr>
      <w:r>
        <w:rPr>
          <w:rFonts w:hint="eastAsia"/>
          <w:b/>
          <w:szCs w:val="21"/>
          <w:lang w:eastAsia="zh-CN"/>
        </w:rPr>
        <w:t>七、协议期限：</w:t>
      </w:r>
    </w:p>
    <w:p>
      <w:pPr>
        <w:rPr>
          <w:szCs w:val="21"/>
          <w:lang w:eastAsia="zh-CN"/>
        </w:rPr>
      </w:pPr>
      <w:r>
        <w:rPr>
          <w:rFonts w:hint="eastAsia"/>
          <w:szCs w:val="21"/>
          <w:lang w:eastAsia="zh-CN"/>
        </w:rPr>
        <w:t>本协议期限应与主合同期限一致。如果主合同因故需要变更期限，本合同应与主同变更至相同期限。</w:t>
      </w:r>
    </w:p>
    <w:p>
      <w:pPr>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b/>
          <w:sz w:val="28"/>
          <w:szCs w:val="28"/>
          <w:lang w:eastAsia="zh-CN"/>
        </w:rPr>
      </w:pPr>
      <w:r>
        <w:rPr>
          <w:rFonts w:hint="eastAsia"/>
          <w:b/>
          <w:sz w:val="28"/>
          <w:szCs w:val="28"/>
          <w:lang w:eastAsia="zh-CN"/>
        </w:rPr>
        <w:t>附件4：</w:t>
      </w:r>
    </w:p>
    <w:p>
      <w:pPr>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rPr>
          <w:color w:val="000000"/>
          <w:sz w:val="21"/>
          <w:szCs w:val="21"/>
          <w:lang w:eastAsia="zh-CN"/>
        </w:rPr>
      </w:pPr>
      <w:r>
        <w:rPr>
          <w:rFonts w:hint="eastAsia"/>
          <w:snapToGrid w:val="0"/>
          <w:sz w:val="21"/>
          <w:szCs w:val="21"/>
          <w:lang w:eastAsia="zh-CN"/>
        </w:rPr>
        <w:t>项目名称：</w:t>
      </w:r>
      <w:r>
        <w:rPr>
          <w:rFonts w:hint="eastAsia"/>
          <w:kern w:val="59"/>
          <w:sz w:val="21"/>
          <w:szCs w:val="21"/>
          <w:u w:val="single"/>
          <w:lang w:eastAsia="zh-CN"/>
        </w:rPr>
        <w:t>南部热源点一期工程可行性研究及项目申请</w:t>
      </w:r>
      <w:r>
        <w:rPr>
          <w:rFonts w:hint="eastAsia"/>
          <w:sz w:val="21"/>
          <w:szCs w:val="21"/>
          <w:lang w:eastAsia="zh-CN"/>
        </w:rPr>
        <w:t>项目</w:t>
      </w:r>
    </w:p>
    <w:p>
      <w:pPr>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8"/>
        <w:adjustRightInd w:val="0"/>
        <w:spacing w:after="0"/>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rPr>
          <w:snapToGrid w:val="0"/>
          <w:sz w:val="21"/>
          <w:szCs w:val="21"/>
          <w:lang w:eastAsia="zh-CN"/>
        </w:rPr>
      </w:pPr>
      <w:r>
        <w:rPr>
          <w:rFonts w:hint="eastAsia"/>
          <w:snapToGrid w:val="0"/>
          <w:sz w:val="21"/>
          <w:szCs w:val="21"/>
          <w:lang w:eastAsia="zh-CN"/>
        </w:rPr>
        <w:t>（二）严格执行建设工程项目承发包合同文件，自觉按合同办事。</w:t>
      </w:r>
    </w:p>
    <w:p>
      <w:pPr>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rPr>
          <w:snapToGrid w:val="0"/>
          <w:sz w:val="21"/>
          <w:szCs w:val="21"/>
          <w:lang w:eastAsia="zh-CN"/>
        </w:rPr>
      </w:pPr>
      <w:r>
        <w:rPr>
          <w:rFonts w:hint="eastAsia"/>
          <w:snapToGrid w:val="0"/>
          <w:sz w:val="21"/>
          <w:szCs w:val="21"/>
          <w:lang w:eastAsia="zh-CN"/>
        </w:rPr>
        <w:t>（三）不准在乙方和相关单位报销任何应由甲方或个人负担的费用。</w:t>
      </w:r>
    </w:p>
    <w:p>
      <w:pPr>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outlineLvl w:val="0"/>
        <w:rPr>
          <w:snapToGrid w:val="0"/>
          <w:sz w:val="21"/>
          <w:szCs w:val="21"/>
          <w:lang w:eastAsia="zh-CN"/>
        </w:rPr>
      </w:pPr>
      <w:r>
        <w:rPr>
          <w:rFonts w:hint="eastAsia"/>
          <w:b/>
          <w:bCs/>
          <w:snapToGrid w:val="0"/>
          <w:sz w:val="21"/>
          <w:szCs w:val="21"/>
          <w:lang w:eastAsia="zh-CN"/>
        </w:rPr>
        <w:t>第五条 直接责任人、监督部门及举报电话</w:t>
      </w:r>
    </w:p>
    <w:p>
      <w:pPr>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rPr>
          <w:b/>
          <w:bCs/>
          <w:sz w:val="28"/>
          <w:szCs w:val="28"/>
        </w:rPr>
      </w:pPr>
      <w:r>
        <w:br w:type="column"/>
      </w:r>
      <w:r>
        <w:rPr>
          <w:rFonts w:hint="eastAsia"/>
          <w:b/>
          <w:bCs/>
          <w:sz w:val="28"/>
          <w:szCs w:val="28"/>
        </w:rPr>
        <w:t>附件二参选文件范本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 xml:space="preserve"> </w:t>
      </w:r>
      <w:r>
        <w:rPr>
          <w:rFonts w:ascii="方正小标宋简体" w:hAnsi="方正小标宋简体" w:eastAsia="方正小标宋简体" w:cs="方正小标宋简体"/>
          <w:b/>
          <w:sz w:val="44"/>
          <w:szCs w:val="44"/>
          <w:lang w:eastAsia="zh-CN"/>
        </w:rPr>
        <w:t xml:space="preserve"> </w:t>
      </w:r>
      <w:r>
        <w:rPr>
          <w:rFonts w:hint="eastAsia" w:ascii="方正小标宋简体" w:hAnsi="方正小标宋简体" w:eastAsia="方正小标宋简体" w:cs="方正小标宋简体"/>
          <w:b/>
          <w:sz w:val="44"/>
          <w:szCs w:val="44"/>
          <w:lang w:eastAsia="zh-CN"/>
        </w:rPr>
        <w:t>南部热源点一期工程可行性研究阶段</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及项目申请技术发包项目</w:t>
      </w:r>
    </w:p>
    <w:p>
      <w:pPr>
        <w:spacing w:before="38"/>
        <w:ind w:left="172"/>
        <w:jc w:val="center"/>
        <w:rPr>
          <w:rFonts w:ascii="微软雅黑" w:eastAsia="微软雅黑"/>
          <w:b/>
          <w:sz w:val="52"/>
          <w:lang w:eastAsia="zh-CN"/>
        </w:rPr>
      </w:pP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 </w:t>
      </w:r>
      <w:r>
        <w:rPr>
          <w:rFonts w:ascii="Times New Roman" w:hAnsi="Times New Roman"/>
          <w:b/>
          <w:bCs/>
          <w:w w:val="95"/>
          <w:sz w:val="32"/>
          <w:lang w:eastAsia="zh-CN"/>
        </w:rPr>
        <w:t>年</w:t>
      </w:r>
      <w:r>
        <w:rPr>
          <w:rFonts w:hint="eastAsia" w:ascii="Times New Roman" w:hAnsi="Times New Roman"/>
          <w:b/>
          <w:bCs/>
          <w:w w:val="95"/>
          <w:sz w:val="32"/>
          <w:lang w:eastAsia="zh-CN"/>
        </w:rPr>
        <w:t>04</w:t>
      </w:r>
      <w:r>
        <w:rPr>
          <w:rFonts w:ascii="Times New Roman" w:hAnsi="Times New Roman"/>
          <w:b/>
          <w:bCs/>
          <w:w w:val="95"/>
          <w:sz w:val="32"/>
          <w:lang w:eastAsia="zh-CN"/>
        </w:rPr>
        <w:t>月</w:t>
      </w:r>
    </w:p>
    <w:p>
      <w:pPr>
        <w:rPr>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rPr>
        <w:pict>
          <v:shape id="_x0000_s1026" o:spid="_x0000_s1026" o:spt="202" type="#_x0000_t202" style="position:absolute;left:0pt;margin-left:5.25pt;margin-top:0.5pt;height:119.1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6"/>
        <w:spacing w:beforeLines="0" w:afterLines="0" w:line="240" w:lineRule="auto"/>
        <w:ind w:firstLine="530" w:firstLineChars="221"/>
        <w:rPr>
          <w:rFonts w:cs="Times New Roman"/>
          <w:bCs w:val="0"/>
          <w:color w:val="C00000"/>
          <w:sz w:val="24"/>
          <w:szCs w:val="24"/>
          <w:lang w:eastAsia="zh-CN"/>
        </w:rPr>
      </w:pPr>
    </w:p>
    <w:p>
      <w:pPr>
        <w:pStyle w:val="26"/>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6"/>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pStyle w:val="2"/>
        <w:rPr>
          <w:sz w:val="24"/>
          <w:szCs w:val="24"/>
        </w:rPr>
      </w:pPr>
      <w:r>
        <w:rPr>
          <w:rFonts w:hint="eastAsia"/>
          <w:sz w:val="24"/>
          <w:szCs w:val="24"/>
        </w:rPr>
        <w:t>附件1、</w:t>
      </w:r>
    </w:p>
    <w:p>
      <w:pPr>
        <w:pStyle w:val="9"/>
        <w:jc w:val="center"/>
        <w:rPr>
          <w:rFonts w:ascii="Times New Roman" w:hAnsi="Times New Roman"/>
          <w:b/>
          <w:sz w:val="52"/>
          <w:szCs w:val="52"/>
          <w:lang w:eastAsia="zh-CN"/>
        </w:rPr>
      </w:pPr>
    </w:p>
    <w:p>
      <w:pPr>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2、参选单位针对本项目提出的施工方案书（根据技术规范书中产品目标、内容及技术性能要求编制）。</w:t>
      </w:r>
    </w:p>
    <w:p>
      <w:pPr>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kern w:val="59"/>
          <w:sz w:val="24"/>
          <w:szCs w:val="24"/>
          <w:u w:val="single"/>
          <w:lang w:eastAsia="zh-CN"/>
        </w:rPr>
        <w:t>南部热源点一期工程可行性研究及项目申请</w:t>
      </w:r>
      <w:r>
        <w:rPr>
          <w:rFonts w:hint="eastAsia"/>
          <w:sz w:val="24"/>
          <w:lang w:eastAsia="zh-CN"/>
        </w:rPr>
        <w:t>项目公开自主比选，以本公司名义参与报价、合同执行并处理与之有关的其他事务，相关责任及后果由本公司承担。</w:t>
      </w:r>
    </w:p>
    <w:p>
      <w:pPr>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ind w:firstLine="480" w:firstLineChars="200"/>
        <w:rPr>
          <w:sz w:val="24"/>
          <w:szCs w:val="24"/>
          <w:lang w:eastAsia="zh-CN"/>
        </w:rPr>
      </w:pPr>
      <w:r>
        <w:rPr>
          <w:rFonts w:hint="eastAsia"/>
          <w:sz w:val="24"/>
          <w:szCs w:val="24"/>
          <w:lang w:eastAsia="zh-CN"/>
        </w:rPr>
        <w:t>代理人无转委托权，特此委托。</w:t>
      </w:r>
    </w:p>
    <w:p>
      <w:pPr>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ind w:firstLine="480" w:firstLineChars="200"/>
        <w:rPr>
          <w:color w:val="000000"/>
          <w:sz w:val="24"/>
          <w:szCs w:val="24"/>
          <w:lang w:eastAsia="zh-CN"/>
        </w:rPr>
      </w:pPr>
    </w:p>
    <w:p>
      <w:pPr>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附：代理人身份证明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kern w:val="59"/>
          <w:sz w:val="24"/>
          <w:szCs w:val="24"/>
          <w:u w:val="single"/>
          <w:lang w:eastAsia="zh-CN"/>
        </w:rPr>
        <w:t>南部热源点一期工程可行性研究及项目申请</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6"/>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（注：本报价单和附表需单独密封）</w:t>
      </w:r>
    </w:p>
    <w:p>
      <w:pPr>
        <w:ind w:firstLine="1970" w:firstLineChars="545"/>
        <w:rPr>
          <w:b/>
          <w:bCs/>
          <w:sz w:val="36"/>
          <w:lang w:eastAsia="zh-CN"/>
        </w:rPr>
      </w:pPr>
      <w:r>
        <w:rPr>
          <w:rFonts w:hint="eastAsia"/>
          <w:b/>
          <w:bCs/>
          <w:sz w:val="36"/>
          <w:lang w:eastAsia="zh-CN"/>
        </w:rPr>
        <w:t xml:space="preserve">   报  价  单</w:t>
      </w:r>
    </w:p>
    <w:p>
      <w:pPr>
        <w:ind w:firstLine="480" w:firstLineChars="20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pPr>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南部热源点一期工程</w:t>
      </w:r>
      <w:r>
        <w:rPr>
          <w:rFonts w:hint="eastAsia"/>
          <w:bCs/>
          <w:sz w:val="24"/>
          <w:szCs w:val="24"/>
          <w:u w:val="single"/>
          <w:lang w:eastAsia="zh-CN"/>
        </w:rPr>
        <w:t>可行性研究及项目申请发包</w:t>
      </w:r>
      <w:r>
        <w:rPr>
          <w:rFonts w:hint="eastAsia" w:asciiTheme="majorEastAsia" w:hAnsiTheme="majorEastAsia" w:eastAsiaTheme="majorEastAsia"/>
          <w:sz w:val="24"/>
          <w:szCs w:val="24"/>
          <w:u w:val="single"/>
          <w:lang w:eastAsia="zh-CN"/>
        </w:rPr>
        <w:t>项目</w:t>
      </w:r>
    </w:p>
    <w:p>
      <w:pPr>
        <w:ind w:firstLine="480" w:firstLineChars="200"/>
        <w:rPr>
          <w:sz w:val="24"/>
          <w:szCs w:val="24"/>
          <w:lang w:eastAsia="zh-CN"/>
        </w:rPr>
      </w:pPr>
      <w:r>
        <w:rPr>
          <w:rFonts w:hint="eastAsia"/>
          <w:sz w:val="24"/>
          <w:szCs w:val="24"/>
          <w:lang w:eastAsia="zh-CN"/>
        </w:rPr>
        <w:t>参选报价：</w:t>
      </w:r>
    </w:p>
    <w:p>
      <w:pPr>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（见附表）</w:t>
      </w:r>
    </w:p>
    <w:p>
      <w:pPr>
        <w:pStyle w:val="2"/>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pPr>
        <w:pStyle w:val="9"/>
        <w:rPr>
          <w:sz w:val="24"/>
          <w:szCs w:val="24"/>
          <w:lang w:eastAsia="zh-CN"/>
        </w:rPr>
      </w:pPr>
      <w:r>
        <w:rPr>
          <w:rFonts w:hint="eastAsia"/>
          <w:sz w:val="24"/>
          <w:szCs w:val="24"/>
          <w:lang w:eastAsia="zh-CN"/>
        </w:rPr>
        <w:t xml:space="preserve">           2、付款方式：按照比选文件中要求执行</w:t>
      </w:r>
    </w:p>
    <w:p>
      <w:pPr>
        <w:pStyle w:val="9"/>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9"/>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2）进度款：工作完成提交</w:t>
      </w:r>
      <w:r>
        <w:rPr>
          <w:rFonts w:hint="eastAsia"/>
          <w:sz w:val="24"/>
          <w:szCs w:val="24"/>
          <w:lang w:eastAsia="zh-CN"/>
        </w:rPr>
        <w:t>可行性研究初稿</w:t>
      </w:r>
      <w:r>
        <w:rPr>
          <w:rFonts w:hint="eastAsia" w:asciiTheme="minorEastAsia" w:hAnsiTheme="minorEastAsia" w:eastAsiaTheme="minorEastAsia"/>
          <w:sz w:val="24"/>
          <w:szCs w:val="24"/>
          <w:lang w:eastAsia="zh-CN"/>
        </w:rPr>
        <w:t>，并经甲方验收合格后，甲方收到乙方全额增值税专用发票15个工作日内，支付合同总价的80%作为进度款。</w:t>
      </w:r>
    </w:p>
    <w:p>
      <w:pPr>
        <w:pStyle w:val="2"/>
        <w:spacing w:line="360" w:lineRule="auto"/>
        <w:ind w:firstLine="720" w:firstLineChars="300"/>
        <w:rPr>
          <w:sz w:val="24"/>
          <w:szCs w:val="24"/>
        </w:rPr>
      </w:pPr>
      <w:r>
        <w:rPr>
          <w:rFonts w:hint="eastAsia" w:asciiTheme="minorEastAsia" w:hAnsiTheme="minorEastAsia" w:eastAsiaTheme="minorEastAsia"/>
          <w:sz w:val="24"/>
          <w:szCs w:val="24"/>
        </w:rPr>
        <w:t>3）验收款：</w:t>
      </w:r>
      <w:r>
        <w:rPr>
          <w:rFonts w:hint="eastAsia"/>
          <w:sz w:val="24"/>
          <w:szCs w:val="24"/>
        </w:rPr>
        <w:t>专家评审后15天内提供可行性研究文件正式文件及申请报告书，甲方支付合同总价的20%作为验收款；</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spacing w:line="360" w:lineRule="auto"/>
        <w:ind w:firstLine="451" w:firstLineChars="188"/>
        <w:jc w:val="center"/>
        <w:rPr>
          <w:rFonts w:hAnsi="宋体" w:cs="宋体"/>
          <w:kern w:val="2"/>
          <w:sz w:val="28"/>
          <w:szCs w:val="28"/>
        </w:rPr>
      </w:pPr>
      <w:r>
        <w:rPr>
          <w:rFonts w:hint="eastAsia" w:hAnsi="宋体" w:cs="宋体"/>
          <w:kern w:val="2"/>
          <w:sz w:val="24"/>
          <w:szCs w:val="24"/>
        </w:rPr>
        <w:t>年  月  日</w:t>
      </w:r>
    </w:p>
    <w:bookmarkEnd w:id="9"/>
    <w:p>
      <w:pPr>
        <w:pStyle w:val="7"/>
        <w:spacing w:line="360" w:lineRule="atLeast"/>
        <w:ind w:left="218"/>
        <w:rPr>
          <w:sz w:val="28"/>
          <w:szCs w:val="28"/>
          <w:lang w:eastAsia="zh-CN"/>
        </w:rPr>
      </w:pPr>
      <w:r>
        <w:rPr>
          <w:rFonts w:hint="eastAsia"/>
          <w:sz w:val="28"/>
          <w:szCs w:val="28"/>
          <w:lang w:eastAsia="zh-CN"/>
        </w:rPr>
        <w:t>附表：</w:t>
      </w:r>
    </w:p>
    <w:tbl>
      <w:tblPr>
        <w:tblStyle w:val="17"/>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260"/>
        <w:gridCol w:w="1128"/>
        <w:gridCol w:w="170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dxa"/>
            <w:vAlign w:val="center"/>
          </w:tcPr>
          <w:p>
            <w:pPr>
              <w:pStyle w:val="7"/>
              <w:spacing w:line="360" w:lineRule="atLeast"/>
              <w:jc w:val="center"/>
              <w:rPr>
                <w:lang w:eastAsia="zh-CN"/>
              </w:rPr>
            </w:pPr>
            <w:r>
              <w:rPr>
                <w:rFonts w:hint="eastAsia"/>
                <w:lang w:eastAsia="zh-CN"/>
              </w:rPr>
              <w:t>序号</w:t>
            </w:r>
          </w:p>
        </w:tc>
        <w:tc>
          <w:tcPr>
            <w:tcW w:w="3260" w:type="dxa"/>
            <w:vAlign w:val="center"/>
          </w:tcPr>
          <w:p>
            <w:pPr>
              <w:pStyle w:val="7"/>
              <w:spacing w:line="360" w:lineRule="atLeast"/>
              <w:jc w:val="center"/>
              <w:rPr>
                <w:lang w:eastAsia="zh-CN"/>
              </w:rPr>
            </w:pPr>
            <w:r>
              <w:rPr>
                <w:rFonts w:hint="eastAsia"/>
                <w:lang w:eastAsia="zh-CN"/>
              </w:rPr>
              <w:t>名称</w:t>
            </w:r>
          </w:p>
        </w:tc>
        <w:tc>
          <w:tcPr>
            <w:tcW w:w="1128" w:type="dxa"/>
            <w:vAlign w:val="center"/>
          </w:tcPr>
          <w:p>
            <w:pPr>
              <w:pStyle w:val="7"/>
              <w:spacing w:line="360" w:lineRule="atLeast"/>
              <w:jc w:val="center"/>
              <w:rPr>
                <w:lang w:eastAsia="zh-CN"/>
              </w:rPr>
            </w:pPr>
            <w:r>
              <w:rPr>
                <w:rFonts w:hint="eastAsia"/>
                <w:lang w:eastAsia="zh-CN"/>
              </w:rPr>
              <w:t>数量</w:t>
            </w:r>
          </w:p>
        </w:tc>
        <w:tc>
          <w:tcPr>
            <w:tcW w:w="1709" w:type="dxa"/>
            <w:vAlign w:val="center"/>
          </w:tcPr>
          <w:p>
            <w:pPr>
              <w:pStyle w:val="7"/>
              <w:spacing w:line="360" w:lineRule="atLeast"/>
              <w:jc w:val="center"/>
              <w:rPr>
                <w:lang w:eastAsia="zh-CN"/>
              </w:rPr>
            </w:pPr>
            <w:r>
              <w:rPr>
                <w:rFonts w:hint="eastAsia"/>
                <w:lang w:eastAsia="zh-CN"/>
              </w:rPr>
              <w:t>价格（元）</w:t>
            </w:r>
          </w:p>
        </w:tc>
        <w:tc>
          <w:tcPr>
            <w:tcW w:w="1710" w:type="dxa"/>
            <w:vAlign w:val="center"/>
          </w:tcPr>
          <w:p>
            <w:pPr>
              <w:pStyle w:val="7"/>
              <w:spacing w:line="360" w:lineRule="atLeast"/>
              <w:jc w:val="center"/>
              <w:rPr>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7"/>
              <w:spacing w:line="360" w:lineRule="atLeast"/>
              <w:jc w:val="center"/>
              <w:rPr>
                <w:lang w:eastAsia="zh-CN"/>
              </w:rPr>
            </w:pPr>
            <w:r>
              <w:rPr>
                <w:rFonts w:hint="eastAsia"/>
                <w:lang w:eastAsia="zh-CN"/>
              </w:rPr>
              <w:t>1</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南部热源点一期工程可行性研究报告</w:t>
            </w:r>
          </w:p>
        </w:tc>
        <w:tc>
          <w:tcPr>
            <w:tcW w:w="1128" w:type="dxa"/>
            <w:vAlign w:val="center"/>
          </w:tcPr>
          <w:p>
            <w:pPr>
              <w:pStyle w:val="7"/>
              <w:spacing w:line="360" w:lineRule="atLeast"/>
              <w:jc w:val="center"/>
              <w:rPr>
                <w:lang w:eastAsia="zh-CN"/>
              </w:rPr>
            </w:pPr>
            <w:r>
              <w:rPr>
                <w:rFonts w:hint="eastAsia"/>
                <w:lang w:eastAsia="zh-CN"/>
              </w:rPr>
              <w:t>1</w:t>
            </w:r>
          </w:p>
        </w:tc>
        <w:tc>
          <w:tcPr>
            <w:tcW w:w="1709" w:type="dxa"/>
            <w:vAlign w:val="center"/>
          </w:tcPr>
          <w:p>
            <w:pPr>
              <w:pStyle w:val="7"/>
              <w:spacing w:line="360" w:lineRule="atLeast"/>
              <w:jc w:val="center"/>
              <w:rPr>
                <w:lang w:eastAsia="zh-CN"/>
              </w:rPr>
            </w:pPr>
          </w:p>
        </w:tc>
        <w:tc>
          <w:tcPr>
            <w:tcW w:w="1710" w:type="dxa"/>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7"/>
              <w:spacing w:line="360" w:lineRule="atLeast"/>
              <w:jc w:val="center"/>
              <w:rPr>
                <w:lang w:eastAsia="zh-CN"/>
              </w:rPr>
            </w:pPr>
            <w:r>
              <w:rPr>
                <w:rFonts w:hint="eastAsia"/>
                <w:lang w:eastAsia="zh-CN"/>
              </w:rPr>
              <w:t>2</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南部热源点一期工程项目申请报告</w:t>
            </w:r>
          </w:p>
        </w:tc>
        <w:tc>
          <w:tcPr>
            <w:tcW w:w="1128" w:type="dxa"/>
            <w:vAlign w:val="center"/>
          </w:tcPr>
          <w:p>
            <w:pPr>
              <w:pStyle w:val="7"/>
              <w:spacing w:line="360" w:lineRule="atLeast"/>
              <w:jc w:val="center"/>
              <w:rPr>
                <w:lang w:eastAsia="zh-CN"/>
              </w:rPr>
            </w:pPr>
            <w:r>
              <w:rPr>
                <w:rFonts w:hint="eastAsia"/>
                <w:lang w:eastAsia="zh-CN"/>
              </w:rPr>
              <w:t>1</w:t>
            </w:r>
          </w:p>
        </w:tc>
        <w:tc>
          <w:tcPr>
            <w:tcW w:w="1709" w:type="dxa"/>
            <w:vAlign w:val="center"/>
          </w:tcPr>
          <w:p>
            <w:pPr>
              <w:pStyle w:val="7"/>
              <w:spacing w:line="360" w:lineRule="atLeast"/>
              <w:jc w:val="center"/>
              <w:rPr>
                <w:lang w:eastAsia="zh-CN"/>
              </w:rPr>
            </w:pPr>
          </w:p>
        </w:tc>
        <w:tc>
          <w:tcPr>
            <w:tcW w:w="1710" w:type="dxa"/>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41" w:type="dxa"/>
            <w:vAlign w:val="center"/>
          </w:tcPr>
          <w:p>
            <w:pPr>
              <w:pStyle w:val="7"/>
              <w:spacing w:line="360" w:lineRule="atLeast"/>
              <w:jc w:val="center"/>
              <w:rPr>
                <w:lang w:eastAsia="zh-CN"/>
              </w:rPr>
            </w:pPr>
          </w:p>
        </w:tc>
        <w:tc>
          <w:tcPr>
            <w:tcW w:w="3260" w:type="dxa"/>
            <w:vAlign w:val="center"/>
          </w:tcPr>
          <w:p>
            <w:pPr>
              <w:pStyle w:val="7"/>
              <w:spacing w:line="360" w:lineRule="atLeast"/>
              <w:jc w:val="center"/>
              <w:rPr>
                <w:lang w:eastAsia="zh-CN"/>
              </w:rPr>
            </w:pPr>
            <w:r>
              <w:rPr>
                <w:rFonts w:hint="eastAsia"/>
                <w:lang w:eastAsia="zh-CN"/>
              </w:rPr>
              <w:t>合计：</w:t>
            </w:r>
          </w:p>
        </w:tc>
        <w:tc>
          <w:tcPr>
            <w:tcW w:w="4547" w:type="dxa"/>
            <w:gridSpan w:val="3"/>
            <w:vAlign w:val="center"/>
          </w:tcPr>
          <w:p>
            <w:pPr>
              <w:pStyle w:val="7"/>
              <w:spacing w:line="360" w:lineRule="atLeast"/>
              <w:jc w:val="center"/>
              <w:rPr>
                <w:lang w:eastAsia="zh-CN"/>
              </w:rPr>
            </w:pPr>
          </w:p>
        </w:tc>
      </w:tr>
    </w:tbl>
    <w:p>
      <w:pPr>
        <w:pStyle w:val="7"/>
        <w:spacing w:line="360" w:lineRule="atLeast"/>
        <w:ind w:left="218"/>
        <w:rPr>
          <w:sz w:val="28"/>
          <w:szCs w:val="28"/>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266"/>
      <w:docPartObj>
        <w:docPartGallery w:val="AutoText"/>
      </w:docPartObj>
    </w:sdtPr>
    <w:sdtContent>
      <w:sdt>
        <w:sdtPr>
          <w:id w:val="98381352"/>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sdtContent>
      </w:sdt>
    </w:sdtContent>
  </w:sdt>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4711"/>
      <w:docPartObj>
        <w:docPartGallery w:val="AutoText"/>
      </w:docPartObj>
    </w:sdtPr>
    <w:sdtContent>
      <w:sdt>
        <w:sdtPr>
          <w:id w:val="10784710"/>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48</w:t>
            </w:r>
            <w:r>
              <w:rPr>
                <w:b/>
                <w:sz w:val="24"/>
                <w:szCs w:val="24"/>
              </w:rPr>
              <w:fldChar w:fldCharType="end"/>
            </w:r>
          </w:p>
        </w:sdtContent>
      </w:sdt>
    </w:sdtContent>
  </w:sdt>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EnclosedCircle"/>
      <w:lvlText w:val="%1"/>
      <w:lvlJc w:val="left"/>
      <w:pPr>
        <w:ind w:left="600" w:hanging="360"/>
      </w:pPr>
      <w:rPr>
        <w:rFonts w:hint="default" w:cs="Times New Roman"/>
      </w:rPr>
    </w:lvl>
    <w:lvl w:ilvl="1" w:tentative="0">
      <w:start w:val="1"/>
      <w:numFmt w:val="lowerLetter"/>
      <w:lvlText w:val="%2)"/>
      <w:lvlJc w:val="left"/>
      <w:pPr>
        <w:ind w:left="1080" w:hanging="420"/>
      </w:pPr>
      <w:rPr>
        <w:rFonts w:cs="Times New Roman"/>
      </w:rPr>
    </w:lvl>
    <w:lvl w:ilvl="2" w:tentative="0">
      <w:start w:val="1"/>
      <w:numFmt w:val="lowerRoman"/>
      <w:lvlText w:val="%3."/>
      <w:lvlJc w:val="right"/>
      <w:pPr>
        <w:ind w:left="1500" w:hanging="420"/>
      </w:pPr>
      <w:rPr>
        <w:rFonts w:cs="Times New Roman"/>
      </w:rPr>
    </w:lvl>
    <w:lvl w:ilvl="3" w:tentative="0">
      <w:start w:val="1"/>
      <w:numFmt w:val="decimal"/>
      <w:lvlText w:val="%4."/>
      <w:lvlJc w:val="left"/>
      <w:pPr>
        <w:ind w:left="1920" w:hanging="420"/>
      </w:pPr>
      <w:rPr>
        <w:rFonts w:cs="Times New Roman"/>
      </w:rPr>
    </w:lvl>
    <w:lvl w:ilvl="4" w:tentative="0">
      <w:start w:val="1"/>
      <w:numFmt w:val="lowerLetter"/>
      <w:lvlText w:val="%5)"/>
      <w:lvlJc w:val="left"/>
      <w:pPr>
        <w:ind w:left="2340" w:hanging="420"/>
      </w:pPr>
      <w:rPr>
        <w:rFonts w:cs="Times New Roman"/>
      </w:rPr>
    </w:lvl>
    <w:lvl w:ilvl="5" w:tentative="0">
      <w:start w:val="1"/>
      <w:numFmt w:val="lowerRoman"/>
      <w:lvlText w:val="%6."/>
      <w:lvlJc w:val="right"/>
      <w:pPr>
        <w:ind w:left="2760" w:hanging="420"/>
      </w:pPr>
      <w:rPr>
        <w:rFonts w:cs="Times New Roman"/>
      </w:rPr>
    </w:lvl>
    <w:lvl w:ilvl="6" w:tentative="0">
      <w:start w:val="1"/>
      <w:numFmt w:val="decimal"/>
      <w:lvlText w:val="%7."/>
      <w:lvlJc w:val="left"/>
      <w:pPr>
        <w:ind w:left="3180" w:hanging="420"/>
      </w:pPr>
      <w:rPr>
        <w:rFonts w:cs="Times New Roman"/>
      </w:rPr>
    </w:lvl>
    <w:lvl w:ilvl="7" w:tentative="0">
      <w:start w:val="1"/>
      <w:numFmt w:val="lowerLetter"/>
      <w:lvlText w:val="%8)"/>
      <w:lvlJc w:val="left"/>
      <w:pPr>
        <w:ind w:left="3600" w:hanging="420"/>
      </w:pPr>
      <w:rPr>
        <w:rFonts w:cs="Times New Roman"/>
      </w:rPr>
    </w:lvl>
    <w:lvl w:ilvl="8" w:tentative="0">
      <w:start w:val="1"/>
      <w:numFmt w:val="lowerRoman"/>
      <w:lvlText w:val="%9."/>
      <w:lvlJc w:val="right"/>
      <w:pPr>
        <w:ind w:left="4020" w:hanging="420"/>
      </w:pPr>
      <w:rPr>
        <w:rFonts w:cs="Times New Roman"/>
      </w:rPr>
    </w:lvl>
  </w:abstractNum>
  <w:abstractNum w:abstractNumId="1">
    <w:nsid w:val="11396E37"/>
    <w:multiLevelType w:val="multilevel"/>
    <w:tmpl w:val="11396E37"/>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104BC9"/>
    <w:multiLevelType w:val="multilevel"/>
    <w:tmpl w:val="18104B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BC2B6D"/>
    <w:multiLevelType w:val="multilevel"/>
    <w:tmpl w:val="26BC2B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5">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771C7D"/>
    <w:multiLevelType w:val="multilevel"/>
    <w:tmpl w:val="2C771C7D"/>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C40BF6"/>
    <w:multiLevelType w:val="multilevel"/>
    <w:tmpl w:val="46C40BF6"/>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8549AA"/>
    <w:multiLevelType w:val="multilevel"/>
    <w:tmpl w:val="668549AA"/>
    <w:lvl w:ilvl="0" w:tentative="0">
      <w:start w:val="1"/>
      <w:numFmt w:val="decimal"/>
      <w:lvlText w:val="%1)"/>
      <w:lvlJc w:val="left"/>
      <w:pPr>
        <w:ind w:left="720" w:hanging="36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701D4C7A"/>
    <w:multiLevelType w:val="multilevel"/>
    <w:tmpl w:val="701D4C7A"/>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14A698A"/>
    <w:multiLevelType w:val="multilevel"/>
    <w:tmpl w:val="714A69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6"/>
  </w:num>
  <w:num w:numId="3">
    <w:abstractNumId w:val="3"/>
  </w:num>
  <w:num w:numId="4">
    <w:abstractNumId w:val="2"/>
  </w:num>
  <w:num w:numId="5">
    <w:abstractNumId w:val="8"/>
  </w:num>
  <w:num w:numId="6">
    <w:abstractNumId w:val="7"/>
  </w:num>
  <w:num w:numId="7">
    <w:abstractNumId w:val="1"/>
  </w:num>
  <w:num w:numId="8">
    <w:abstractNumId w:val="9"/>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DD4"/>
    <w:rsid w:val="00011407"/>
    <w:rsid w:val="0001646D"/>
    <w:rsid w:val="00036F9A"/>
    <w:rsid w:val="0005617A"/>
    <w:rsid w:val="00056334"/>
    <w:rsid w:val="000679D6"/>
    <w:rsid w:val="00071B25"/>
    <w:rsid w:val="00072774"/>
    <w:rsid w:val="00080812"/>
    <w:rsid w:val="000914CE"/>
    <w:rsid w:val="00096304"/>
    <w:rsid w:val="00096FA0"/>
    <w:rsid w:val="00097881"/>
    <w:rsid w:val="000A0820"/>
    <w:rsid w:val="000A0B41"/>
    <w:rsid w:val="000B0660"/>
    <w:rsid w:val="0015691F"/>
    <w:rsid w:val="0015730E"/>
    <w:rsid w:val="00193817"/>
    <w:rsid w:val="001A3E35"/>
    <w:rsid w:val="001A4283"/>
    <w:rsid w:val="001B0034"/>
    <w:rsid w:val="001B698B"/>
    <w:rsid w:val="001D3581"/>
    <w:rsid w:val="001F0CEE"/>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B21E2"/>
    <w:rsid w:val="002C2335"/>
    <w:rsid w:val="002C4D01"/>
    <w:rsid w:val="002C50B1"/>
    <w:rsid w:val="002D31F1"/>
    <w:rsid w:val="002E4DA5"/>
    <w:rsid w:val="002E787B"/>
    <w:rsid w:val="002F23FF"/>
    <w:rsid w:val="002F5451"/>
    <w:rsid w:val="002F781F"/>
    <w:rsid w:val="00315A3D"/>
    <w:rsid w:val="00322549"/>
    <w:rsid w:val="00344A4E"/>
    <w:rsid w:val="00354A2A"/>
    <w:rsid w:val="003569D4"/>
    <w:rsid w:val="00361FCC"/>
    <w:rsid w:val="00365EBB"/>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35736"/>
    <w:rsid w:val="00552A74"/>
    <w:rsid w:val="00553A22"/>
    <w:rsid w:val="00557069"/>
    <w:rsid w:val="005709F6"/>
    <w:rsid w:val="005742D0"/>
    <w:rsid w:val="00585A33"/>
    <w:rsid w:val="00586FE6"/>
    <w:rsid w:val="00587FE3"/>
    <w:rsid w:val="00595F8F"/>
    <w:rsid w:val="00596C39"/>
    <w:rsid w:val="005A5310"/>
    <w:rsid w:val="005B4BA0"/>
    <w:rsid w:val="005B50B3"/>
    <w:rsid w:val="005D0B52"/>
    <w:rsid w:val="005D1B67"/>
    <w:rsid w:val="005D47FB"/>
    <w:rsid w:val="005D58C4"/>
    <w:rsid w:val="005E5C97"/>
    <w:rsid w:val="005F141D"/>
    <w:rsid w:val="005F261C"/>
    <w:rsid w:val="006046FB"/>
    <w:rsid w:val="0061544E"/>
    <w:rsid w:val="00633387"/>
    <w:rsid w:val="00636649"/>
    <w:rsid w:val="00646EC8"/>
    <w:rsid w:val="00653120"/>
    <w:rsid w:val="0066438C"/>
    <w:rsid w:val="00667F1D"/>
    <w:rsid w:val="0067550B"/>
    <w:rsid w:val="006773E6"/>
    <w:rsid w:val="00684DAC"/>
    <w:rsid w:val="006937BE"/>
    <w:rsid w:val="006A2CC5"/>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98A"/>
    <w:rsid w:val="00804E85"/>
    <w:rsid w:val="00824119"/>
    <w:rsid w:val="00835E9C"/>
    <w:rsid w:val="00855BA1"/>
    <w:rsid w:val="00861D75"/>
    <w:rsid w:val="008671DE"/>
    <w:rsid w:val="008702B4"/>
    <w:rsid w:val="00872EC2"/>
    <w:rsid w:val="00875AF4"/>
    <w:rsid w:val="00876BD4"/>
    <w:rsid w:val="008A191D"/>
    <w:rsid w:val="008B3F8D"/>
    <w:rsid w:val="008B7944"/>
    <w:rsid w:val="008D126B"/>
    <w:rsid w:val="008E107A"/>
    <w:rsid w:val="008E17CD"/>
    <w:rsid w:val="008F0413"/>
    <w:rsid w:val="008F5317"/>
    <w:rsid w:val="008F7AE5"/>
    <w:rsid w:val="009013B6"/>
    <w:rsid w:val="0090206D"/>
    <w:rsid w:val="009312CA"/>
    <w:rsid w:val="00932015"/>
    <w:rsid w:val="009421B0"/>
    <w:rsid w:val="009428FE"/>
    <w:rsid w:val="00951102"/>
    <w:rsid w:val="0095556D"/>
    <w:rsid w:val="00955B5E"/>
    <w:rsid w:val="00956747"/>
    <w:rsid w:val="00967702"/>
    <w:rsid w:val="00981E93"/>
    <w:rsid w:val="00983954"/>
    <w:rsid w:val="009947C4"/>
    <w:rsid w:val="009B6212"/>
    <w:rsid w:val="009C0F2F"/>
    <w:rsid w:val="009C2DD0"/>
    <w:rsid w:val="009C5294"/>
    <w:rsid w:val="009D51FB"/>
    <w:rsid w:val="009F25C2"/>
    <w:rsid w:val="009F5B1F"/>
    <w:rsid w:val="00A016A8"/>
    <w:rsid w:val="00A0663A"/>
    <w:rsid w:val="00A13C33"/>
    <w:rsid w:val="00A13E67"/>
    <w:rsid w:val="00A26F27"/>
    <w:rsid w:val="00A3071D"/>
    <w:rsid w:val="00A372FD"/>
    <w:rsid w:val="00A42218"/>
    <w:rsid w:val="00A4425C"/>
    <w:rsid w:val="00A51DBD"/>
    <w:rsid w:val="00A72525"/>
    <w:rsid w:val="00A9677B"/>
    <w:rsid w:val="00AA0ED3"/>
    <w:rsid w:val="00AA7284"/>
    <w:rsid w:val="00AB7A1A"/>
    <w:rsid w:val="00AD23CF"/>
    <w:rsid w:val="00AD246B"/>
    <w:rsid w:val="00AD7833"/>
    <w:rsid w:val="00AE3D6C"/>
    <w:rsid w:val="00AF1527"/>
    <w:rsid w:val="00AF1AA4"/>
    <w:rsid w:val="00B016E6"/>
    <w:rsid w:val="00B169F6"/>
    <w:rsid w:val="00B26F91"/>
    <w:rsid w:val="00B35AE9"/>
    <w:rsid w:val="00B40916"/>
    <w:rsid w:val="00B42F6B"/>
    <w:rsid w:val="00B44FC3"/>
    <w:rsid w:val="00B54AC6"/>
    <w:rsid w:val="00B63148"/>
    <w:rsid w:val="00B7354F"/>
    <w:rsid w:val="00B740DE"/>
    <w:rsid w:val="00B914C4"/>
    <w:rsid w:val="00B95390"/>
    <w:rsid w:val="00BA6F1C"/>
    <w:rsid w:val="00BB0BE1"/>
    <w:rsid w:val="00BC74FB"/>
    <w:rsid w:val="00BD05C2"/>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11B76"/>
    <w:rsid w:val="00D16B99"/>
    <w:rsid w:val="00D201C8"/>
    <w:rsid w:val="00D22A6E"/>
    <w:rsid w:val="00D2565F"/>
    <w:rsid w:val="00D418CF"/>
    <w:rsid w:val="00D52B1C"/>
    <w:rsid w:val="00D62EAC"/>
    <w:rsid w:val="00D65FBC"/>
    <w:rsid w:val="00D749CB"/>
    <w:rsid w:val="00D87A95"/>
    <w:rsid w:val="00D947D8"/>
    <w:rsid w:val="00DA20C9"/>
    <w:rsid w:val="00DA3CA7"/>
    <w:rsid w:val="00DA6512"/>
    <w:rsid w:val="00DB061F"/>
    <w:rsid w:val="00DC4B21"/>
    <w:rsid w:val="00DC4EE8"/>
    <w:rsid w:val="00DD0909"/>
    <w:rsid w:val="00DD56C2"/>
    <w:rsid w:val="00DF062C"/>
    <w:rsid w:val="00DF1BFD"/>
    <w:rsid w:val="00DF7A10"/>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EF2696"/>
    <w:rsid w:val="00F0678C"/>
    <w:rsid w:val="00F22509"/>
    <w:rsid w:val="00F322B9"/>
    <w:rsid w:val="00F40AD6"/>
    <w:rsid w:val="00F54418"/>
    <w:rsid w:val="00F6409E"/>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425734"/>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2"/>
      <w:szCs w:val="22"/>
      <w:lang w:val="en-US" w:eastAsia="en-US" w:bidi="ar-SA"/>
    </w:rPr>
  </w:style>
  <w:style w:type="paragraph" w:styleId="3">
    <w:name w:val="heading 1"/>
    <w:basedOn w:val="1"/>
    <w:next w:val="1"/>
    <w:link w:val="34"/>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0"/>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annotation text"/>
    <w:basedOn w:val="1"/>
    <w:link w:val="32"/>
    <w:unhideWhenUsed/>
    <w:qFormat/>
    <w:uiPriority w:val="99"/>
    <w:pPr>
      <w:autoSpaceDE/>
      <w:autoSpaceDN/>
    </w:pPr>
    <w:rPr>
      <w:rFonts w:ascii="Times New Roman" w:hAnsi="Times New Roman" w:cs="Times New Roman"/>
      <w:kern w:val="2"/>
      <w:sz w:val="21"/>
      <w:szCs w:val="24"/>
      <w:lang w:eastAsia="zh-CN"/>
    </w:rPr>
  </w:style>
  <w:style w:type="paragraph" w:styleId="7">
    <w:name w:val="Body Text"/>
    <w:basedOn w:val="1"/>
    <w:link w:val="35"/>
    <w:qFormat/>
    <w:uiPriority w:val="1"/>
    <w:rPr>
      <w:sz w:val="24"/>
      <w:szCs w:val="24"/>
    </w:rPr>
  </w:style>
  <w:style w:type="paragraph" w:styleId="8">
    <w:name w:val="Body Text Indent"/>
    <w:basedOn w:val="1"/>
    <w:link w:val="56"/>
    <w:qFormat/>
    <w:uiPriority w:val="0"/>
    <w:pPr>
      <w:spacing w:after="120"/>
      <w:ind w:left="420" w:leftChars="200"/>
    </w:pPr>
  </w:style>
  <w:style w:type="paragraph" w:styleId="9">
    <w:name w:val="Plain Text"/>
    <w:basedOn w:val="1"/>
    <w:link w:val="28"/>
    <w:qFormat/>
    <w:uiPriority w:val="0"/>
    <w:rPr>
      <w:rFonts w:hAnsi="Courier New" w:cs="Courier New"/>
      <w:szCs w:val="21"/>
    </w:rPr>
  </w:style>
  <w:style w:type="paragraph" w:styleId="10">
    <w:name w:val="Balloon Text"/>
    <w:basedOn w:val="1"/>
    <w:link w:val="29"/>
    <w:qFormat/>
    <w:uiPriority w:val="99"/>
    <w:rPr>
      <w:sz w:val="18"/>
      <w:szCs w:val="18"/>
    </w:rPr>
  </w:style>
  <w:style w:type="paragraph" w:styleId="11">
    <w:name w:val="footer"/>
    <w:basedOn w:val="1"/>
    <w:link w:val="27"/>
    <w:qFormat/>
    <w:uiPriority w:val="99"/>
    <w:pPr>
      <w:tabs>
        <w:tab w:val="center" w:pos="4153"/>
        <w:tab w:val="right" w:pos="8306"/>
      </w:tabs>
      <w:snapToGrid w:val="0"/>
    </w:pPr>
    <w:rPr>
      <w:sz w:val="18"/>
      <w:szCs w:val="18"/>
    </w:rPr>
  </w:style>
  <w:style w:type="paragraph" w:styleId="12">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14">
    <w:name w:val="Title"/>
    <w:basedOn w:val="1"/>
    <w:next w:val="1"/>
    <w:link w:val="54"/>
    <w:qFormat/>
    <w:uiPriority w:val="10"/>
    <w:pPr>
      <w:autoSpaceDE/>
      <w:autoSpaceDN/>
      <w:spacing w:before="240" w:after="60"/>
      <w:jc w:val="center"/>
      <w:outlineLvl w:val="0"/>
    </w:pPr>
    <w:rPr>
      <w:rFonts w:ascii="Cambria" w:hAnsi="Cambria" w:cs="Times New Roman"/>
      <w:b/>
      <w:bCs/>
      <w:kern w:val="2"/>
      <w:sz w:val="32"/>
      <w:szCs w:val="32"/>
      <w:lang w:eastAsia="zh-CN"/>
    </w:rPr>
  </w:style>
  <w:style w:type="paragraph" w:styleId="15">
    <w:name w:val="annotation subject"/>
    <w:basedOn w:val="6"/>
    <w:next w:val="6"/>
    <w:link w:val="33"/>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qFormat/>
    <w:uiPriority w:val="99"/>
    <w:rPr>
      <w:color w:val="800080"/>
      <w:u w:val="single"/>
    </w:rPr>
  </w:style>
  <w:style w:type="character" w:styleId="21">
    <w:name w:val="Hyperlink"/>
    <w:basedOn w:val="18"/>
    <w:qFormat/>
    <w:uiPriority w:val="99"/>
    <w:rPr>
      <w:color w:val="0000FF"/>
      <w:u w:val="single"/>
    </w:rPr>
  </w:style>
  <w:style w:type="character" w:styleId="22">
    <w:name w:val="annotation reference"/>
    <w:basedOn w:val="18"/>
    <w:unhideWhenUsed/>
    <w:qFormat/>
    <w:uiPriority w:val="99"/>
    <w:rPr>
      <w:sz w:val="21"/>
      <w:szCs w:val="21"/>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34"/>
    <w:pPr>
      <w:spacing w:before="206"/>
      <w:ind w:left="959" w:hanging="361"/>
    </w:pPr>
  </w:style>
  <w:style w:type="paragraph" w:customStyle="1" w:styleId="25">
    <w:name w:val="Table Paragraph"/>
    <w:basedOn w:val="1"/>
    <w:qFormat/>
    <w:uiPriority w:val="1"/>
  </w:style>
  <w:style w:type="paragraph" w:customStyle="1" w:styleId="26">
    <w:name w:val="文档正文"/>
    <w:basedOn w:val="1"/>
    <w:qFormat/>
    <w:uiPriority w:val="0"/>
    <w:pPr>
      <w:spacing w:beforeLines="50" w:afterLines="50"/>
      <w:ind w:firstLine="560" w:firstLineChars="200"/>
    </w:pPr>
    <w:rPr>
      <w:rFonts w:cs="Arial"/>
      <w:bCs/>
      <w:sz w:val="28"/>
      <w:szCs w:val="28"/>
    </w:rPr>
  </w:style>
  <w:style w:type="character" w:customStyle="1" w:styleId="27">
    <w:name w:val="页脚 Char"/>
    <w:basedOn w:val="18"/>
    <w:link w:val="11"/>
    <w:qFormat/>
    <w:uiPriority w:val="99"/>
    <w:rPr>
      <w:rFonts w:ascii="宋体" w:hAnsi="宋体" w:cs="宋体"/>
      <w:sz w:val="18"/>
      <w:szCs w:val="18"/>
      <w:lang w:eastAsia="en-US"/>
    </w:rPr>
  </w:style>
  <w:style w:type="character" w:customStyle="1" w:styleId="28">
    <w:name w:val="纯文本 Char"/>
    <w:basedOn w:val="18"/>
    <w:link w:val="9"/>
    <w:uiPriority w:val="0"/>
    <w:rPr>
      <w:rFonts w:ascii="宋体" w:hAnsi="Courier New" w:cs="Courier New"/>
      <w:sz w:val="22"/>
      <w:szCs w:val="21"/>
      <w:lang w:eastAsia="en-US"/>
    </w:rPr>
  </w:style>
  <w:style w:type="character" w:customStyle="1" w:styleId="29">
    <w:name w:val="批注框文本 Char"/>
    <w:basedOn w:val="18"/>
    <w:link w:val="10"/>
    <w:uiPriority w:val="99"/>
    <w:rPr>
      <w:rFonts w:ascii="宋体" w:hAnsi="宋体" w:cs="宋体"/>
      <w:sz w:val="18"/>
      <w:szCs w:val="18"/>
      <w:lang w:eastAsia="en-US"/>
    </w:rPr>
  </w:style>
  <w:style w:type="character" w:customStyle="1" w:styleId="30">
    <w:name w:val="正文缩进 Char"/>
    <w:link w:val="5"/>
    <w:qFormat/>
    <w:uiPriority w:val="0"/>
    <w:rPr>
      <w:kern w:val="2"/>
      <w:sz w:val="21"/>
    </w:rPr>
  </w:style>
  <w:style w:type="character" w:customStyle="1" w:styleId="31">
    <w:name w:val="页眉 Char"/>
    <w:basedOn w:val="18"/>
    <w:link w:val="12"/>
    <w:qFormat/>
    <w:uiPriority w:val="0"/>
    <w:rPr>
      <w:rFonts w:ascii="宋体" w:hAnsi="宋体" w:cs="宋体"/>
      <w:sz w:val="18"/>
      <w:szCs w:val="22"/>
      <w:lang w:eastAsia="en-US"/>
    </w:rPr>
  </w:style>
  <w:style w:type="character" w:customStyle="1" w:styleId="32">
    <w:name w:val="批注文字 Char"/>
    <w:basedOn w:val="18"/>
    <w:link w:val="6"/>
    <w:qFormat/>
    <w:uiPriority w:val="99"/>
    <w:rPr>
      <w:kern w:val="2"/>
      <w:sz w:val="21"/>
      <w:szCs w:val="24"/>
    </w:rPr>
  </w:style>
  <w:style w:type="character" w:customStyle="1" w:styleId="33">
    <w:name w:val="批注主题 Char"/>
    <w:basedOn w:val="32"/>
    <w:link w:val="15"/>
    <w:qFormat/>
    <w:uiPriority w:val="99"/>
    <w:rPr>
      <w:b/>
      <w:bCs/>
    </w:rPr>
  </w:style>
  <w:style w:type="character" w:customStyle="1" w:styleId="34">
    <w:name w:val="标题 1 Char"/>
    <w:basedOn w:val="18"/>
    <w:link w:val="3"/>
    <w:qFormat/>
    <w:uiPriority w:val="0"/>
    <w:rPr>
      <w:rFonts w:ascii="宋体" w:hAnsi="宋体" w:cs="宋体"/>
      <w:b/>
      <w:bCs/>
      <w:sz w:val="28"/>
      <w:szCs w:val="28"/>
      <w:lang w:eastAsia="en-US"/>
    </w:rPr>
  </w:style>
  <w:style w:type="character" w:customStyle="1" w:styleId="35">
    <w:name w:val="正文文本 Char"/>
    <w:basedOn w:val="18"/>
    <w:link w:val="7"/>
    <w:qFormat/>
    <w:uiPriority w:val="0"/>
    <w:rPr>
      <w:rFonts w:ascii="宋体" w:hAnsi="宋体" w:cs="宋体"/>
      <w:sz w:val="24"/>
      <w:szCs w:val="24"/>
      <w:lang w:eastAsia="en-US"/>
    </w:rPr>
  </w:style>
  <w:style w:type="character" w:customStyle="1" w:styleId="36">
    <w:name w:val="xdrichtextbox2"/>
    <w:basedOn w:val="18"/>
    <w:qFormat/>
    <w:uiPriority w:val="0"/>
    <w:rPr>
      <w:color w:val="0000FF"/>
      <w:sz w:val="18"/>
      <w:szCs w:val="18"/>
      <w:u w:val="none"/>
      <w:bdr w:val="single" w:color="DCDCDC" w:sz="8" w:space="0"/>
      <w:shd w:val="clear" w:color="auto" w:fill="FFFFFF"/>
    </w:rPr>
  </w:style>
  <w:style w:type="paragraph" w:customStyle="1" w:styleId="37">
    <w:name w:val="font0"/>
    <w:basedOn w:val="1"/>
    <w:qFormat/>
    <w:uiPriority w:val="0"/>
    <w:pPr>
      <w:widowControl/>
      <w:autoSpaceDE/>
      <w:autoSpaceDN/>
      <w:spacing w:before="100" w:beforeAutospacing="1" w:after="100" w:afterAutospacing="1"/>
    </w:pPr>
    <w:rPr>
      <w:color w:val="000000"/>
      <w:lang w:eastAsia="zh-CN"/>
    </w:rPr>
  </w:style>
  <w:style w:type="paragraph" w:customStyle="1" w:styleId="38">
    <w:name w:val="font5"/>
    <w:basedOn w:val="1"/>
    <w:qFormat/>
    <w:uiPriority w:val="0"/>
    <w:pPr>
      <w:widowControl/>
      <w:autoSpaceDE/>
      <w:autoSpaceDN/>
      <w:spacing w:before="100" w:beforeAutospacing="1" w:after="100" w:afterAutospacing="1"/>
    </w:pPr>
    <w:rPr>
      <w:color w:val="000000"/>
      <w:sz w:val="24"/>
      <w:szCs w:val="24"/>
      <w:lang w:eastAsia="zh-CN"/>
    </w:rPr>
  </w:style>
  <w:style w:type="paragraph" w:customStyle="1" w:styleId="39">
    <w:name w:val="xl67"/>
    <w:basedOn w:val="1"/>
    <w:qFormat/>
    <w:uiPriority w:val="0"/>
    <w:pPr>
      <w:widowControl/>
      <w:autoSpaceDE/>
      <w:autoSpaceDN/>
      <w:spacing w:before="100" w:beforeAutospacing="1" w:after="100" w:afterAutospacing="1"/>
    </w:pPr>
    <w:rPr>
      <w:sz w:val="24"/>
      <w:szCs w:val="24"/>
      <w:lang w:eastAsia="zh-CN"/>
    </w:rPr>
  </w:style>
  <w:style w:type="paragraph" w:customStyle="1" w:styleId="40">
    <w:name w:val="xl68"/>
    <w:basedOn w:val="1"/>
    <w:qFormat/>
    <w:uiPriority w:val="0"/>
    <w:pPr>
      <w:widowControl/>
      <w:autoSpaceDE/>
      <w:autoSpaceDN/>
      <w:spacing w:before="100" w:beforeAutospacing="1" w:after="100" w:afterAutospacing="1"/>
    </w:pPr>
    <w:rPr>
      <w:b/>
      <w:bCs/>
      <w:sz w:val="24"/>
      <w:szCs w:val="24"/>
      <w:lang w:eastAsia="zh-CN"/>
    </w:rPr>
  </w:style>
  <w:style w:type="paragraph" w:customStyle="1" w:styleId="41">
    <w:name w:val="xl69"/>
    <w:basedOn w:val="1"/>
    <w:qFormat/>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2">
    <w:name w:val="xl70"/>
    <w:basedOn w:val="1"/>
    <w:qFormat/>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8">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1">
    <w:name w:val="xl79"/>
    <w:basedOn w:val="1"/>
    <w:qFormat/>
    <w:uiPriority w:val="0"/>
    <w:pPr>
      <w:widowControl/>
      <w:pBdr>
        <w:bottom w:val="single" w:color="auto" w:sz="4" w:space="0"/>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52">
    <w:name w:val="wz141"/>
    <w:qFormat/>
    <w:uiPriority w:val="0"/>
    <w:rPr>
      <w:rFonts w:hint="default" w:ascii="Arial" w:hAnsi="Arial" w:cs="Arial"/>
      <w:color w:val="000000"/>
      <w:sz w:val="21"/>
      <w:szCs w:val="21"/>
    </w:rPr>
  </w:style>
  <w:style w:type="character" w:customStyle="1" w:styleId="53">
    <w:name w:val="apple-converted-space"/>
    <w:basedOn w:val="18"/>
    <w:qFormat/>
    <w:uiPriority w:val="0"/>
  </w:style>
  <w:style w:type="character" w:customStyle="1" w:styleId="54">
    <w:name w:val="标题 Char"/>
    <w:basedOn w:val="18"/>
    <w:link w:val="14"/>
    <w:qFormat/>
    <w:uiPriority w:val="10"/>
    <w:rPr>
      <w:rFonts w:ascii="Cambria" w:hAnsi="Cambria"/>
      <w:b/>
      <w:bCs/>
      <w:kern w:val="2"/>
      <w:sz w:val="32"/>
      <w:szCs w:val="32"/>
    </w:rPr>
  </w:style>
  <w:style w:type="character" w:customStyle="1" w:styleId="55">
    <w:name w:val="纯文本 Char1"/>
    <w:qFormat/>
    <w:uiPriority w:val="0"/>
    <w:rPr>
      <w:rFonts w:ascii="宋体" w:hAnsi="Courier New" w:cs="Courier New"/>
      <w:sz w:val="22"/>
      <w:szCs w:val="21"/>
      <w:lang w:eastAsia="en-US"/>
    </w:rPr>
  </w:style>
  <w:style w:type="character" w:customStyle="1" w:styleId="56">
    <w:name w:val="正文文本缩进 Char"/>
    <w:basedOn w:val="18"/>
    <w:link w:val="8"/>
    <w:qFormat/>
    <w:uiPriority w:val="0"/>
    <w:rPr>
      <w:rFonts w:ascii="宋体" w:hAnsi="宋体" w:cs="宋体"/>
      <w:sz w:val="22"/>
      <w:szCs w:val="22"/>
      <w:lang w:eastAsia="en-US"/>
    </w:rPr>
  </w:style>
  <w:style w:type="character" w:customStyle="1" w:styleId="57">
    <w:name w:val="标题 2 Char"/>
    <w:basedOn w:val="18"/>
    <w:link w:val="4"/>
    <w:qFormat/>
    <w:uiPriority w:val="0"/>
    <w:rPr>
      <w:rFonts w:ascii="宋体" w:hAnsi="宋体" w:cs="宋体"/>
      <w:b/>
      <w:bCs/>
      <w:sz w:val="24"/>
      <w:szCs w:val="24"/>
      <w:lang w:eastAsia="en-US"/>
    </w:rPr>
  </w:style>
  <w:style w:type="character" w:customStyle="1" w:styleId="58">
    <w:name w:val="正文1 Char"/>
    <w:basedOn w:val="18"/>
    <w:link w:val="2"/>
    <w:qFormat/>
    <w:locked/>
    <w:uiPriority w:val="0"/>
    <w:rPr>
      <w:rFonts w:ascii="宋体" w:hAnsi="Calibri"/>
      <w:sz w:val="34"/>
      <w:szCs w:val="22"/>
    </w:rPr>
  </w:style>
  <w:style w:type="paragraph" w:customStyle="1" w:styleId="5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60">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DE0E0-3E10-4547-BF7F-0F9269CD191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48</Pages>
  <Words>4486</Words>
  <Characters>25575</Characters>
  <Lines>213</Lines>
  <Paragraphs>60</Paragraphs>
  <TotalTime>356</TotalTime>
  <ScaleCrop>false</ScaleCrop>
  <LinksUpToDate>false</LinksUpToDate>
  <CharactersWithSpaces>30001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2021-04-02T03:09:00Z</dcterms:created>
  <dc:creator>CGC</dc:creator>
  <cp:lastModifiedBy>潘骏</cp:lastModifiedBy>
  <cp:lastPrinted>2019-10-12T01:19:00Z</cp:lastPrinted>
  <dcterms:modified xsi:type="dcterms:W3CDTF">2021-04-15T03:38:52Z</dcterms:modified>
  <dc:title>公开招标文件（货物服务类）</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