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bookmarkStart w:id="2" w:name="_GoBack"/>
      <w:bookmarkEnd w:id="2"/>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：聚氯化铝</w:t>
      </w:r>
    </w:p>
    <w:p>
      <w:pPr>
        <w:widowControl/>
        <w:shd w:val="clear" w:color="auto" w:fill="FFFFFF"/>
        <w:jc w:val="center"/>
        <w:rPr>
          <w:rFonts w:hint="eastAsia" w:eastAsia="宋体"/>
          <w:color w:val="auto"/>
          <w:sz w:val="36"/>
          <w:szCs w:val="36"/>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项目编号：2021-(ZZ)GM-</w:t>
      </w:r>
      <w:r>
        <w:rPr>
          <w:rFonts w:hint="eastAsia" w:ascii="宋体" w:hAnsi="宋体" w:cs="宋体"/>
          <w:color w:val="auto"/>
          <w:kern w:val="0"/>
          <w:sz w:val="36"/>
          <w:szCs w:val="36"/>
          <w:shd w:val="clear" w:color="auto" w:fill="FFFFFF"/>
          <w:lang w:eastAsia="zh-CN"/>
        </w:rPr>
        <w:t>聚氯化铝</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1215</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rPr>
        <w:t>福化工贸（漳州）有限公司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2021年1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15</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
          <w:bCs/>
          <w:color w:val="auto"/>
          <w:sz w:val="32"/>
        </w:rPr>
      </w:pPr>
      <w:r>
        <w:rPr>
          <w:rFonts w:hint="eastAsia"/>
          <w:b/>
          <w:bCs/>
          <w:color w:val="auto"/>
          <w:sz w:val="32"/>
        </w:rPr>
        <w:t>福化工贸（漳州）有限公司</w:t>
      </w:r>
    </w:p>
    <w:p>
      <w:pPr>
        <w:spacing w:line="336" w:lineRule="auto"/>
        <w:jc w:val="center"/>
        <w:rPr>
          <w:bCs/>
          <w:color w:val="auto"/>
          <w:szCs w:val="21"/>
        </w:rPr>
      </w:pPr>
      <w:r>
        <w:rPr>
          <w:rFonts w:hint="eastAsia"/>
          <w:b/>
          <w:bCs/>
          <w:color w:val="auto"/>
          <w:sz w:val="32"/>
          <w:lang w:eastAsia="zh-CN"/>
        </w:rPr>
        <w:t>聚氯化铝</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福化工贸（漳州）有限公司就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项目编号：2021-FH(ZZ)GM-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eastAsia="zh-CN"/>
        </w:rPr>
        <w:t>聚氯化铝</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聚氯化铝</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叁万伍仟</w:t>
      </w:r>
      <w:r>
        <w:rPr>
          <w:rFonts w:hint="eastAsia" w:asciiTheme="minorEastAsia" w:hAnsiTheme="minorEastAsia" w:eastAsiaTheme="minorEastAsia"/>
          <w:bCs/>
          <w:color w:val="auto"/>
          <w:sz w:val="24"/>
          <w:lang w:val="en-US" w:eastAsia="zh-CN"/>
        </w:rPr>
        <w:t>元</w:t>
      </w:r>
      <w:r>
        <w:rPr>
          <w:rFonts w:hint="eastAsia" w:asciiTheme="minorEastAsia" w:hAnsiTheme="minorEastAsia" w:eastAsiaTheme="minorEastAsia"/>
          <w:bCs/>
          <w:color w:val="auto"/>
          <w:sz w:val="24"/>
          <w:lang w:val="en-US" w:eastAsia="zh-CN"/>
        </w:rPr>
        <w:t>整</w:t>
      </w:r>
      <w:r>
        <w:rPr>
          <w:rFonts w:hint="eastAsia" w:asciiTheme="minorEastAsia" w:hAnsiTheme="minorEastAsia" w:eastAsiaTheme="minorEastAsia"/>
          <w:bCs/>
          <w:color w:val="auto"/>
          <w:sz w:val="24"/>
        </w:rPr>
        <w:t>。</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021</w:t>
      </w:r>
      <w:r>
        <w:rPr>
          <w:rFonts w:hint="eastAsia" w:asciiTheme="majorEastAsia" w:hAnsiTheme="majorEastAsia" w:eastAsiaTheme="majorEastAsia"/>
          <w:color w:val="auto"/>
          <w:sz w:val="24"/>
        </w:rPr>
        <w:t>年1</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27</w:t>
      </w:r>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叁万伍仟</w:t>
      </w:r>
      <w:r>
        <w:rPr>
          <w:rFonts w:hint="eastAsia" w:asciiTheme="minorEastAsia" w:hAnsiTheme="minorEastAsia" w:eastAsiaTheme="minorEastAsia"/>
          <w:bCs/>
          <w:color w:val="auto"/>
          <w:sz w:val="24"/>
          <w:lang w:val="en-US" w:eastAsia="zh-CN"/>
        </w:rPr>
        <w:t>元</w:t>
      </w:r>
      <w:r>
        <w:rPr>
          <w:rFonts w:hint="eastAsia" w:asciiTheme="minorEastAsia" w:hAnsiTheme="minorEastAsia" w:eastAsiaTheme="minorEastAsia"/>
          <w:bCs/>
          <w:color w:val="auto"/>
          <w:sz w:val="24"/>
          <w:lang w:val="en-US" w:eastAsia="zh-CN"/>
        </w:rPr>
        <w:t>整</w:t>
      </w:r>
      <w:r>
        <w:rPr>
          <w:rFonts w:hint="eastAsia" w:asciiTheme="minorEastAsia" w:hAnsiTheme="minorEastAsia" w:eastAsiaTheme="minorEastAsia"/>
          <w:bCs/>
          <w:color w:val="auto"/>
          <w:sz w:val="24"/>
        </w:rPr>
        <w:t>，如中选、该保证金转为履约保证金，如不中选，在比选结束后请联系商务联系人办理无息等额退款。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福化工贸（漳州）有限公司</w:t>
      </w:r>
    </w:p>
    <w:p>
      <w:pPr>
        <w:pStyle w:val="11"/>
        <w:spacing w:line="336" w:lineRule="auto"/>
        <w:ind w:left="0" w:firstLine="1200" w:firstLineChars="5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pStyle w:val="11"/>
        <w:spacing w:line="336" w:lineRule="auto"/>
        <w:ind w:left="958" w:leftChars="456" w:firstLine="307" w:firstLineChars="128"/>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参选文件递交地点：福化工贸（漳州）有限公司（地址：厦门市思明区莲前街道领事馆路16号银领中心B栋4楼</w:t>
      </w:r>
      <w:r>
        <w:rPr>
          <w:rFonts w:asciiTheme="minorEastAsia" w:hAnsiTheme="minorEastAsia" w:eastAsiaTheme="minorEastAsia"/>
          <w:bCs/>
          <w:color w:val="auto"/>
          <w:sz w:val="24"/>
        </w:rPr>
        <w:t>）</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商务联系人：李奎  电话：18405067788</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ascii="Arial" w:hAnsi="Arial" w:eastAsia="宋体" w:cs="Arial"/>
          <w:color w:val="auto"/>
          <w:sz w:val="18"/>
          <w:szCs w:val="18"/>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fldChar w:fldCharType="begin"/>
      </w:r>
      <w:r>
        <w:rPr>
          <w:rFonts w:ascii="Arial" w:hAnsi="Arial" w:eastAsia="宋体" w:cs="Arial"/>
          <w:color w:val="auto"/>
          <w:sz w:val="18"/>
          <w:szCs w:val="18"/>
        </w:rPr>
        <w:instrText xml:space="preserve"> HYPERLINK "mailto:jhzhou@fhcpec.com.cn" </w:instrText>
      </w:r>
      <w:r>
        <w:rPr>
          <w:rFonts w:ascii="Arial" w:hAnsi="Arial" w:eastAsia="宋体" w:cs="Arial"/>
          <w:color w:val="auto"/>
          <w:sz w:val="18"/>
          <w:szCs w:val="18"/>
        </w:rPr>
        <w:fldChar w:fldCharType="separate"/>
      </w:r>
      <w:r>
        <w:rPr>
          <w:rStyle w:val="9"/>
          <w:rFonts w:ascii="Arial" w:hAnsi="Arial" w:eastAsia="宋体" w:cs="Arial"/>
          <w:color w:val="auto"/>
          <w:sz w:val="18"/>
          <w:szCs w:val="18"/>
        </w:rPr>
        <w:t>jhzhou@fhcpec.com.cn</w:t>
      </w:r>
      <w:r>
        <w:rPr>
          <w:rFonts w:ascii="Arial" w:hAnsi="Arial" w:eastAsia="宋体" w:cs="Arial"/>
          <w:color w:val="auto"/>
          <w:sz w:val="18"/>
          <w:szCs w:val="18"/>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color w:val="auto"/>
          <w:sz w:val="24"/>
        </w:rPr>
      </w:pPr>
      <w:r>
        <w:rPr>
          <w:rFonts w:hint="eastAsia" w:cs="宋体" w:asciiTheme="minorEastAsia" w:hAnsiTheme="minorEastAsia"/>
          <w:bCs/>
          <w:color w:val="auto"/>
          <w:sz w:val="24"/>
        </w:rPr>
        <w:t>陈海伟 电话：13616007156  邮箱：</w:t>
      </w:r>
      <w:r>
        <w:rPr>
          <w:rFonts w:ascii="Arial" w:hAnsi="Arial" w:eastAsia="宋体" w:cs="Arial"/>
          <w:color w:val="auto"/>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Theme="minorEastAsia" w:hAnsiTheme="minorEastAsia"/>
          <w:color w:val="auto"/>
          <w:sz w:val="24"/>
        </w:rPr>
        <w:t xml:space="preserve"> 福化工贸（漳州）有限公司 </w:t>
      </w:r>
    </w:p>
    <w:p>
      <w:pPr>
        <w:spacing w:before="100" w:beforeAutospacing="1" w:after="100" w:afterAutospacing="1" w:line="336"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2021年1</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15</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聚氯化铝</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宋体"/>
          <w:color w:val="auto"/>
          <w:sz w:val="18"/>
          <w:szCs w:val="18"/>
        </w:rPr>
      </w:pPr>
      <w:r>
        <w:rPr>
          <w:rFonts w:hint="eastAsia" w:ascii="宋体"/>
          <w:color w:val="auto"/>
          <w:sz w:val="18"/>
          <w:szCs w:val="18"/>
        </w:rPr>
        <w:t>（4）与比选人无诉讼纠纷。</w:t>
      </w:r>
    </w:p>
    <w:p>
      <w:pPr>
        <w:spacing w:line="320" w:lineRule="exact"/>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）参选保证金：</w:t>
      </w:r>
      <w:r>
        <w:rPr>
          <w:rFonts w:hint="eastAsia" w:ascii="宋体" w:hAnsi="宋体"/>
          <w:color w:val="auto"/>
          <w:sz w:val="18"/>
          <w:szCs w:val="18"/>
          <w:lang w:val="en-US" w:eastAsia="zh-CN"/>
        </w:rPr>
        <w:t>叁万伍仟</w:t>
      </w:r>
      <w:r>
        <w:rPr>
          <w:rFonts w:hint="eastAsia" w:ascii="宋体" w:hAnsi="宋体"/>
          <w:color w:val="auto"/>
          <w:sz w:val="18"/>
          <w:szCs w:val="18"/>
          <w:lang w:val="en-US" w:eastAsia="zh-CN"/>
        </w:rPr>
        <w:t>元</w:t>
      </w:r>
      <w:r>
        <w:rPr>
          <w:rFonts w:hint="eastAsia" w:ascii="宋体" w:hAnsi="宋体"/>
          <w:color w:val="auto"/>
          <w:sz w:val="18"/>
          <w:szCs w:val="18"/>
          <w:lang w:val="en-US" w:eastAsia="zh-CN"/>
        </w:rPr>
        <w:t>整</w:t>
      </w:r>
      <w:r>
        <w:rPr>
          <w:rFonts w:hint="eastAsia" w:ascii="宋体" w:hAns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聚氯化铝</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若报价偏离市场行情，福化工贸（漳州）有限公司有权选择废选。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聚氯化铝</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1000吨</w:t>
      </w:r>
      <w:r>
        <w:rPr>
          <w:rFonts w:hint="eastAsia" w:ascii="宋体" w:cs="宋体"/>
          <w:color w:val="auto"/>
          <w:sz w:val="24"/>
        </w:rPr>
        <w:t>（数量为</w:t>
      </w:r>
      <w:r>
        <w:rPr>
          <w:rFonts w:hint="eastAsia" w:ascii="宋体" w:cs="宋体"/>
          <w:color w:val="auto"/>
          <w:sz w:val="24"/>
          <w:lang w:val="en-US" w:eastAsia="zh-CN"/>
        </w:rPr>
        <w:t>2022年第一季度</w:t>
      </w:r>
      <w:r>
        <w:rPr>
          <w:rFonts w:hint="eastAsia" w:ascii="宋体" w:cs="宋体"/>
          <w:color w:val="auto"/>
          <w:sz w:val="24"/>
        </w:rPr>
        <w:t>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2.技术参数指标详见附件1《</w:t>
      </w:r>
      <w:r>
        <w:rPr>
          <w:rFonts w:hint="eastAsia" w:ascii="宋体" w:hAnsi="宋体"/>
          <w:color w:val="auto"/>
          <w:sz w:val="24"/>
          <w:lang w:eastAsia="zh-CN"/>
        </w:rPr>
        <w:t>聚氯化铝</w:t>
      </w:r>
      <w:r>
        <w:rPr>
          <w:rFonts w:hint="eastAsia" w:ascii="宋体" w:hAnsi="宋体" w:cs="宋体"/>
          <w:color w:val="auto"/>
          <w:sz w:val="24"/>
        </w:rPr>
        <w:t>质量规范》。</w:t>
      </w:r>
    </w:p>
    <w:p>
      <w:pPr>
        <w:spacing w:line="360" w:lineRule="exact"/>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2022年1月1日-2022年3月31日，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聚氯化铝</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7.3我公司快递联系方式：公司名称：福化工贸(漳州）有限公司</w:t>
      </w:r>
    </w:p>
    <w:p>
      <w:pPr>
        <w:spacing w:line="360" w:lineRule="exact"/>
        <w:jc w:val="left"/>
        <w:rPr>
          <w:rFonts w:ascii="宋体" w:hAnsi="宋体" w:cs="宋体"/>
          <w:color w:val="auto"/>
          <w:sz w:val="24"/>
        </w:rPr>
      </w:pPr>
      <w:r>
        <w:rPr>
          <w:rFonts w:hint="eastAsia" w:ascii="宋体" w:hAnsi="宋体" w:cs="宋体"/>
          <w:color w:val="auto"/>
          <w:sz w:val="24"/>
        </w:rPr>
        <w:t>地址：福建省厦门市思明区莲前街道领事馆路16号银领中心B栋4楼 物资装备一部</w:t>
      </w:r>
    </w:p>
    <w:p>
      <w:pPr>
        <w:spacing w:line="360" w:lineRule="exact"/>
        <w:jc w:val="left"/>
        <w:rPr>
          <w:rFonts w:ascii="宋体" w:hAnsi="宋体" w:cs="宋体"/>
          <w:color w:val="auto"/>
          <w:sz w:val="24"/>
        </w:rPr>
      </w:pPr>
    </w:p>
    <w:p>
      <w:pPr>
        <w:spacing w:line="360" w:lineRule="exact"/>
        <w:jc w:val="left"/>
        <w:rPr>
          <w:rFonts w:ascii="宋体"/>
          <w:color w:val="auto"/>
          <w:sz w:val="24"/>
          <w:u w:val="single"/>
        </w:rPr>
      </w:pPr>
      <w:r>
        <w:rPr>
          <w:rFonts w:hint="eastAsia" w:ascii="宋体" w:hAnsi="宋体" w:cs="宋体"/>
          <w:color w:val="auto"/>
          <w:sz w:val="24"/>
        </w:rPr>
        <w:t>联系人：李奎  手机：18405067788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聚氯化铝</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1000</w:t>
      </w:r>
      <w:r>
        <w:rPr>
          <w:rFonts w:hint="eastAsia" w:ascii="宋体" w:cs="宋体"/>
          <w:color w:val="auto"/>
          <w:sz w:val="24"/>
          <w:u w:val="single"/>
        </w:rPr>
        <w:t>吨</w:t>
      </w:r>
      <w:r>
        <w:rPr>
          <w:rFonts w:hint="eastAsia" w:ascii="宋体" w:cs="宋体"/>
          <w:color w:val="auto"/>
          <w:sz w:val="24"/>
        </w:rPr>
        <w:t>（数量为</w:t>
      </w:r>
      <w:r>
        <w:rPr>
          <w:rFonts w:hint="eastAsia" w:ascii="宋体" w:cs="宋体"/>
          <w:color w:val="auto"/>
          <w:sz w:val="24"/>
          <w:lang w:val="en-US" w:eastAsia="zh-CN"/>
        </w:rPr>
        <w:t>2022年第一季度</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lang w:eastAsia="zh-CN"/>
        </w:rPr>
        <w:t>元</w:t>
      </w:r>
      <w:r>
        <w:rPr>
          <w:rFonts w:hint="eastAsia" w:ascii="宋体" w:hAnsi="宋体"/>
          <w:b/>
          <w:bCs/>
          <w:color w:val="auto"/>
          <w:sz w:val="24"/>
        </w:rPr>
        <w:t>/吨，增值税税率</w:t>
      </w:r>
      <w:r>
        <w:rPr>
          <w:rFonts w:hint="eastAsia" w:ascii="宋体" w:hAnsi="宋体"/>
          <w:b/>
          <w:bCs/>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聚氯化铝</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我司同意在投标前缴纳保证金</w:t>
      </w:r>
      <w:r>
        <w:rPr>
          <w:rFonts w:hint="eastAsia" w:ascii="宋体" w:hAnsi="宋体"/>
          <w:color w:val="auto"/>
          <w:sz w:val="24"/>
          <w:lang w:val="en-US" w:eastAsia="zh-CN"/>
        </w:rPr>
        <w:t>叁万伍仟</w:t>
      </w:r>
      <w:r>
        <w:rPr>
          <w:rFonts w:hint="eastAsia" w:ascii="宋体" w:hAnsi="宋体"/>
          <w:color w:val="auto"/>
          <w:sz w:val="24"/>
          <w:lang w:val="en-US" w:eastAsia="zh-CN"/>
        </w:rPr>
        <w:t>元</w:t>
      </w:r>
      <w:r>
        <w:rPr>
          <w:rFonts w:hint="eastAsia" w:ascii="宋体" w:hAnsi="宋体"/>
          <w:color w:val="auto"/>
          <w:sz w:val="24"/>
          <w:lang w:val="en-US" w:eastAsia="zh-CN"/>
        </w:rPr>
        <w:t>整</w:t>
      </w:r>
      <w:r>
        <w:rPr>
          <w:rFonts w:hint="eastAsia" w:ascii="宋体" w:hAnsi="宋体"/>
          <w:color w:val="auto"/>
          <w:sz w:val="24"/>
          <w:lang w:eastAsia="zh-CN"/>
        </w:rPr>
        <w:t>元</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聚氯化铝</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六、执行时间：2022年1月1日</w:t>
      </w:r>
      <w:r>
        <w:rPr>
          <w:rFonts w:ascii="宋体" w:hAnsi="宋体"/>
          <w:color w:val="auto"/>
          <w:sz w:val="24"/>
        </w:rPr>
        <w:t>-20</w:t>
      </w:r>
      <w:r>
        <w:rPr>
          <w:rFonts w:hint="eastAsia" w:ascii="宋体" w:hAnsi="宋体"/>
          <w:color w:val="auto"/>
          <w:sz w:val="24"/>
        </w:rPr>
        <w:t>22年</w:t>
      </w:r>
      <w:r>
        <w:rPr>
          <w:rFonts w:hint="eastAsia" w:ascii="宋体" w:hAnsi="宋体"/>
          <w:color w:val="auto"/>
          <w:sz w:val="24"/>
          <w:lang w:val="en-US" w:eastAsia="zh-CN"/>
        </w:rPr>
        <w:t>3</w:t>
      </w:r>
      <w:r>
        <w:rPr>
          <w:rFonts w:hint="eastAsia" w:ascii="宋体" w:hAnsi="宋体"/>
          <w:color w:val="auto"/>
          <w:sz w:val="24"/>
        </w:rPr>
        <w:t>月31日，其它约定以双方签订合同为准。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rPr>
        <w:t>福化工贸（漳州）有限公司：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聚氯化铝</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1215</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聚氯化铝</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1000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聚氯化铝</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u w:val="single"/>
          <w:lang w:val="en-US" w:eastAsia="zh-CN"/>
        </w:rPr>
        <w:t>1000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执行时间：2022年1月1日</w:t>
      </w:r>
      <w:r>
        <w:rPr>
          <w:rFonts w:ascii="宋体" w:hAnsi="宋体"/>
          <w:color w:val="auto"/>
          <w:sz w:val="28"/>
          <w:szCs w:val="28"/>
        </w:rPr>
        <w:t>-</w:t>
      </w:r>
      <w:r>
        <w:rPr>
          <w:rFonts w:hint="eastAsia" w:ascii="宋体" w:hAnsi="宋体"/>
          <w:color w:val="auto"/>
          <w:sz w:val="28"/>
          <w:szCs w:val="28"/>
        </w:rPr>
        <w:t>2022年</w:t>
      </w:r>
      <w:r>
        <w:rPr>
          <w:rFonts w:hint="eastAsia" w:ascii="宋体" w:hAnsi="宋体"/>
          <w:color w:val="auto"/>
          <w:sz w:val="28"/>
          <w:szCs w:val="28"/>
          <w:lang w:val="en-US" w:eastAsia="zh-CN"/>
        </w:rPr>
        <w:t>3</w:t>
      </w:r>
      <w:r>
        <w:rPr>
          <w:rFonts w:hint="eastAsia" w:ascii="宋体" w:hAnsi="宋体"/>
          <w:color w:val="auto"/>
          <w:sz w:val="28"/>
          <w:szCs w:val="28"/>
        </w:rPr>
        <w:t>月31日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ascii="宋体" w:hAnsi="宋体"/>
          <w:color w:val="auto"/>
          <w:sz w:val="28"/>
          <w:szCs w:val="28"/>
        </w:rPr>
      </w:pPr>
      <w:r>
        <w:rPr>
          <w:rFonts w:ascii="宋体" w:hAnsi="宋体"/>
          <w:color w:val="auto"/>
          <w:sz w:val="28"/>
          <w:szCs w:val="28"/>
        </w:rPr>
        <w:br w:type="page"/>
      </w:r>
    </w:p>
    <w:p>
      <w:pPr>
        <w:spacing w:line="360" w:lineRule="auto"/>
        <w:jc w:val="left"/>
        <w:rPr>
          <w:rFonts w:hint="eastAsia" w:ascii="宋体" w:hAnsi="宋体" w:cs="宋体"/>
          <w:b/>
          <w:color w:val="auto"/>
          <w:sz w:val="28"/>
          <w:szCs w:val="28"/>
        </w:rPr>
      </w:pPr>
      <w:r>
        <w:rPr>
          <w:rFonts w:hint="eastAsia" w:ascii="宋体" w:hAnsi="宋体" w:cs="宋体"/>
          <w:b/>
          <w:color w:val="auto"/>
          <w:sz w:val="28"/>
          <w:szCs w:val="28"/>
        </w:rPr>
        <w:t>附件1</w:t>
      </w:r>
    </w:p>
    <w:p>
      <w:pPr>
        <w:spacing w:before="0" w:line="460" w:lineRule="exact"/>
        <w:ind w:right="3888"/>
        <w:jc w:val="center"/>
        <w:rPr>
          <w:rFonts w:hint="eastAsia" w:ascii="宋体" w:hAnsi="宋体" w:eastAsia="宋体" w:cs="宋体"/>
          <w:color w:val="auto"/>
          <w:sz w:val="36"/>
          <w:szCs w:val="36"/>
          <w:lang w:val="en-US" w:eastAsia="zh-CN"/>
        </w:rPr>
      </w:pPr>
      <w:r>
        <w:rPr>
          <w:rFonts w:hint="eastAsia" w:ascii="宋体" w:hAnsi="宋体" w:cs="宋体"/>
          <w:color w:val="auto"/>
          <w:sz w:val="36"/>
          <w:szCs w:val="36"/>
          <w:lang w:val="en-US" w:eastAsia="zh-CN"/>
        </w:rPr>
        <w:t xml:space="preserve">                聚氯化铝</w:t>
      </w:r>
    </w:p>
    <w:p>
      <w:pPr>
        <w:pStyle w:val="3"/>
        <w:spacing w:before="289" w:line="261" w:lineRule="auto"/>
        <w:ind w:right="0"/>
        <w:jc w:val="left"/>
        <w:rPr>
          <w:color w:val="auto"/>
          <w:w w:val="99"/>
        </w:rPr>
      </w:pPr>
      <w:r>
        <w:rPr>
          <w:color w:val="auto"/>
        </w:rPr>
        <w:t>执行标准：</w:t>
      </w:r>
      <w:r>
        <w:rPr>
          <w:rFonts w:ascii="宋体" w:hAnsi="宋体" w:eastAsia="宋体" w:cs="宋体"/>
          <w:color w:val="auto"/>
        </w:rPr>
        <w:t>Q/FHC M101-2020</w:t>
      </w:r>
      <w:r>
        <w:rPr>
          <w:rFonts w:ascii="宋体" w:hAnsi="宋体" w:eastAsia="宋体" w:cs="宋体"/>
          <w:color w:val="auto"/>
          <w:spacing w:val="-1"/>
        </w:rPr>
        <w:t xml:space="preserve"> </w:t>
      </w:r>
      <w:r>
        <w:rPr>
          <w:color w:val="auto"/>
        </w:rPr>
        <w:t>聚氯化铝采购指标</w:t>
      </w:r>
      <w:r>
        <w:rPr>
          <w:color w:val="auto"/>
          <w:w w:val="99"/>
        </w:rPr>
        <w:t xml:space="preserve"> </w:t>
      </w:r>
    </w:p>
    <w:p>
      <w:pPr>
        <w:pStyle w:val="3"/>
        <w:spacing w:before="289" w:line="261" w:lineRule="auto"/>
        <w:ind w:right="0"/>
        <w:jc w:val="left"/>
        <w:rPr>
          <w:rFonts w:hint="eastAsia" w:eastAsia="宋体"/>
          <w:b w:val="0"/>
          <w:bCs w:val="0"/>
          <w:color w:val="auto"/>
          <w:lang w:val="en-US" w:eastAsia="zh-CN"/>
        </w:rPr>
      </w:pPr>
      <w:r>
        <w:rPr>
          <w:color w:val="auto"/>
        </w:rPr>
        <w:t>说明：</w:t>
      </w:r>
      <w:r>
        <w:rPr>
          <w:rFonts w:ascii="宋体" w:hAnsi="宋体" w:eastAsia="宋体" w:cs="宋体"/>
          <w:color w:val="auto"/>
        </w:rPr>
        <w:t>1</w:t>
      </w:r>
      <w:r>
        <w:rPr>
          <w:color w:val="auto"/>
        </w:rPr>
        <w:t>、液体聚氯化铝采购指标。用于</w:t>
      </w:r>
      <w:r>
        <w:rPr>
          <w:color w:val="auto"/>
          <w:spacing w:val="-73"/>
        </w:rPr>
        <w:t xml:space="preserve"> </w:t>
      </w:r>
      <w:r>
        <w:rPr>
          <w:rFonts w:ascii="宋体" w:hAnsi="宋体" w:eastAsia="宋体" w:cs="宋体"/>
          <w:color w:val="auto"/>
        </w:rPr>
        <w:t>PX</w:t>
      </w:r>
      <w:r>
        <w:rPr>
          <w:rFonts w:ascii="宋体" w:hAnsi="宋体" w:eastAsia="宋体" w:cs="宋体"/>
          <w:color w:val="auto"/>
          <w:spacing w:val="-72"/>
        </w:rPr>
        <w:t xml:space="preserve"> </w:t>
      </w:r>
      <w:r>
        <w:rPr>
          <w:color w:val="auto"/>
        </w:rPr>
        <w:t>厂和</w:t>
      </w:r>
      <w:r>
        <w:rPr>
          <w:color w:val="auto"/>
          <w:spacing w:val="-73"/>
        </w:rPr>
        <w:t xml:space="preserve"> </w:t>
      </w:r>
      <w:r>
        <w:rPr>
          <w:rFonts w:ascii="宋体" w:hAnsi="宋体" w:eastAsia="宋体" w:cs="宋体"/>
          <w:color w:val="auto"/>
        </w:rPr>
        <w:t>PTA</w:t>
      </w:r>
      <w:r>
        <w:rPr>
          <w:rFonts w:ascii="宋体" w:hAnsi="宋体" w:eastAsia="宋体" w:cs="宋体"/>
          <w:color w:val="auto"/>
          <w:spacing w:val="-72"/>
        </w:rPr>
        <w:t xml:space="preserve"> </w:t>
      </w:r>
      <w:r>
        <w:rPr>
          <w:color w:val="auto"/>
        </w:rPr>
        <w:t>厂水气团队（水处理</w:t>
      </w:r>
      <w:r>
        <w:rPr>
          <w:rFonts w:hint="eastAsia"/>
          <w:color w:val="auto"/>
          <w:lang w:val="en-US" w:eastAsia="zh-CN"/>
        </w:rPr>
        <w:t>剂）。</w:t>
      </w:r>
    </w:p>
    <w:p>
      <w:pPr>
        <w:pStyle w:val="3"/>
        <w:spacing w:line="240" w:lineRule="auto"/>
        <w:ind w:right="0" w:firstLine="720" w:firstLineChars="300"/>
        <w:jc w:val="left"/>
        <w:rPr>
          <w:b w:val="0"/>
          <w:bCs w:val="0"/>
          <w:color w:val="auto"/>
        </w:rPr>
      </w:pPr>
      <w:r>
        <w:rPr>
          <w:rFonts w:ascii="宋体" w:hAnsi="宋体" w:eastAsia="宋体" w:cs="宋体"/>
          <w:color w:val="auto"/>
        </w:rPr>
        <w:t>2</w:t>
      </w:r>
      <w:r>
        <w:rPr>
          <w:color w:val="auto"/>
        </w:rPr>
        <w:t xml:space="preserve">、参照标准 </w:t>
      </w:r>
      <w:r>
        <w:rPr>
          <w:rFonts w:ascii="宋体" w:hAnsi="宋体" w:eastAsia="宋体" w:cs="宋体"/>
          <w:color w:val="auto"/>
        </w:rPr>
        <w:t xml:space="preserve">GB/T 22627-2014 </w:t>
      </w:r>
      <w:r>
        <w:rPr>
          <w:color w:val="auto"/>
        </w:rPr>
        <w:t>水处理剂</w:t>
      </w:r>
      <w:r>
        <w:rPr>
          <w:color w:val="auto"/>
          <w:spacing w:val="-79"/>
        </w:rPr>
        <w:t xml:space="preserve"> </w:t>
      </w:r>
      <w:r>
        <w:rPr>
          <w:color w:val="auto"/>
        </w:rPr>
        <w:t>聚氯化铝。</w:t>
      </w:r>
    </w:p>
    <w:p>
      <w:pPr>
        <w:spacing w:before="2" w:line="240" w:lineRule="auto"/>
        <w:rPr>
          <w:rFonts w:ascii="宋体" w:hAnsi="宋体" w:eastAsia="宋体" w:cs="宋体"/>
          <w:b/>
          <w:bCs/>
          <w:color w:val="auto"/>
          <w:sz w:val="3"/>
          <w:szCs w:val="3"/>
        </w:rPr>
      </w:pPr>
    </w:p>
    <w:tbl>
      <w:tblPr>
        <w:tblStyle w:val="6"/>
        <w:tblW w:w="4999" w:type="pct"/>
        <w:tblInd w:w="0" w:type="dxa"/>
        <w:tblLayout w:type="autofit"/>
        <w:tblCellMar>
          <w:top w:w="0" w:type="dxa"/>
          <w:left w:w="0" w:type="dxa"/>
          <w:bottom w:w="0" w:type="dxa"/>
          <w:right w:w="0" w:type="dxa"/>
        </w:tblCellMar>
      </w:tblPr>
      <w:tblGrid>
        <w:gridCol w:w="2943"/>
        <w:gridCol w:w="803"/>
        <w:gridCol w:w="2187"/>
        <w:gridCol w:w="2381"/>
      </w:tblGrid>
      <w:tr>
        <w:tblPrEx>
          <w:tblCellMar>
            <w:top w:w="0" w:type="dxa"/>
            <w:left w:w="0" w:type="dxa"/>
            <w:bottom w:w="0" w:type="dxa"/>
            <w:right w:w="0" w:type="dxa"/>
          </w:tblCellMar>
        </w:tblPrEx>
        <w:trPr>
          <w:trHeight w:val="577" w:hRule="exact"/>
        </w:trPr>
        <w:tc>
          <w:tcPr>
            <w:tcW w:w="2252" w:type="pct"/>
            <w:gridSpan w:val="2"/>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1202"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分析项目</w:t>
            </w:r>
          </w:p>
        </w:tc>
        <w:tc>
          <w:tcPr>
            <w:tcW w:w="1315" w:type="pct"/>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736"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质量指标</w:t>
            </w:r>
          </w:p>
        </w:tc>
        <w:tc>
          <w:tcPr>
            <w:tcW w:w="1431" w:type="pct"/>
            <w:tcBorders>
              <w:top w:val="single" w:color="000000" w:sz="4" w:space="0"/>
              <w:left w:val="single" w:color="000000" w:sz="4" w:space="0"/>
              <w:bottom w:val="single" w:color="000000" w:sz="4" w:space="0"/>
              <w:right w:val="single" w:color="000000" w:sz="4" w:space="0"/>
            </w:tcBorders>
            <w:shd w:val="clear" w:color="auto" w:fill="C1C1C1"/>
          </w:tcPr>
          <w:p>
            <w:pPr>
              <w:pStyle w:val="18"/>
              <w:spacing w:before="88" w:line="240" w:lineRule="auto"/>
              <w:ind w:left="844" w:right="0"/>
              <w:jc w:val="left"/>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试验方法</w:t>
            </w:r>
          </w:p>
        </w:tc>
      </w:tr>
      <w:tr>
        <w:tblPrEx>
          <w:tblCellMar>
            <w:top w:w="0" w:type="dxa"/>
            <w:left w:w="0" w:type="dxa"/>
            <w:bottom w:w="0" w:type="dxa"/>
            <w:right w:w="0" w:type="dxa"/>
          </w:tblCellMar>
        </w:tblPrEx>
        <w:trPr>
          <w:trHeight w:val="943" w:hRule="exact"/>
        </w:trPr>
        <w:tc>
          <w:tcPr>
            <w:tcW w:w="2252" w:type="pct"/>
            <w:gridSpan w:val="2"/>
            <w:tcBorders>
              <w:top w:val="single" w:color="000000" w:sz="4" w:space="0"/>
              <w:left w:val="single" w:color="000000" w:sz="4" w:space="0"/>
              <w:bottom w:val="single" w:color="000000" w:sz="4" w:space="0"/>
              <w:right w:val="single" w:color="000000" w:sz="4" w:space="0"/>
            </w:tcBorders>
          </w:tcPr>
          <w:p>
            <w:pPr>
              <w:pStyle w:val="18"/>
              <w:spacing w:before="10" w:line="240" w:lineRule="auto"/>
              <w:ind w:right="0"/>
              <w:jc w:val="left"/>
              <w:rPr>
                <w:rFonts w:hint="eastAsia" w:ascii="宋体" w:hAnsi="宋体" w:eastAsia="宋体" w:cs="宋体"/>
                <w:b/>
                <w:bCs/>
                <w:i w:val="0"/>
                <w:iCs w:val="0"/>
                <w:color w:val="auto"/>
                <w:sz w:val="20"/>
                <w:szCs w:val="20"/>
              </w:rPr>
            </w:pPr>
          </w:p>
          <w:p>
            <w:pPr>
              <w:pStyle w:val="18"/>
              <w:spacing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外观</w:t>
            </w:r>
          </w:p>
        </w:tc>
        <w:tc>
          <w:tcPr>
            <w:tcW w:w="1315" w:type="pct"/>
            <w:tcBorders>
              <w:top w:val="single" w:color="000000" w:sz="4" w:space="0"/>
              <w:left w:val="single" w:color="000000" w:sz="4" w:space="0"/>
              <w:bottom w:val="single" w:color="000000" w:sz="4" w:space="0"/>
              <w:right w:val="single" w:color="000000" w:sz="4" w:space="0"/>
            </w:tcBorders>
          </w:tcPr>
          <w:p>
            <w:pPr>
              <w:pStyle w:val="18"/>
              <w:spacing w:line="273" w:lineRule="exact"/>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9"/>
                <w:sz w:val="24"/>
                <w:szCs w:val="24"/>
              </w:rPr>
              <w:t>无色、浅灰色、淡黄</w:t>
            </w:r>
          </w:p>
          <w:p>
            <w:pPr>
              <w:pStyle w:val="18"/>
              <w:spacing w:before="31" w:line="310" w:lineRule="exact"/>
              <w:ind w:left="103" w:right="89"/>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9"/>
                <w:sz w:val="24"/>
                <w:szCs w:val="24"/>
              </w:rPr>
              <w:t xml:space="preserve">色或棕褐色透明或半 </w:t>
            </w:r>
            <w:r>
              <w:rPr>
                <w:rFonts w:hint="eastAsia" w:ascii="宋体" w:hAnsi="宋体" w:eastAsia="宋体" w:cs="宋体"/>
                <w:i w:val="0"/>
                <w:iCs w:val="0"/>
                <w:color w:val="auto"/>
                <w:sz w:val="24"/>
                <w:szCs w:val="24"/>
              </w:rPr>
              <w:t>透明液体，无沉淀</w:t>
            </w:r>
          </w:p>
        </w:tc>
        <w:tc>
          <w:tcPr>
            <w:tcW w:w="1431" w:type="pct"/>
            <w:tcBorders>
              <w:top w:val="single" w:color="000000" w:sz="4" w:space="0"/>
              <w:left w:val="single" w:color="000000" w:sz="4" w:space="0"/>
              <w:bottom w:val="single" w:color="000000" w:sz="4" w:space="0"/>
              <w:right w:val="single" w:color="000000" w:sz="4" w:space="0"/>
            </w:tcBorders>
          </w:tcPr>
          <w:p>
            <w:pPr>
              <w:pStyle w:val="18"/>
              <w:spacing w:before="10" w:line="240" w:lineRule="auto"/>
              <w:ind w:right="0"/>
              <w:jc w:val="left"/>
              <w:rPr>
                <w:rFonts w:hint="eastAsia" w:ascii="宋体" w:hAnsi="宋体" w:eastAsia="宋体" w:cs="宋体"/>
                <w:b/>
                <w:bCs/>
                <w:i w:val="0"/>
                <w:iCs w:val="0"/>
                <w:color w:val="auto"/>
                <w:sz w:val="20"/>
                <w:szCs w:val="20"/>
              </w:rPr>
            </w:pPr>
          </w:p>
          <w:p>
            <w:pPr>
              <w:pStyle w:val="18"/>
              <w:spacing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目测</w:t>
            </w:r>
          </w:p>
        </w:tc>
      </w:tr>
      <w:tr>
        <w:tblPrEx>
          <w:tblCellMar>
            <w:top w:w="0" w:type="dxa"/>
            <w:left w:w="0" w:type="dxa"/>
            <w:bottom w:w="0" w:type="dxa"/>
            <w:right w:w="0" w:type="dxa"/>
          </w:tblCellMar>
        </w:tblPrEx>
        <w:trPr>
          <w:trHeight w:val="576" w:hRule="exact"/>
        </w:trPr>
        <w:tc>
          <w:tcPr>
            <w:tcW w:w="1769" w:type="pct"/>
            <w:tcBorders>
              <w:top w:val="single" w:color="000000" w:sz="4" w:space="0"/>
              <w:left w:val="single" w:color="000000" w:sz="4" w:space="0"/>
              <w:bottom w:val="single" w:color="000000" w:sz="4" w:space="0"/>
              <w:right w:val="nil"/>
            </w:tcBorders>
          </w:tcPr>
          <w:p>
            <w:pPr>
              <w:pStyle w:val="18"/>
              <w:spacing w:before="86"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position w:val="2"/>
                <w:sz w:val="24"/>
                <w:szCs w:val="24"/>
              </w:rPr>
              <w:t>氧化铝（以</w:t>
            </w:r>
            <w:r>
              <w:rPr>
                <w:rFonts w:hint="eastAsia" w:ascii="宋体" w:hAnsi="宋体" w:eastAsia="宋体" w:cs="宋体"/>
                <w:i w:val="0"/>
                <w:iCs w:val="0"/>
                <w:color w:val="auto"/>
                <w:spacing w:val="-61"/>
                <w:position w:val="2"/>
                <w:sz w:val="24"/>
                <w:szCs w:val="24"/>
              </w:rPr>
              <w:t xml:space="preserve"> </w:t>
            </w:r>
            <w:r>
              <w:rPr>
                <w:rFonts w:hint="eastAsia" w:ascii="宋体" w:hAnsi="宋体" w:eastAsia="宋体" w:cs="宋体"/>
                <w:i w:val="0"/>
                <w:iCs w:val="0"/>
                <w:color w:val="auto"/>
                <w:spacing w:val="4"/>
                <w:position w:val="2"/>
                <w:sz w:val="24"/>
                <w:szCs w:val="24"/>
              </w:rPr>
              <w:t>Al</w:t>
            </w:r>
            <w:r>
              <w:rPr>
                <w:rFonts w:hint="eastAsia" w:ascii="宋体" w:hAnsi="宋体" w:eastAsia="宋体" w:cs="宋体"/>
                <w:i w:val="0"/>
                <w:iCs w:val="0"/>
                <w:color w:val="auto"/>
                <w:spacing w:val="4"/>
                <w:sz w:val="12"/>
                <w:szCs w:val="12"/>
              </w:rPr>
              <w:t>2</w:t>
            </w:r>
            <w:r>
              <w:rPr>
                <w:rFonts w:hint="eastAsia" w:ascii="宋体" w:hAnsi="宋体" w:eastAsia="宋体" w:cs="宋体"/>
                <w:i w:val="0"/>
                <w:iCs w:val="0"/>
                <w:color w:val="auto"/>
                <w:spacing w:val="-49"/>
                <w:sz w:val="12"/>
                <w:szCs w:val="12"/>
              </w:rPr>
              <w:t xml:space="preserve"> </w:t>
            </w:r>
            <w:r>
              <w:rPr>
                <w:rFonts w:hint="eastAsia" w:ascii="宋体" w:hAnsi="宋体" w:eastAsia="宋体" w:cs="宋体"/>
                <w:i w:val="0"/>
                <w:iCs w:val="0"/>
                <w:color w:val="auto"/>
                <w:spacing w:val="6"/>
                <w:position w:val="2"/>
                <w:sz w:val="24"/>
                <w:szCs w:val="24"/>
              </w:rPr>
              <w:t>O</w:t>
            </w:r>
            <w:r>
              <w:rPr>
                <w:rFonts w:hint="eastAsia" w:ascii="宋体" w:hAnsi="宋体" w:eastAsia="宋体" w:cs="宋体"/>
                <w:i w:val="0"/>
                <w:iCs w:val="0"/>
                <w:color w:val="auto"/>
                <w:spacing w:val="6"/>
                <w:sz w:val="12"/>
                <w:szCs w:val="12"/>
              </w:rPr>
              <w:t>3</w:t>
            </w:r>
            <w:r>
              <w:rPr>
                <w:rFonts w:hint="eastAsia" w:ascii="宋体" w:hAnsi="宋体" w:eastAsia="宋体" w:cs="宋体"/>
                <w:i w:val="0"/>
                <w:iCs w:val="0"/>
                <w:color w:val="auto"/>
                <w:spacing w:val="-45"/>
                <w:sz w:val="12"/>
                <w:szCs w:val="12"/>
              </w:rPr>
              <w:t xml:space="preserve"> </w:t>
            </w:r>
            <w:r>
              <w:rPr>
                <w:rFonts w:hint="eastAsia" w:ascii="宋体" w:hAnsi="宋体" w:eastAsia="宋体" w:cs="宋体"/>
                <w:i w:val="0"/>
                <w:iCs w:val="0"/>
                <w:color w:val="auto"/>
                <w:position w:val="2"/>
                <w:sz w:val="24"/>
                <w:szCs w:val="24"/>
              </w:rPr>
              <w:t>计）</w:t>
            </w:r>
            <w:r>
              <w:rPr>
                <w:rFonts w:hint="eastAsia" w:ascii="宋体" w:hAnsi="宋体" w:eastAsia="宋体" w:cs="宋体"/>
                <w:i w:val="0"/>
                <w:iCs w:val="0"/>
                <w:color w:val="auto"/>
                <w:position w:val="2"/>
                <w:sz w:val="21"/>
                <w:szCs w:val="21"/>
              </w:rPr>
              <w:t>w</w:t>
            </w:r>
            <w:r>
              <w:rPr>
                <w:rFonts w:hint="eastAsia" w:ascii="宋体" w:hAnsi="宋体" w:eastAsia="宋体" w:cs="宋体"/>
                <w:i w:val="0"/>
                <w:iCs w:val="0"/>
                <w:color w:val="auto"/>
                <w:position w:val="2"/>
                <w:sz w:val="24"/>
                <w:szCs w:val="24"/>
              </w:rPr>
              <w:t>/%</w:t>
            </w:r>
          </w:p>
        </w:tc>
        <w:tc>
          <w:tcPr>
            <w:tcW w:w="483" w:type="pct"/>
            <w:tcBorders>
              <w:top w:val="single" w:color="000000" w:sz="4" w:space="0"/>
              <w:left w:val="nil"/>
              <w:bottom w:val="single" w:color="000000" w:sz="4" w:space="0"/>
              <w:right w:val="single" w:color="000000" w:sz="4" w:space="0"/>
            </w:tcBorders>
          </w:tcPr>
          <w:p>
            <w:pPr>
              <w:pStyle w:val="18"/>
              <w:spacing w:before="87" w:line="240" w:lineRule="auto"/>
              <w:ind w:left="551"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tc>
        <w:tc>
          <w:tcPr>
            <w:tcW w:w="1315"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10.0</w:t>
            </w:r>
          </w:p>
        </w:tc>
        <w:tc>
          <w:tcPr>
            <w:tcW w:w="1431"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blPrEx>
          <w:tblCellMar>
            <w:top w:w="0" w:type="dxa"/>
            <w:left w:w="0" w:type="dxa"/>
            <w:bottom w:w="0" w:type="dxa"/>
            <w:right w:w="0" w:type="dxa"/>
          </w:tblCellMar>
        </w:tblPrEx>
        <w:trPr>
          <w:trHeight w:val="578" w:hRule="exact"/>
        </w:trPr>
        <w:tc>
          <w:tcPr>
            <w:tcW w:w="2252" w:type="pct"/>
            <w:gridSpan w:val="2"/>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盐基度</w:t>
            </w:r>
            <w:r>
              <w:rPr>
                <w:rFonts w:hint="eastAsia" w:ascii="宋体" w:hAnsi="宋体" w:eastAsia="宋体" w:cs="宋体"/>
                <w:i w:val="0"/>
                <w:iCs w:val="0"/>
                <w:color w:val="auto"/>
                <w:spacing w:val="-62"/>
                <w:sz w:val="24"/>
                <w:szCs w:val="24"/>
              </w:rPr>
              <w:t xml:space="preserve"> </w:t>
            </w:r>
            <w:r>
              <w:rPr>
                <w:rFonts w:hint="eastAsia" w:ascii="宋体" w:hAnsi="宋体" w:eastAsia="宋体" w:cs="宋体"/>
                <w:i w:val="0"/>
                <w:iCs w:val="0"/>
                <w:color w:val="auto"/>
                <w:sz w:val="21"/>
                <w:szCs w:val="21"/>
              </w:rPr>
              <w:t>w</w:t>
            </w:r>
            <w:r>
              <w:rPr>
                <w:rFonts w:hint="eastAsia" w:ascii="宋体" w:hAnsi="宋体" w:eastAsia="宋体" w:cs="宋体"/>
                <w:i w:val="0"/>
                <w:iCs w:val="0"/>
                <w:color w:val="auto"/>
                <w:sz w:val="24"/>
                <w:szCs w:val="24"/>
              </w:rPr>
              <w:t>/%</w:t>
            </w:r>
          </w:p>
        </w:tc>
        <w:tc>
          <w:tcPr>
            <w:tcW w:w="1315"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30.0～95.0</w:t>
            </w:r>
          </w:p>
        </w:tc>
        <w:tc>
          <w:tcPr>
            <w:tcW w:w="1431"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blPrEx>
          <w:tblCellMar>
            <w:top w:w="0" w:type="dxa"/>
            <w:left w:w="0" w:type="dxa"/>
            <w:bottom w:w="0" w:type="dxa"/>
            <w:right w:w="0" w:type="dxa"/>
          </w:tblCellMar>
        </w:tblPrEx>
        <w:trPr>
          <w:trHeight w:val="576" w:hRule="exact"/>
        </w:trPr>
        <w:tc>
          <w:tcPr>
            <w:tcW w:w="2252" w:type="pct"/>
            <w:gridSpan w:val="2"/>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pH</w:t>
            </w:r>
            <w:r>
              <w:rPr>
                <w:rFonts w:hint="eastAsia" w:ascii="宋体" w:hAnsi="宋体" w:eastAsia="宋体" w:cs="宋体"/>
                <w:i w:val="0"/>
                <w:iCs w:val="0"/>
                <w:color w:val="auto"/>
                <w:spacing w:val="-60"/>
                <w:sz w:val="24"/>
                <w:szCs w:val="24"/>
              </w:rPr>
              <w:t xml:space="preserve"> </w:t>
            </w:r>
            <w:r>
              <w:rPr>
                <w:rFonts w:hint="eastAsia" w:ascii="宋体" w:hAnsi="宋体" w:eastAsia="宋体" w:cs="宋体"/>
                <w:i w:val="0"/>
                <w:iCs w:val="0"/>
                <w:color w:val="auto"/>
                <w:sz w:val="24"/>
                <w:szCs w:val="24"/>
              </w:rPr>
              <w:t>值（10g/L</w:t>
            </w:r>
            <w:r>
              <w:rPr>
                <w:rFonts w:hint="eastAsia" w:ascii="宋体" w:hAnsi="宋体" w:eastAsia="宋体" w:cs="宋体"/>
                <w:i w:val="0"/>
                <w:iCs w:val="0"/>
                <w:color w:val="auto"/>
                <w:spacing w:val="-60"/>
                <w:sz w:val="24"/>
                <w:szCs w:val="24"/>
              </w:rPr>
              <w:t xml:space="preserve"> </w:t>
            </w:r>
            <w:r>
              <w:rPr>
                <w:rFonts w:hint="eastAsia" w:ascii="宋体" w:hAnsi="宋体" w:eastAsia="宋体" w:cs="宋体"/>
                <w:i w:val="0"/>
                <w:iCs w:val="0"/>
                <w:color w:val="auto"/>
                <w:sz w:val="24"/>
                <w:szCs w:val="24"/>
              </w:rPr>
              <w:t>水溶液）</w:t>
            </w:r>
          </w:p>
        </w:tc>
        <w:tc>
          <w:tcPr>
            <w:tcW w:w="1315"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3.5～5.0</w:t>
            </w:r>
          </w:p>
        </w:tc>
        <w:tc>
          <w:tcPr>
            <w:tcW w:w="1431" w:type="pct"/>
            <w:tcBorders>
              <w:top w:val="single" w:color="000000" w:sz="4" w:space="0"/>
              <w:left w:val="single" w:color="000000" w:sz="4" w:space="0"/>
              <w:bottom w:val="single" w:color="000000" w:sz="4" w:space="0"/>
              <w:right w:val="single" w:color="000000" w:sz="4" w:space="0"/>
            </w:tcBorders>
          </w:tcPr>
          <w:p>
            <w:pPr>
              <w:pStyle w:val="18"/>
              <w:spacing w:before="87"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22627</w:t>
            </w:r>
          </w:p>
        </w:tc>
      </w:tr>
      <w:tr>
        <w:tblPrEx>
          <w:tblCellMar>
            <w:top w:w="0" w:type="dxa"/>
            <w:left w:w="0" w:type="dxa"/>
            <w:bottom w:w="0" w:type="dxa"/>
            <w:right w:w="0" w:type="dxa"/>
          </w:tblCellMar>
        </w:tblPrEx>
        <w:trPr>
          <w:trHeight w:val="578" w:hRule="exact"/>
        </w:trPr>
        <w:tc>
          <w:tcPr>
            <w:tcW w:w="1769" w:type="pct"/>
            <w:tcBorders>
              <w:top w:val="single" w:color="000000" w:sz="4" w:space="0"/>
              <w:left w:val="single" w:color="000000" w:sz="4" w:space="0"/>
              <w:bottom w:val="single" w:color="000000" w:sz="4" w:space="0"/>
              <w:right w:val="nil"/>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不溶物</w:t>
            </w:r>
            <w:r>
              <w:rPr>
                <w:rFonts w:hint="eastAsia" w:ascii="宋体" w:hAnsi="宋体" w:eastAsia="宋体" w:cs="宋体"/>
                <w:i w:val="0"/>
                <w:iCs w:val="0"/>
                <w:color w:val="auto"/>
                <w:spacing w:val="-62"/>
                <w:sz w:val="24"/>
                <w:szCs w:val="24"/>
              </w:rPr>
              <w:t xml:space="preserve"> </w:t>
            </w:r>
            <w:r>
              <w:rPr>
                <w:rFonts w:hint="eastAsia" w:ascii="宋体" w:hAnsi="宋体" w:eastAsia="宋体" w:cs="宋体"/>
                <w:i w:val="0"/>
                <w:iCs w:val="0"/>
                <w:color w:val="auto"/>
                <w:sz w:val="21"/>
                <w:szCs w:val="21"/>
              </w:rPr>
              <w:t>w</w:t>
            </w:r>
            <w:r>
              <w:rPr>
                <w:rFonts w:hint="eastAsia" w:ascii="宋体" w:hAnsi="宋体" w:eastAsia="宋体" w:cs="宋体"/>
                <w:i w:val="0"/>
                <w:iCs w:val="0"/>
                <w:color w:val="auto"/>
                <w:sz w:val="24"/>
                <w:szCs w:val="24"/>
              </w:rPr>
              <w:t>/%</w:t>
            </w:r>
          </w:p>
        </w:tc>
        <w:tc>
          <w:tcPr>
            <w:tcW w:w="483" w:type="pct"/>
            <w:tcBorders>
              <w:top w:val="single" w:color="000000" w:sz="4" w:space="0"/>
              <w:left w:val="nil"/>
              <w:bottom w:val="single" w:color="000000" w:sz="4" w:space="0"/>
              <w:right w:val="single" w:color="000000" w:sz="4" w:space="0"/>
            </w:tcBorders>
          </w:tcPr>
          <w:p>
            <w:pPr>
              <w:pStyle w:val="18"/>
              <w:spacing w:before="89" w:line="240" w:lineRule="auto"/>
              <w:ind w:left="551"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tc>
        <w:tc>
          <w:tcPr>
            <w:tcW w:w="1315"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0.4</w:t>
            </w:r>
          </w:p>
        </w:tc>
        <w:tc>
          <w:tcPr>
            <w:tcW w:w="1431" w:type="pct"/>
            <w:tcBorders>
              <w:top w:val="single" w:color="000000" w:sz="4" w:space="0"/>
              <w:left w:val="single" w:color="000000" w:sz="4" w:space="0"/>
              <w:bottom w:val="single" w:color="000000" w:sz="4" w:space="0"/>
              <w:right w:val="single" w:color="000000" w:sz="4" w:space="0"/>
            </w:tcBorders>
          </w:tcPr>
          <w:p>
            <w:pPr>
              <w:pStyle w:val="18"/>
              <w:spacing w:before="89" w:line="240" w:lineRule="auto"/>
              <w:ind w:left="103" w:right="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GB/T 22596</w:t>
            </w:r>
          </w:p>
        </w:tc>
      </w:tr>
    </w:tbl>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A3140"/>
    <w:rsid w:val="032D15FD"/>
    <w:rsid w:val="032F04D8"/>
    <w:rsid w:val="03E5328D"/>
    <w:rsid w:val="042207A6"/>
    <w:rsid w:val="046E24C0"/>
    <w:rsid w:val="04A21245"/>
    <w:rsid w:val="05CE4353"/>
    <w:rsid w:val="064416AA"/>
    <w:rsid w:val="06964B9A"/>
    <w:rsid w:val="06A3708D"/>
    <w:rsid w:val="077632ED"/>
    <w:rsid w:val="090A2F1F"/>
    <w:rsid w:val="09691543"/>
    <w:rsid w:val="0A58515B"/>
    <w:rsid w:val="0A5E0098"/>
    <w:rsid w:val="0B4A13AC"/>
    <w:rsid w:val="0B4B49E0"/>
    <w:rsid w:val="0B8E420A"/>
    <w:rsid w:val="0F8C0A60"/>
    <w:rsid w:val="0FA364D6"/>
    <w:rsid w:val="0FE34343"/>
    <w:rsid w:val="1115075C"/>
    <w:rsid w:val="111E4EA7"/>
    <w:rsid w:val="11715093"/>
    <w:rsid w:val="118A38B5"/>
    <w:rsid w:val="12837C22"/>
    <w:rsid w:val="12CF31F9"/>
    <w:rsid w:val="1387789C"/>
    <w:rsid w:val="13B74194"/>
    <w:rsid w:val="15033088"/>
    <w:rsid w:val="15101A52"/>
    <w:rsid w:val="15BF2E22"/>
    <w:rsid w:val="15C31A47"/>
    <w:rsid w:val="16172661"/>
    <w:rsid w:val="16270A04"/>
    <w:rsid w:val="178C691A"/>
    <w:rsid w:val="184968FC"/>
    <w:rsid w:val="1A2F6DF9"/>
    <w:rsid w:val="1AFD66F4"/>
    <w:rsid w:val="1B233A0E"/>
    <w:rsid w:val="1B927AE6"/>
    <w:rsid w:val="1C8261A0"/>
    <w:rsid w:val="1D0113C9"/>
    <w:rsid w:val="1D05782C"/>
    <w:rsid w:val="1DD33EEF"/>
    <w:rsid w:val="1E3264F3"/>
    <w:rsid w:val="1EBD3B62"/>
    <w:rsid w:val="1F02429F"/>
    <w:rsid w:val="207E3421"/>
    <w:rsid w:val="2090579A"/>
    <w:rsid w:val="20AF45AF"/>
    <w:rsid w:val="21BD6DBB"/>
    <w:rsid w:val="22003DA2"/>
    <w:rsid w:val="221A3813"/>
    <w:rsid w:val="22521DD3"/>
    <w:rsid w:val="23464916"/>
    <w:rsid w:val="237B661E"/>
    <w:rsid w:val="238B4E5F"/>
    <w:rsid w:val="23BF50C8"/>
    <w:rsid w:val="247C7073"/>
    <w:rsid w:val="2496308D"/>
    <w:rsid w:val="258C0EF7"/>
    <w:rsid w:val="25CB1E8B"/>
    <w:rsid w:val="27CF60B0"/>
    <w:rsid w:val="27E234BC"/>
    <w:rsid w:val="280475E2"/>
    <w:rsid w:val="29B80978"/>
    <w:rsid w:val="29D17C38"/>
    <w:rsid w:val="2AC11AAE"/>
    <w:rsid w:val="2BE04E2E"/>
    <w:rsid w:val="2C3328C4"/>
    <w:rsid w:val="2D2B1461"/>
    <w:rsid w:val="2E12514F"/>
    <w:rsid w:val="2E351771"/>
    <w:rsid w:val="2F210D6D"/>
    <w:rsid w:val="30071591"/>
    <w:rsid w:val="30275B42"/>
    <w:rsid w:val="30985912"/>
    <w:rsid w:val="30E60CDF"/>
    <w:rsid w:val="312B136C"/>
    <w:rsid w:val="31CE1FAB"/>
    <w:rsid w:val="322E5C7B"/>
    <w:rsid w:val="328F6057"/>
    <w:rsid w:val="32A75EF3"/>
    <w:rsid w:val="33413E8A"/>
    <w:rsid w:val="35010EDF"/>
    <w:rsid w:val="35327452"/>
    <w:rsid w:val="35FC498E"/>
    <w:rsid w:val="36215A7E"/>
    <w:rsid w:val="36417C8D"/>
    <w:rsid w:val="366436B8"/>
    <w:rsid w:val="37ED7F2D"/>
    <w:rsid w:val="38A94FE7"/>
    <w:rsid w:val="39137A71"/>
    <w:rsid w:val="391433B1"/>
    <w:rsid w:val="39657C8F"/>
    <w:rsid w:val="3969383E"/>
    <w:rsid w:val="39B95E18"/>
    <w:rsid w:val="3A4967DD"/>
    <w:rsid w:val="3A9A2FE2"/>
    <w:rsid w:val="3AD63889"/>
    <w:rsid w:val="3B293E28"/>
    <w:rsid w:val="3B532B57"/>
    <w:rsid w:val="3BD776DA"/>
    <w:rsid w:val="3C1E5B01"/>
    <w:rsid w:val="3C333506"/>
    <w:rsid w:val="3C656913"/>
    <w:rsid w:val="3CFE624A"/>
    <w:rsid w:val="3D321A44"/>
    <w:rsid w:val="3D475A63"/>
    <w:rsid w:val="3FEE6A4A"/>
    <w:rsid w:val="401F30A7"/>
    <w:rsid w:val="40831E81"/>
    <w:rsid w:val="409057BD"/>
    <w:rsid w:val="41186225"/>
    <w:rsid w:val="416F5968"/>
    <w:rsid w:val="418324AC"/>
    <w:rsid w:val="41A04200"/>
    <w:rsid w:val="41CC2295"/>
    <w:rsid w:val="42257F84"/>
    <w:rsid w:val="422D3D55"/>
    <w:rsid w:val="42680DF6"/>
    <w:rsid w:val="42DC0DDB"/>
    <w:rsid w:val="43482915"/>
    <w:rsid w:val="4351032C"/>
    <w:rsid w:val="43E44E60"/>
    <w:rsid w:val="44236751"/>
    <w:rsid w:val="448C78B8"/>
    <w:rsid w:val="44CB1108"/>
    <w:rsid w:val="45C94E39"/>
    <w:rsid w:val="464B079B"/>
    <w:rsid w:val="468077A8"/>
    <w:rsid w:val="468E6ECD"/>
    <w:rsid w:val="46DE637E"/>
    <w:rsid w:val="46EA56DB"/>
    <w:rsid w:val="476C6251"/>
    <w:rsid w:val="479C322F"/>
    <w:rsid w:val="47A978DA"/>
    <w:rsid w:val="48081467"/>
    <w:rsid w:val="48295411"/>
    <w:rsid w:val="493B7D23"/>
    <w:rsid w:val="497038CD"/>
    <w:rsid w:val="49730A66"/>
    <w:rsid w:val="499A66C3"/>
    <w:rsid w:val="4B4A24A6"/>
    <w:rsid w:val="4C204881"/>
    <w:rsid w:val="4C82133E"/>
    <w:rsid w:val="4D143DFB"/>
    <w:rsid w:val="4E0062C6"/>
    <w:rsid w:val="4EF66C8E"/>
    <w:rsid w:val="4F4E1D81"/>
    <w:rsid w:val="4F8270FB"/>
    <w:rsid w:val="4FA265C1"/>
    <w:rsid w:val="4FAF2ACB"/>
    <w:rsid w:val="507E72C1"/>
    <w:rsid w:val="508235A6"/>
    <w:rsid w:val="50DE33C7"/>
    <w:rsid w:val="51092694"/>
    <w:rsid w:val="512F6EC2"/>
    <w:rsid w:val="513403C7"/>
    <w:rsid w:val="518B38CB"/>
    <w:rsid w:val="51E26721"/>
    <w:rsid w:val="529A77A5"/>
    <w:rsid w:val="53A82B52"/>
    <w:rsid w:val="53ED6794"/>
    <w:rsid w:val="542657F3"/>
    <w:rsid w:val="542A50A2"/>
    <w:rsid w:val="542D5399"/>
    <w:rsid w:val="54B059A5"/>
    <w:rsid w:val="55E907A3"/>
    <w:rsid w:val="56195634"/>
    <w:rsid w:val="56325307"/>
    <w:rsid w:val="5659474A"/>
    <w:rsid w:val="56732B47"/>
    <w:rsid w:val="58BD4EAA"/>
    <w:rsid w:val="58DA20C8"/>
    <w:rsid w:val="59B64E5B"/>
    <w:rsid w:val="59C41AA5"/>
    <w:rsid w:val="5A772BA7"/>
    <w:rsid w:val="5B510FBA"/>
    <w:rsid w:val="5B5E370D"/>
    <w:rsid w:val="5B713427"/>
    <w:rsid w:val="5C8B0489"/>
    <w:rsid w:val="5CCB321D"/>
    <w:rsid w:val="5D3038FF"/>
    <w:rsid w:val="5E3D7D48"/>
    <w:rsid w:val="5E5B4B1E"/>
    <w:rsid w:val="5EDC2437"/>
    <w:rsid w:val="5F4856E5"/>
    <w:rsid w:val="5F683B20"/>
    <w:rsid w:val="5F6A1B70"/>
    <w:rsid w:val="603C6B90"/>
    <w:rsid w:val="60E930B4"/>
    <w:rsid w:val="61034DA8"/>
    <w:rsid w:val="61391E0A"/>
    <w:rsid w:val="61716ECA"/>
    <w:rsid w:val="62772330"/>
    <w:rsid w:val="64383FFB"/>
    <w:rsid w:val="651A5C4B"/>
    <w:rsid w:val="653116C9"/>
    <w:rsid w:val="653762FE"/>
    <w:rsid w:val="653A164C"/>
    <w:rsid w:val="65B31BCC"/>
    <w:rsid w:val="667E7566"/>
    <w:rsid w:val="68031777"/>
    <w:rsid w:val="68885CD3"/>
    <w:rsid w:val="68F0116E"/>
    <w:rsid w:val="69085BD7"/>
    <w:rsid w:val="6960653E"/>
    <w:rsid w:val="6B9A256C"/>
    <w:rsid w:val="6BA373FF"/>
    <w:rsid w:val="6BEB1E5F"/>
    <w:rsid w:val="6C4957FC"/>
    <w:rsid w:val="6D3E0CE6"/>
    <w:rsid w:val="6D6E3F95"/>
    <w:rsid w:val="6DB151E2"/>
    <w:rsid w:val="6DBF39F3"/>
    <w:rsid w:val="6E80463B"/>
    <w:rsid w:val="6F457884"/>
    <w:rsid w:val="6F8C7070"/>
    <w:rsid w:val="6FE70842"/>
    <w:rsid w:val="6FF53E70"/>
    <w:rsid w:val="701A2DBF"/>
    <w:rsid w:val="703B4D4B"/>
    <w:rsid w:val="70642ED3"/>
    <w:rsid w:val="70763652"/>
    <w:rsid w:val="70A15996"/>
    <w:rsid w:val="713779A1"/>
    <w:rsid w:val="72CC3F86"/>
    <w:rsid w:val="72E24278"/>
    <w:rsid w:val="73293EB8"/>
    <w:rsid w:val="73843B37"/>
    <w:rsid w:val="73AA2AB8"/>
    <w:rsid w:val="7448595E"/>
    <w:rsid w:val="745139F7"/>
    <w:rsid w:val="74A25915"/>
    <w:rsid w:val="75706FDE"/>
    <w:rsid w:val="75940C8C"/>
    <w:rsid w:val="75C940ED"/>
    <w:rsid w:val="76D15FF3"/>
    <w:rsid w:val="77550A67"/>
    <w:rsid w:val="77A85270"/>
    <w:rsid w:val="77B83BB6"/>
    <w:rsid w:val="77BA2D12"/>
    <w:rsid w:val="7856695F"/>
    <w:rsid w:val="7866427B"/>
    <w:rsid w:val="78F732D8"/>
    <w:rsid w:val="790F1791"/>
    <w:rsid w:val="79775EC9"/>
    <w:rsid w:val="7A37206F"/>
    <w:rsid w:val="7A7E5483"/>
    <w:rsid w:val="7B7027FC"/>
    <w:rsid w:val="7B740622"/>
    <w:rsid w:val="7B994BC5"/>
    <w:rsid w:val="7C152DD9"/>
    <w:rsid w:val="7C520931"/>
    <w:rsid w:val="7D34076E"/>
    <w:rsid w:val="7D53381A"/>
    <w:rsid w:val="7E9B2B28"/>
    <w:rsid w:val="7EB15D7C"/>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3</TotalTime>
  <ScaleCrop>false</ScaleCrop>
  <LinksUpToDate>false</LinksUpToDate>
  <CharactersWithSpaces>5441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2021-12-10T02:04:39Z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0CCB45109742491C9608F5CFE7FDA0D2</vt:lpwstr>
  </property>
</Properties>
</file>