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3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89"/>
        <w:gridCol w:w="1005"/>
        <w:gridCol w:w="1640"/>
        <w:gridCol w:w="51"/>
        <w:gridCol w:w="269"/>
        <w:gridCol w:w="1547"/>
        <w:gridCol w:w="61"/>
        <w:gridCol w:w="1276"/>
        <w:gridCol w:w="23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2022</w:t>
            </w:r>
            <w:r>
              <w:rPr>
                <w:rFonts w:hint="eastAsia" w:ascii="宋体" w:hAnsi="宋体" w:eastAsia="宋体" w:cs="宋体"/>
                <w:kern w:val="0"/>
                <w:sz w:val="18"/>
                <w:szCs w:val="18"/>
              </w:rPr>
              <w:t>年福化工贸（漳州）物流需求信息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水路运输：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一、邻二甲苯（OX）</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58" w:hRule="atLeast"/>
          <w:tblCellSpacing w:w="0" w:type="dxa"/>
        </w:trPr>
        <w:tc>
          <w:tcPr>
            <w:tcW w:w="108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产品密度(kg/m3)</w:t>
            </w:r>
          </w:p>
        </w:tc>
        <w:tc>
          <w:tcPr>
            <w:tcW w:w="100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实际装载量（吨/船）</w:t>
            </w:r>
          </w:p>
        </w:tc>
        <w:tc>
          <w:tcPr>
            <w:tcW w:w="1960"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船型</w:t>
            </w:r>
          </w:p>
        </w:tc>
        <w:tc>
          <w:tcPr>
            <w:tcW w:w="160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预计量（吨/年）</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起运港</w:t>
            </w:r>
          </w:p>
        </w:tc>
        <w:tc>
          <w:tcPr>
            <w:tcW w:w="239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目的港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18" w:hRule="atLeast"/>
          <w:tblCellSpacing w:w="0" w:type="dxa"/>
        </w:trPr>
        <w:tc>
          <w:tcPr>
            <w:tcW w:w="1089"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0.88</w:t>
            </w:r>
          </w:p>
        </w:tc>
        <w:tc>
          <w:tcPr>
            <w:tcW w:w="10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2000</w:t>
            </w:r>
            <w:r>
              <w:rPr>
                <w:rFonts w:hint="eastAsia" w:ascii="宋体" w:hAnsi="宋体" w:eastAsia="宋体" w:cs="宋体"/>
                <w:kern w:val="0"/>
                <w:sz w:val="18"/>
                <w:szCs w:val="18"/>
                <w:lang w:val="en-US" w:eastAsia="zh-CN"/>
              </w:rPr>
              <w:t>-3000</w:t>
            </w:r>
          </w:p>
        </w:tc>
        <w:tc>
          <w:tcPr>
            <w:tcW w:w="1960" w:type="dxa"/>
            <w:gridSpan w:val="3"/>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化工品船</w:t>
            </w:r>
          </w:p>
        </w:tc>
        <w:tc>
          <w:tcPr>
            <w:tcW w:w="1608"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ind w:firstLine="360" w:firstLineChars="20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100000</w:t>
            </w:r>
          </w:p>
        </w:tc>
        <w:tc>
          <w:tcPr>
            <w:tcW w:w="1276"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古雷</w:t>
            </w:r>
          </w:p>
        </w:tc>
        <w:tc>
          <w:tcPr>
            <w:tcW w:w="2397" w:type="dxa"/>
            <w:vMerge w:val="restart"/>
            <w:tcBorders>
              <w:top w:val="outset" w:color="auto" w:sz="6" w:space="0"/>
              <w:left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宁波、上海、珠海、乍浦、潍坊、长江主港（主港包括不限于：南通、太仓、江阴、张家港、常州、常熟、泰州、镇江、南京）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7" w:hRule="atLeast"/>
          <w:tblCellSpacing w:w="0" w:type="dxa"/>
        </w:trPr>
        <w:tc>
          <w:tcPr>
            <w:tcW w:w="1089"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0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5000-6000</w:t>
            </w:r>
          </w:p>
        </w:tc>
        <w:tc>
          <w:tcPr>
            <w:tcW w:w="1960"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6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27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2397" w:type="dxa"/>
            <w:vMerge w:val="continue"/>
            <w:tcBorders>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燃烧爆炸危险性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16"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易燃，其蒸气与空气可形成爆炸性混合物，遇明火、高热能引起燃烧爆炸。与氧化剂能发生强烈反应。流速过快，容易产生和积聚静电。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泄漏处理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72"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迅速撤离泄漏污染区人员至安全区，并进行隔离，严格限制出入。切断火源。建议应急处理人员戴自给正压式呼吸器，穿防毒服。尽可能切断泄漏源。防止流入下水道、排洪沟等限制性空间。小量泄漏：用活性炭或其它惰性材料吸收。也可以用不燃性分散剂制成的乳液刷洗，洗液稀释后放入废水系统。大量泄漏：构筑围堤或挖坑收容。用泡沫覆盖，抑制蒸发。用防爆泵转移至槽车或专用收集器内，回收或运至废物处理场所处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二、纯苯（BZ）</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10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产品密度(kg/m3)</w:t>
            </w:r>
          </w:p>
        </w:tc>
        <w:tc>
          <w:tcPr>
            <w:tcW w:w="10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实际装载量（吨/船）</w:t>
            </w:r>
          </w:p>
        </w:tc>
        <w:tc>
          <w:tcPr>
            <w:tcW w:w="1960"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船型</w:t>
            </w:r>
          </w:p>
        </w:tc>
        <w:tc>
          <w:tcPr>
            <w:tcW w:w="160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预计量（吨/年）</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起运港</w:t>
            </w:r>
          </w:p>
        </w:tc>
        <w:tc>
          <w:tcPr>
            <w:tcW w:w="239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目的港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1089"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0.88</w:t>
            </w:r>
          </w:p>
        </w:tc>
        <w:tc>
          <w:tcPr>
            <w:tcW w:w="10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3000</w:t>
            </w:r>
          </w:p>
        </w:tc>
        <w:tc>
          <w:tcPr>
            <w:tcW w:w="1960" w:type="dxa"/>
            <w:gridSpan w:val="3"/>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化工品船</w:t>
            </w:r>
          </w:p>
        </w:tc>
        <w:tc>
          <w:tcPr>
            <w:tcW w:w="1608"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130000</w:t>
            </w:r>
          </w:p>
        </w:tc>
        <w:tc>
          <w:tcPr>
            <w:tcW w:w="1276"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古雷</w:t>
            </w:r>
          </w:p>
        </w:tc>
        <w:tc>
          <w:tcPr>
            <w:tcW w:w="2397"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惠州、宁波、上海、乍浦、福州、泉州、莆田、长江主港（主港包括不限于：南通、太仓、江阴、张家港、常州、常熟、泰州、镇江、南京）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108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p>
        </w:tc>
        <w:tc>
          <w:tcPr>
            <w:tcW w:w="10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6000</w:t>
            </w:r>
          </w:p>
        </w:tc>
        <w:tc>
          <w:tcPr>
            <w:tcW w:w="1960"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6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27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2397"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燃烧爆炸危险性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7"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易燃，其蒸气与空气可形成爆炸性混合物，遇明火、高热极易燃烧爆炸。与氧化剂能发生强烈反应。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泄漏处理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096"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迅速撤离泄漏污染区人员至安全区，并进行隔离，严格限制出入。切断火源。建议应急处理人员戴自给正压式呼吸器，穿防毒服。尽可能切断泄漏源。防止流入下水道、排洪沟等限制性空间。小量泄漏：用活性炭或其它惰性材料吸收。也可以用不燃性分散剂制成的乳液刷洗，洗液稀释后放入废水系统。大量泄漏：构筑围堤或挖坑收容。用泡沫覆盖，降低蒸气灾害。喷雾状水或泡沫冷却和稀释蒸气、保护现场人员。用防爆泵转移至槽车或专用收集器内，回收或运至废物处理场所处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三、石脑油(直馏轻石脑油、加裂轻石脑油、抽余油)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10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产品密度(kg/m3)</w:t>
            </w:r>
          </w:p>
        </w:tc>
        <w:tc>
          <w:tcPr>
            <w:tcW w:w="10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实际装载量（吨/船）</w:t>
            </w:r>
          </w:p>
        </w:tc>
        <w:tc>
          <w:tcPr>
            <w:tcW w:w="1960"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船型</w:t>
            </w:r>
          </w:p>
        </w:tc>
        <w:tc>
          <w:tcPr>
            <w:tcW w:w="160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预计量（吨/年）</w:t>
            </w:r>
          </w:p>
        </w:tc>
        <w:tc>
          <w:tcPr>
            <w:tcW w:w="1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起运港</w:t>
            </w:r>
          </w:p>
        </w:tc>
        <w:tc>
          <w:tcPr>
            <w:tcW w:w="239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目的港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1089"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0.6</w:t>
            </w:r>
            <w:r>
              <w:rPr>
                <w:rFonts w:ascii="宋体" w:hAnsi="宋体" w:eastAsia="宋体" w:cs="宋体"/>
                <w:kern w:val="0"/>
                <w:sz w:val="18"/>
                <w:szCs w:val="18"/>
              </w:rPr>
              <w:t>5-0.68</w:t>
            </w:r>
          </w:p>
        </w:tc>
        <w:tc>
          <w:tcPr>
            <w:tcW w:w="10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r>
              <w:rPr>
                <w:rFonts w:ascii="宋体" w:hAnsi="宋体" w:eastAsia="宋体" w:cs="宋体"/>
                <w:kern w:val="0"/>
                <w:sz w:val="18"/>
                <w:szCs w:val="18"/>
              </w:rPr>
              <w:t>000</w:t>
            </w:r>
          </w:p>
        </w:tc>
        <w:tc>
          <w:tcPr>
            <w:tcW w:w="1960" w:type="dxa"/>
            <w:gridSpan w:val="3"/>
            <w:vMerge w:val="restart"/>
            <w:tcBorders>
              <w:top w:val="outset" w:color="auto" w:sz="6" w:space="0"/>
              <w:left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油品船</w:t>
            </w:r>
          </w:p>
        </w:tc>
        <w:tc>
          <w:tcPr>
            <w:tcW w:w="1608"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690000</w:t>
            </w:r>
          </w:p>
        </w:tc>
        <w:tc>
          <w:tcPr>
            <w:tcW w:w="1276" w:type="dxa"/>
            <w:vMerge w:val="restart"/>
            <w:tcBorders>
              <w:top w:val="outset" w:color="auto" w:sz="6" w:space="0"/>
              <w:left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古雷</w:t>
            </w:r>
          </w:p>
        </w:tc>
        <w:tc>
          <w:tcPr>
            <w:tcW w:w="23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泉州、惠州、南京、上海漕泾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0" w:hRule="atLeast"/>
          <w:tblCellSpacing w:w="0" w:type="dxa"/>
        </w:trPr>
        <w:tc>
          <w:tcPr>
            <w:tcW w:w="108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p>
        </w:tc>
        <w:tc>
          <w:tcPr>
            <w:tcW w:w="10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r>
              <w:rPr>
                <w:rFonts w:ascii="宋体" w:hAnsi="宋体" w:eastAsia="宋体" w:cs="宋体"/>
                <w:kern w:val="0"/>
                <w:sz w:val="18"/>
                <w:szCs w:val="18"/>
              </w:rPr>
              <w:t>000</w:t>
            </w:r>
          </w:p>
        </w:tc>
        <w:tc>
          <w:tcPr>
            <w:tcW w:w="1960" w:type="dxa"/>
            <w:gridSpan w:val="3"/>
            <w:vMerge w:val="continue"/>
            <w:tcBorders>
              <w:left w:val="outset" w:color="auto" w:sz="6" w:space="0"/>
              <w:right w:val="outset" w:color="auto" w:sz="6" w:space="0"/>
            </w:tcBorders>
            <w:vAlign w:val="center"/>
          </w:tcPr>
          <w:p>
            <w:pPr>
              <w:widowControl/>
              <w:jc w:val="center"/>
              <w:rPr>
                <w:rFonts w:ascii="宋体" w:hAnsi="宋体" w:eastAsia="宋体" w:cs="宋体"/>
                <w:kern w:val="0"/>
                <w:sz w:val="18"/>
                <w:szCs w:val="18"/>
              </w:rPr>
            </w:pPr>
          </w:p>
        </w:tc>
        <w:tc>
          <w:tcPr>
            <w:tcW w:w="16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p>
        </w:tc>
        <w:tc>
          <w:tcPr>
            <w:tcW w:w="1276" w:type="dxa"/>
            <w:vMerge w:val="continue"/>
            <w:tcBorders>
              <w:left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95" w:hRule="atLeast"/>
          <w:tblCellSpacing w:w="0" w:type="dxa"/>
        </w:trPr>
        <w:tc>
          <w:tcPr>
            <w:tcW w:w="108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p>
        </w:tc>
        <w:tc>
          <w:tcPr>
            <w:tcW w:w="10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0000</w:t>
            </w:r>
          </w:p>
        </w:tc>
        <w:tc>
          <w:tcPr>
            <w:tcW w:w="1960" w:type="dxa"/>
            <w:gridSpan w:val="3"/>
            <w:vMerge w:val="continue"/>
            <w:tcBorders>
              <w:left w:val="outset" w:color="auto" w:sz="6" w:space="0"/>
              <w:right w:val="outset" w:color="auto" w:sz="6" w:space="0"/>
            </w:tcBorders>
            <w:vAlign w:val="center"/>
          </w:tcPr>
          <w:p>
            <w:pPr>
              <w:widowControl/>
              <w:jc w:val="center"/>
              <w:rPr>
                <w:rFonts w:ascii="宋体" w:hAnsi="宋体" w:eastAsia="宋体" w:cs="宋体"/>
                <w:kern w:val="0"/>
                <w:sz w:val="18"/>
                <w:szCs w:val="18"/>
              </w:rPr>
            </w:pPr>
          </w:p>
        </w:tc>
        <w:tc>
          <w:tcPr>
            <w:tcW w:w="16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p>
        </w:tc>
        <w:tc>
          <w:tcPr>
            <w:tcW w:w="1276" w:type="dxa"/>
            <w:vMerge w:val="continue"/>
            <w:tcBorders>
              <w:left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5" w:hRule="atLeast"/>
          <w:tblCellSpacing w:w="0" w:type="dxa"/>
        </w:trPr>
        <w:tc>
          <w:tcPr>
            <w:tcW w:w="108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p>
        </w:tc>
        <w:tc>
          <w:tcPr>
            <w:tcW w:w="10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r>
              <w:rPr>
                <w:rFonts w:ascii="宋体" w:hAnsi="宋体" w:eastAsia="宋体" w:cs="宋体"/>
                <w:kern w:val="0"/>
                <w:sz w:val="18"/>
                <w:szCs w:val="18"/>
              </w:rPr>
              <w:t>0000</w:t>
            </w:r>
          </w:p>
        </w:tc>
        <w:tc>
          <w:tcPr>
            <w:tcW w:w="1960" w:type="dxa"/>
            <w:gridSpan w:val="3"/>
            <w:vMerge w:val="continue"/>
            <w:tcBorders>
              <w:left w:val="outset" w:color="auto" w:sz="6" w:space="0"/>
              <w:right w:val="outset" w:color="auto" w:sz="6" w:space="0"/>
            </w:tcBorders>
            <w:vAlign w:val="center"/>
          </w:tcPr>
          <w:p>
            <w:pPr>
              <w:widowControl/>
              <w:jc w:val="center"/>
              <w:rPr>
                <w:rFonts w:ascii="宋体" w:hAnsi="宋体" w:eastAsia="宋体" w:cs="宋体"/>
                <w:kern w:val="0"/>
                <w:sz w:val="18"/>
                <w:szCs w:val="18"/>
              </w:rPr>
            </w:pPr>
          </w:p>
        </w:tc>
        <w:tc>
          <w:tcPr>
            <w:tcW w:w="16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p>
        </w:tc>
        <w:tc>
          <w:tcPr>
            <w:tcW w:w="1276" w:type="dxa"/>
            <w:vMerge w:val="continue"/>
            <w:tcBorders>
              <w:left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1089"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p>
        </w:tc>
        <w:tc>
          <w:tcPr>
            <w:tcW w:w="10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r>
              <w:rPr>
                <w:rFonts w:ascii="宋体" w:hAnsi="宋体" w:eastAsia="宋体" w:cs="宋体"/>
                <w:kern w:val="0"/>
                <w:sz w:val="18"/>
                <w:szCs w:val="18"/>
              </w:rPr>
              <w:t>0000</w:t>
            </w:r>
          </w:p>
        </w:tc>
        <w:tc>
          <w:tcPr>
            <w:tcW w:w="1960" w:type="dxa"/>
            <w:gridSpan w:val="3"/>
            <w:vMerge w:val="continue"/>
            <w:tcBorders>
              <w:left w:val="outset" w:color="auto" w:sz="6" w:space="0"/>
              <w:right w:val="outset" w:color="auto" w:sz="6" w:space="0"/>
            </w:tcBorders>
            <w:vAlign w:val="center"/>
          </w:tcPr>
          <w:p>
            <w:pPr>
              <w:widowControl/>
              <w:jc w:val="center"/>
              <w:rPr>
                <w:rFonts w:ascii="宋体" w:hAnsi="宋体" w:eastAsia="宋体" w:cs="宋体"/>
                <w:kern w:val="0"/>
                <w:sz w:val="18"/>
                <w:szCs w:val="18"/>
              </w:rPr>
            </w:pPr>
          </w:p>
        </w:tc>
        <w:tc>
          <w:tcPr>
            <w:tcW w:w="1608"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p>
        </w:tc>
        <w:tc>
          <w:tcPr>
            <w:tcW w:w="1276" w:type="dxa"/>
            <w:vMerge w:val="continue"/>
            <w:tcBorders>
              <w:left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2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10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0.79</w:t>
            </w:r>
          </w:p>
        </w:tc>
        <w:tc>
          <w:tcPr>
            <w:tcW w:w="10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3000</w:t>
            </w:r>
          </w:p>
        </w:tc>
        <w:tc>
          <w:tcPr>
            <w:tcW w:w="1960" w:type="dxa"/>
            <w:gridSpan w:val="3"/>
            <w:vMerge w:val="continue"/>
            <w:tcBorders>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p>
        </w:tc>
        <w:tc>
          <w:tcPr>
            <w:tcW w:w="160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20000</w:t>
            </w:r>
          </w:p>
        </w:tc>
        <w:tc>
          <w:tcPr>
            <w:tcW w:w="1276" w:type="dxa"/>
            <w:vMerge w:val="continue"/>
            <w:tcBorders>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2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海南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燃烧爆炸危险性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16"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易燃，其蒸气与空气可形成爆炸性混合物，遇明火、高热能引起燃烧爆炸。与氧化剂能发生强烈反应。其蒸气比空气重，能在较低处扩散到相当远的地方，遇火源会着火回燃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泄漏处理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72"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迅速撤离泄漏污染区人员至安全区，并进行隔离，严格限制出入。切断火源。建议应急处理人员戴自给正压式呼吸器，穿防毒服。尽可能切断泄漏源。防止流入下水道、排洪沟等限制性空间。小量泄漏：用活性炭或其它惰性材料吸收。也可以用不燃性分散剂制成的乳液刷洗，洗液稀释后放入废水系统。大量泄漏：构筑围堤或挖坑收容。用泡沫覆盖，降低蒸气灾害。用防爆泵转移至槽车或专用收集器内，回收或运至废物处理场所处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四、精对苯二甲酸（PTA）</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水路运输/水陆联运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说明：主要采用配送至主港形式，上海港、长乐港、晋江港采用配送主港及水路联运配送至客户仓库/码头两种配送方式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10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船型</w:t>
            </w:r>
          </w:p>
        </w:tc>
        <w:tc>
          <w:tcPr>
            <w:tcW w:w="10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起运港</w:t>
            </w:r>
          </w:p>
        </w:tc>
        <w:tc>
          <w:tcPr>
            <w:tcW w:w="1960"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预计量（吨/年）</w:t>
            </w:r>
          </w:p>
        </w:tc>
        <w:tc>
          <w:tcPr>
            <w:tcW w:w="5281" w:type="dxa"/>
            <w:gridSpan w:val="4"/>
            <w:tcBorders>
              <w:top w:val="outset" w:color="auto" w:sz="6" w:space="0"/>
              <w:left w:val="outset" w:color="auto" w:sz="6" w:space="0"/>
              <w:bottom w:val="outset" w:color="auto" w:sz="6" w:space="0"/>
              <w:right w:val="outset" w:color="auto" w:sz="6" w:space="0"/>
            </w:tcBorders>
            <w:vAlign w:val="center"/>
          </w:tcPr>
          <w:p>
            <w:pPr>
              <w:widowControl/>
              <w:ind w:firstLine="1980" w:firstLineChars="1100"/>
              <w:jc w:val="left"/>
              <w:rPr>
                <w:rFonts w:ascii="宋体" w:hAnsi="宋体" w:eastAsia="宋体" w:cs="宋体"/>
                <w:kern w:val="0"/>
                <w:sz w:val="18"/>
                <w:szCs w:val="18"/>
              </w:rPr>
            </w:pPr>
            <w:r>
              <w:rPr>
                <w:rFonts w:hint="eastAsia" w:ascii="宋体" w:hAnsi="宋体" w:eastAsia="宋体" w:cs="宋体"/>
                <w:kern w:val="0"/>
                <w:sz w:val="18"/>
                <w:szCs w:val="18"/>
              </w:rPr>
              <w:t>目的港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7" w:hRule="atLeast"/>
          <w:tblCellSpacing w:w="0" w:type="dxa"/>
        </w:trPr>
        <w:tc>
          <w:tcPr>
            <w:tcW w:w="1089"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散货船</w:t>
            </w:r>
          </w:p>
        </w:tc>
        <w:tc>
          <w:tcPr>
            <w:tcW w:w="100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古雷</w:t>
            </w:r>
          </w:p>
        </w:tc>
        <w:tc>
          <w:tcPr>
            <w:tcW w:w="1960" w:type="dxa"/>
            <w:gridSpan w:val="3"/>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3036000</w:t>
            </w:r>
          </w:p>
        </w:tc>
        <w:tc>
          <w:tcPr>
            <w:tcW w:w="5281" w:type="dxa"/>
            <w:gridSpan w:val="4"/>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华东目的港（如：乍浦、上海、江阴、张家港、常州、常熟、太仓、宁波、宿迁）长乐、晋江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7" w:hRule="atLeast"/>
          <w:tblCellSpacing w:w="0" w:type="dxa"/>
        </w:trPr>
        <w:tc>
          <w:tcPr>
            <w:tcW w:w="1089"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00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p>
        </w:tc>
        <w:tc>
          <w:tcPr>
            <w:tcW w:w="1960" w:type="dxa"/>
            <w:gridSpan w:val="3"/>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18"/>
                <w:szCs w:val="18"/>
              </w:rPr>
            </w:pPr>
          </w:p>
        </w:tc>
        <w:tc>
          <w:tcPr>
            <w:tcW w:w="5281" w:type="dxa"/>
            <w:gridSpan w:val="4"/>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华南目的港（如：珠海、广州、开平、江门、梧州、东莞）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33" w:hRule="atLeast"/>
          <w:tblCellSpacing w:w="0" w:type="dxa"/>
        </w:trPr>
        <w:tc>
          <w:tcPr>
            <w:tcW w:w="108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产品特性</w:t>
            </w:r>
          </w:p>
        </w:tc>
        <w:tc>
          <w:tcPr>
            <w:tcW w:w="8246" w:type="dxa"/>
            <w:gridSpan w:val="8"/>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常温下是白色晶体或粉末，低毒，易燃。若与空气混合，在一定的限度内遇火即燃烧甚至发生爆炸。它的自燃点680℃，燃点384~421℃，升华热98.4kJ/mol，燃烧热3225.9kJ/mol，密度1.55g/cm3。溶于碱溶液，微溶于热乙醇，不溶于水、乙醚、冰醋酸及氯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55" w:hRule="atLeast"/>
          <w:tblCellSpacing w:w="0" w:type="dxa"/>
        </w:trPr>
        <w:tc>
          <w:tcPr>
            <w:tcW w:w="108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注意事项</w:t>
            </w:r>
          </w:p>
        </w:tc>
        <w:tc>
          <w:tcPr>
            <w:tcW w:w="8246" w:type="dxa"/>
            <w:gridSpan w:val="8"/>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属低毒类物质，对皮肤和粘膜有一定的刺激作用。对过敏症者，接触本品可引起皮疹和支气管炎。空气中最高允许浓度0.1mg/m3 。操作人员应穿戴防护用品。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公路运输：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液体硫磺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10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车型</w:t>
            </w:r>
          </w:p>
        </w:tc>
        <w:tc>
          <w:tcPr>
            <w:tcW w:w="2645"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起运地</w:t>
            </w:r>
          </w:p>
        </w:tc>
        <w:tc>
          <w:tcPr>
            <w:tcW w:w="1867"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预计量（吨/年）</w:t>
            </w:r>
          </w:p>
        </w:tc>
        <w:tc>
          <w:tcPr>
            <w:tcW w:w="3734"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目的地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1089" w:type="dxa"/>
            <w:vMerge w:val="restart"/>
            <w:tcBorders>
              <w:top w:val="outset" w:color="auto" w:sz="6" w:space="0"/>
              <w:left w:val="outset" w:color="auto" w:sz="6" w:space="0"/>
              <w:right w:val="outset" w:color="auto" w:sz="6" w:space="0"/>
            </w:tcBorders>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液体硫磺槽罐车</w:t>
            </w:r>
          </w:p>
        </w:tc>
        <w:tc>
          <w:tcPr>
            <w:tcW w:w="2645" w:type="dxa"/>
            <w:gridSpan w:val="2"/>
            <w:vMerge w:val="restart"/>
            <w:tcBorders>
              <w:top w:val="outset" w:color="auto" w:sz="6" w:space="0"/>
              <w:left w:val="outset" w:color="auto" w:sz="6" w:space="0"/>
              <w:right w:val="outset" w:color="auto" w:sz="6" w:space="0"/>
            </w:tcBorders>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漳州古雷</w:t>
            </w:r>
          </w:p>
        </w:tc>
        <w:tc>
          <w:tcPr>
            <w:tcW w:w="1867"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10000-20000</w:t>
            </w:r>
          </w:p>
        </w:tc>
        <w:tc>
          <w:tcPr>
            <w:tcW w:w="3734"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连江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1089" w:type="dxa"/>
            <w:vMerge w:val="continue"/>
            <w:tcBorders>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highlight w:val="none"/>
                <w:lang w:val="en-US" w:eastAsia="zh-CN"/>
              </w:rPr>
            </w:pPr>
          </w:p>
        </w:tc>
        <w:tc>
          <w:tcPr>
            <w:tcW w:w="2645" w:type="dxa"/>
            <w:gridSpan w:val="2"/>
            <w:vMerge w:val="continue"/>
            <w:tcBorders>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highlight w:val="none"/>
                <w:lang w:val="en-US" w:eastAsia="zh-CN"/>
              </w:rPr>
            </w:pPr>
          </w:p>
        </w:tc>
        <w:tc>
          <w:tcPr>
            <w:tcW w:w="1867"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5000-10000</w:t>
            </w:r>
          </w:p>
        </w:tc>
        <w:tc>
          <w:tcPr>
            <w:tcW w:w="3734"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福清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危险性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易燃固体，与氧化剂混合能形成爆炸性混合物，与卤素、金属粉末等接触剧烈反应。硫磺为不良导体</w:t>
            </w:r>
            <w:r>
              <w:rPr>
                <w:rFonts w:hint="eastAsia" w:ascii="宋体" w:hAnsi="宋体" w:eastAsia="宋体" w:cs="宋体"/>
                <w:kern w:val="0"/>
                <w:sz w:val="18"/>
                <w:szCs w:val="18"/>
                <w:highlight w:val="none"/>
                <w:lang w:eastAsia="zh-CN"/>
              </w:rPr>
              <w:t>。因其能在肠内部分转化为硫化氢而被吸收，故大量口服可致硫化氢中毒。急性硫化氢中毒的全身毒作用表现为中枢神经系统症状，有头疼、头晕、乏力、呕吐、共济失调、昏迷等。本品可引起眼结膜炎、皮肤湿疹。对皮肤有弱刺激性。生产中长期吸入硫粉尘一般无明显毒性作用。对环境有害。粉尘在空气中可能会形成爆炸性的混合物。不发生危险的聚合反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10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泄漏处理</w:t>
            </w:r>
          </w:p>
        </w:tc>
        <w:tc>
          <w:tcPr>
            <w:tcW w:w="8246" w:type="dxa"/>
            <w:gridSpan w:val="8"/>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隔离泄漏污染区，限制出入。切断火源。建议应急处理人员戴防尘面具（全面罩），穿一般作业工作服。</w:t>
            </w:r>
          </w:p>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不要直接接触泄漏物。收容泄漏物，避免污染环境。放置泄漏物进入下水道、地表水和地下水。小量泄漏：避免扬尘，用洁净的铲子收集于干燥、洁净、有盖的容器中，转移至安全场所。大量泄漏：用塑料布、帆布覆盖。使用无火花工具收集回收或运至废物处理场所处置</w:t>
            </w:r>
            <w:r>
              <w:rPr>
                <w:rFonts w:hint="eastAsia" w:ascii="宋体" w:hAnsi="宋体" w:eastAsia="宋体" w:cs="宋体"/>
                <w:kern w:val="0"/>
                <w:sz w:val="18"/>
                <w:szCs w:val="18"/>
                <w:highlight w:val="none"/>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精对苯二甲酸（PTA）</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07" w:hRule="atLeast"/>
          <w:tblCellSpacing w:w="0" w:type="dxa"/>
        </w:trPr>
        <w:tc>
          <w:tcPr>
            <w:tcW w:w="2094"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平板车预计量（吨/年）</w:t>
            </w:r>
          </w:p>
        </w:tc>
        <w:tc>
          <w:tcPr>
            <w:tcW w:w="1691"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起运地</w:t>
            </w:r>
          </w:p>
        </w:tc>
        <w:tc>
          <w:tcPr>
            <w:tcW w:w="5550"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目的地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7" w:hRule="atLeast"/>
          <w:tblCellSpacing w:w="0" w:type="dxa"/>
        </w:trPr>
        <w:tc>
          <w:tcPr>
            <w:tcW w:w="2094" w:type="dxa"/>
            <w:gridSpan w:val="2"/>
            <w:vMerge w:val="restart"/>
            <w:tcBorders>
              <w:top w:val="outset" w:color="auto" w:sz="6" w:space="0"/>
              <w:left w:val="outset" w:color="auto" w:sz="6" w:space="0"/>
              <w:right w:val="outset" w:color="auto" w:sz="6"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375100</w:t>
            </w:r>
          </w:p>
        </w:tc>
        <w:tc>
          <w:tcPr>
            <w:tcW w:w="1691"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古雷</w:t>
            </w:r>
          </w:p>
        </w:tc>
        <w:tc>
          <w:tcPr>
            <w:tcW w:w="5550" w:type="dxa"/>
            <w:gridSpan w:val="5"/>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福建（</w:t>
            </w:r>
            <w:r>
              <w:rPr>
                <w:rFonts w:hint="eastAsia" w:ascii="宋体" w:hAnsi="宋体" w:eastAsia="宋体" w:cs="宋体"/>
                <w:kern w:val="0"/>
                <w:sz w:val="18"/>
                <w:szCs w:val="18"/>
                <w:lang w:val="en-US" w:eastAsia="zh-CN"/>
              </w:rPr>
              <w:t>如：</w:t>
            </w:r>
            <w:r>
              <w:rPr>
                <w:rFonts w:hint="eastAsia" w:ascii="宋体" w:hAnsi="宋体" w:eastAsia="宋体" w:cs="宋体"/>
                <w:kern w:val="0"/>
                <w:sz w:val="18"/>
                <w:szCs w:val="18"/>
              </w:rPr>
              <w:t>晋江、厦门、长乐、泉港</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古雷、龙岩、南安、南平、漳州</w:t>
            </w:r>
            <w:r>
              <w:rPr>
                <w:rFonts w:hint="eastAsia" w:ascii="宋体" w:hAnsi="宋体" w:eastAsia="宋体" w:cs="宋体"/>
                <w:kern w:val="0"/>
                <w:sz w:val="18"/>
                <w:szCs w:val="1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7" w:hRule="atLeast"/>
          <w:tblCellSpacing w:w="0" w:type="dxa"/>
        </w:trPr>
        <w:tc>
          <w:tcPr>
            <w:tcW w:w="2094" w:type="dxa"/>
            <w:gridSpan w:val="2"/>
            <w:vMerge w:val="continue"/>
            <w:tcBorders>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p>
        </w:tc>
        <w:tc>
          <w:tcPr>
            <w:tcW w:w="1691" w:type="dxa"/>
            <w:gridSpan w:val="2"/>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p>
        </w:tc>
        <w:tc>
          <w:tcPr>
            <w:tcW w:w="5550" w:type="dxa"/>
            <w:gridSpan w:val="5"/>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华南目的地（如：广州、</w:t>
            </w:r>
            <w:bookmarkStart w:id="0" w:name="_GoBack"/>
            <w:bookmarkEnd w:id="0"/>
            <w:r>
              <w:rPr>
                <w:rFonts w:hint="eastAsia" w:ascii="宋体" w:hAnsi="宋体" w:eastAsia="宋体" w:cs="宋体"/>
                <w:kern w:val="0"/>
                <w:sz w:val="18"/>
                <w:szCs w:val="18"/>
                <w:lang w:val="en-US" w:eastAsia="zh-CN"/>
              </w:rPr>
              <w:t>东莞、</w:t>
            </w:r>
            <w:r>
              <w:rPr>
                <w:rFonts w:hint="eastAsia" w:ascii="宋体" w:hAnsi="宋体" w:eastAsia="宋体" w:cs="宋体"/>
                <w:kern w:val="0"/>
                <w:sz w:val="18"/>
                <w:szCs w:val="18"/>
              </w:rPr>
              <w:t>开平、江门、汕头）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33" w:hRule="atLeast"/>
          <w:tblCellSpacing w:w="0" w:type="dxa"/>
        </w:trPr>
        <w:tc>
          <w:tcPr>
            <w:tcW w:w="2094"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产品特性</w:t>
            </w:r>
          </w:p>
        </w:tc>
        <w:tc>
          <w:tcPr>
            <w:tcW w:w="7241" w:type="dxa"/>
            <w:gridSpan w:val="7"/>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精对苯二甲酸（PTA）1</w:t>
            </w:r>
            <w:r>
              <w:rPr>
                <w:rFonts w:ascii="宋体" w:hAnsi="宋体" w:eastAsia="宋体" w:cs="宋体"/>
                <w:kern w:val="0"/>
                <w:sz w:val="18"/>
                <w:szCs w:val="18"/>
              </w:rPr>
              <w:t>.2</w:t>
            </w:r>
            <w:r>
              <w:rPr>
                <w:rFonts w:hint="eastAsia" w:ascii="宋体" w:hAnsi="宋体" w:eastAsia="宋体" w:cs="宋体"/>
                <w:kern w:val="0"/>
                <w:sz w:val="18"/>
                <w:szCs w:val="18"/>
              </w:rPr>
              <w:t>吨/袋，在常温下是白色晶体或粉末，低毒，易燃。若与空气混合，在一定的限度内遇火即燃烧甚至发生爆炸。它的自燃点680℃，燃点384~421℃，升华热98.4kJ/mol，燃烧热3225.9kJ/mol，密度1.55g/cm3。溶于碱溶液，微溶于热乙醇，不溶于水、乙醚、冰醋酸及氯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55" w:hRule="atLeast"/>
          <w:tblCellSpacing w:w="0" w:type="dxa"/>
        </w:trPr>
        <w:tc>
          <w:tcPr>
            <w:tcW w:w="2094"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注意事项</w:t>
            </w:r>
          </w:p>
        </w:tc>
        <w:tc>
          <w:tcPr>
            <w:tcW w:w="7241" w:type="dxa"/>
            <w:gridSpan w:val="7"/>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属低毒类物质，对皮肤和粘膜有一定的刺激作用。对过敏症者，接触本品可引起皮疹和支气管炎。空气中最高允许浓度0.1mg/m3 。操作人员应穿戴防护用品。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7"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1、以上产品承运数量为预估量，最终运量以实际业务执行为准。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16"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2、上述为我公司</w:t>
            </w:r>
            <w:r>
              <w:rPr>
                <w:rFonts w:hint="eastAsia" w:ascii="宋体" w:hAnsi="宋体" w:eastAsia="宋体" w:cs="宋体"/>
                <w:kern w:val="0"/>
                <w:sz w:val="18"/>
                <w:szCs w:val="18"/>
                <w:lang w:val="en-US" w:eastAsia="zh-CN"/>
              </w:rPr>
              <w:t>2022</w:t>
            </w:r>
            <w:r>
              <w:rPr>
                <w:rFonts w:hint="eastAsia" w:ascii="宋体" w:hAnsi="宋体" w:eastAsia="宋体" w:cs="宋体"/>
                <w:kern w:val="0"/>
                <w:sz w:val="18"/>
                <w:szCs w:val="18"/>
              </w:rPr>
              <w:t>年物流需求，欢迎国内各合格物流商登录</w:t>
            </w:r>
            <w:r>
              <w:rPr>
                <w:rFonts w:hint="eastAsia" w:ascii="宋体" w:hAnsi="宋体" w:eastAsia="宋体" w:cs="宋体"/>
                <w:kern w:val="0"/>
                <w:sz w:val="18"/>
                <w:szCs w:val="18"/>
                <w:lang w:val="en-US" w:eastAsia="zh-CN"/>
              </w:rPr>
              <w:t>福海创</w:t>
            </w:r>
            <w:r>
              <w:rPr>
                <w:rFonts w:hint="eastAsia" w:ascii="宋体" w:hAnsi="宋体" w:eastAsia="宋体" w:cs="宋体"/>
                <w:kern w:val="0"/>
                <w:sz w:val="18"/>
                <w:szCs w:val="18"/>
              </w:rPr>
              <w:t>网站首页“</w:t>
            </w:r>
            <w:r>
              <w:rPr>
                <w:rFonts w:hint="eastAsia" w:ascii="宋体" w:hAnsi="宋体" w:eastAsia="宋体" w:cs="宋体"/>
                <w:kern w:val="0"/>
                <w:sz w:val="18"/>
                <w:szCs w:val="18"/>
                <w:lang w:val="en-US" w:eastAsia="zh-CN"/>
              </w:rPr>
              <w:t>公示公告</w:t>
            </w:r>
            <w:r>
              <w:rPr>
                <w:rFonts w:hint="eastAsia" w:ascii="宋体" w:hAnsi="宋体" w:eastAsia="宋体" w:cs="宋体"/>
                <w:kern w:val="0"/>
                <w:sz w:val="18"/>
                <w:szCs w:val="18"/>
              </w:rPr>
              <w:t>”了解物流信息或与我公司联系，联系电话：</w:t>
            </w:r>
            <w:r>
              <w:rPr>
                <w:rFonts w:hint="eastAsia" w:ascii="宋体" w:hAnsi="宋体" w:eastAsia="宋体" w:cs="宋体"/>
                <w:kern w:val="0"/>
                <w:sz w:val="18"/>
                <w:szCs w:val="18"/>
                <w:lang w:val="en-US" w:eastAsia="zh-CN"/>
              </w:rPr>
              <w:t>13107639211</w:t>
            </w:r>
            <w:r>
              <w:rPr>
                <w:rFonts w:hint="eastAsia" w:ascii="宋体" w:hAnsi="宋体" w:eastAsia="宋体" w:cs="宋体"/>
                <w:kern w:val="0"/>
                <w:sz w:val="18"/>
                <w:szCs w:val="1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3、公告有效期：202</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年</w:t>
            </w:r>
            <w:r>
              <w:rPr>
                <w:rFonts w:hint="eastAsia" w:ascii="宋体" w:hAnsi="宋体" w:eastAsia="宋体" w:cs="宋体"/>
                <w:kern w:val="0"/>
                <w:sz w:val="18"/>
                <w:szCs w:val="18"/>
                <w:lang w:val="en-US" w:eastAsia="zh-CN"/>
              </w:rPr>
              <w:t>11</w:t>
            </w:r>
            <w:r>
              <w:rPr>
                <w:rFonts w:hint="eastAsia" w:ascii="宋体" w:hAnsi="宋体" w:eastAsia="宋体" w:cs="宋体"/>
                <w:kern w:val="0"/>
                <w:sz w:val="18"/>
                <w:szCs w:val="18"/>
              </w:rPr>
              <w:t>月</w:t>
            </w:r>
            <w:r>
              <w:rPr>
                <w:rFonts w:hint="eastAsia" w:ascii="宋体" w:hAnsi="宋体" w:eastAsia="宋体" w:cs="宋体"/>
                <w:kern w:val="0"/>
                <w:sz w:val="18"/>
                <w:szCs w:val="18"/>
                <w:lang w:val="en-US" w:eastAsia="zh-CN"/>
              </w:rPr>
              <w:t>16</w:t>
            </w:r>
            <w:r>
              <w:rPr>
                <w:rFonts w:hint="eastAsia" w:ascii="宋体" w:hAnsi="宋体" w:eastAsia="宋体" w:cs="宋体"/>
                <w:kern w:val="0"/>
                <w:sz w:val="18"/>
                <w:szCs w:val="18"/>
              </w:rPr>
              <w:t>日至202</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年</w:t>
            </w:r>
            <w:r>
              <w:rPr>
                <w:rFonts w:hint="eastAsia" w:ascii="宋体" w:hAnsi="宋体" w:eastAsia="宋体" w:cs="宋体"/>
                <w:kern w:val="0"/>
                <w:sz w:val="18"/>
                <w:szCs w:val="18"/>
                <w:lang w:val="en-US" w:eastAsia="zh-CN"/>
              </w:rPr>
              <w:t>12</w:t>
            </w:r>
            <w:r>
              <w:rPr>
                <w:rFonts w:hint="eastAsia" w:ascii="宋体" w:hAnsi="宋体" w:eastAsia="宋体" w:cs="宋体"/>
                <w:kern w:val="0"/>
                <w:sz w:val="18"/>
                <w:szCs w:val="18"/>
              </w:rPr>
              <w:t>月</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7" w:hRule="atLeast"/>
          <w:tblCellSpacing w:w="0" w:type="dxa"/>
        </w:trPr>
        <w:tc>
          <w:tcPr>
            <w:tcW w:w="9335"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4、符合条件的物流商可登录我公司公开网站中的物流商注册平台进行注册，经审核通过后，成为我公司物流商。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67"/>
    <w:rsid w:val="001A14B3"/>
    <w:rsid w:val="001B4DC4"/>
    <w:rsid w:val="00203E62"/>
    <w:rsid w:val="00230CE3"/>
    <w:rsid w:val="002864D6"/>
    <w:rsid w:val="00382835"/>
    <w:rsid w:val="00410C05"/>
    <w:rsid w:val="00542067"/>
    <w:rsid w:val="005A78BF"/>
    <w:rsid w:val="005E36F8"/>
    <w:rsid w:val="005E7AF4"/>
    <w:rsid w:val="00600580"/>
    <w:rsid w:val="006062A5"/>
    <w:rsid w:val="006118F9"/>
    <w:rsid w:val="0063429E"/>
    <w:rsid w:val="00661CEA"/>
    <w:rsid w:val="006727CF"/>
    <w:rsid w:val="006B2D9A"/>
    <w:rsid w:val="007246BD"/>
    <w:rsid w:val="00727423"/>
    <w:rsid w:val="0079560B"/>
    <w:rsid w:val="007E24F7"/>
    <w:rsid w:val="008178C3"/>
    <w:rsid w:val="0087261B"/>
    <w:rsid w:val="008B385A"/>
    <w:rsid w:val="008B3A7C"/>
    <w:rsid w:val="008C3332"/>
    <w:rsid w:val="008E1F01"/>
    <w:rsid w:val="009419ED"/>
    <w:rsid w:val="009D4168"/>
    <w:rsid w:val="00A26793"/>
    <w:rsid w:val="00A45A44"/>
    <w:rsid w:val="00A87F97"/>
    <w:rsid w:val="00AC2023"/>
    <w:rsid w:val="00B55B5C"/>
    <w:rsid w:val="00B85EF0"/>
    <w:rsid w:val="00BA60BC"/>
    <w:rsid w:val="00D24411"/>
    <w:rsid w:val="00DD7C47"/>
    <w:rsid w:val="00E326E8"/>
    <w:rsid w:val="00E362AE"/>
    <w:rsid w:val="00E7231A"/>
    <w:rsid w:val="00EE333E"/>
    <w:rsid w:val="00F27E93"/>
    <w:rsid w:val="01974761"/>
    <w:rsid w:val="076F7595"/>
    <w:rsid w:val="52B238F4"/>
    <w:rsid w:val="6B495EDF"/>
    <w:rsid w:val="7D7E72BF"/>
    <w:rsid w:val="7DC2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358</Words>
  <Characters>2042</Characters>
  <Lines>17</Lines>
  <Paragraphs>4</Paragraphs>
  <TotalTime>301</TotalTime>
  <ScaleCrop>false</ScaleCrop>
  <LinksUpToDate>false</LinksUpToDate>
  <CharactersWithSpaces>2396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2019-08-05T07:11:00Z</dcterms:created>
  <dc:creator>shenh</dc:creator>
  <cp:lastModifiedBy>admin</cp:lastModifiedBy>
  <dcterms:modified xsi:type="dcterms:W3CDTF">2021-11-16T07:58:52Z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