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B82AF4" w:rsidP="00AF1AD1">
      <w:pPr>
        <w:pStyle w:val="a6"/>
        <w:spacing w:line="480" w:lineRule="auto"/>
        <w:jc w:val="center"/>
        <w:rPr>
          <w:rFonts w:ascii="微软雅黑" w:eastAsia="微软雅黑"/>
          <w:b/>
          <w:sz w:val="44"/>
          <w:szCs w:val="44"/>
          <w:u w:val="single"/>
          <w:lang w:eastAsia="zh-CN"/>
        </w:rPr>
      </w:pPr>
      <w:bookmarkStart w:id="0" w:name="OLE_LINK4"/>
      <w:r w:rsidRPr="00B82AF4">
        <w:rPr>
          <w:rFonts w:ascii="微软雅黑" w:eastAsia="微软雅黑" w:hint="eastAsia"/>
          <w:b/>
          <w:sz w:val="44"/>
          <w:szCs w:val="44"/>
          <w:u w:val="single"/>
          <w:lang w:eastAsia="zh-CN"/>
        </w:rPr>
        <w:t>福化古雷和翔鹭石化验资报告发包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B82AF4">
        <w:rPr>
          <w:rFonts w:hint="eastAsia"/>
          <w:sz w:val="28"/>
          <w:szCs w:val="28"/>
          <w:u w:val="single"/>
        </w:rPr>
        <w:t>PTCG20</w:t>
      </w:r>
      <w:r w:rsidR="00B82AF4">
        <w:rPr>
          <w:sz w:val="28"/>
          <w:szCs w:val="28"/>
          <w:u w:val="single"/>
        </w:rPr>
        <w:t>201230003</w:t>
      </w:r>
      <w:r w:rsidR="00B82AF4"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B82AF4" w:rsidP="00AA1C15">
      <w:pPr>
        <w:jc w:val="center"/>
        <w:rPr>
          <w:b/>
          <w:bCs/>
          <w:sz w:val="32"/>
          <w:lang w:eastAsia="zh-CN"/>
        </w:rPr>
      </w:pPr>
      <w:r w:rsidRPr="00B82AF4">
        <w:rPr>
          <w:rFonts w:hint="eastAsia"/>
          <w:b/>
          <w:bCs/>
          <w:sz w:val="32"/>
          <w:szCs w:val="32"/>
          <w:lang w:eastAsia="zh-CN"/>
        </w:rPr>
        <w:t>福化古雷和翔鹭石化验资报告发包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B82AF4" w:rsidRPr="00B82AF4">
        <w:rPr>
          <w:rFonts w:hint="eastAsia"/>
          <w:bCs/>
          <w:szCs w:val="21"/>
          <w:u w:val="single"/>
          <w:lang w:eastAsia="zh-CN"/>
        </w:rPr>
        <w:t>福化古雷和翔鹭石化验资报告发包</w:t>
      </w:r>
      <w:r w:rsidRPr="001B5997">
        <w:rPr>
          <w:rFonts w:hint="eastAsia"/>
          <w:bCs/>
          <w:szCs w:val="21"/>
          <w:u w:val="single"/>
          <w:lang w:eastAsia="zh-CN"/>
        </w:rPr>
        <w:t>（项目编号：</w:t>
      </w:r>
      <w:r w:rsidR="00874C29" w:rsidRPr="00D01EFC">
        <w:rPr>
          <w:rFonts w:hint="eastAsia"/>
          <w:bCs/>
          <w:szCs w:val="21"/>
          <w:u w:val="single"/>
          <w:lang w:eastAsia="zh-CN"/>
        </w:rPr>
        <w:t>FHC-</w:t>
      </w:r>
      <w:r w:rsidR="00B82AF4" w:rsidRPr="00D01EFC">
        <w:rPr>
          <w:rFonts w:hint="eastAsia"/>
          <w:bCs/>
          <w:szCs w:val="21"/>
          <w:u w:val="single"/>
          <w:lang w:eastAsia="zh-CN"/>
        </w:rPr>
        <w:t>PTCG20</w:t>
      </w:r>
      <w:r w:rsidR="00B82AF4" w:rsidRPr="00D01EFC">
        <w:rPr>
          <w:bCs/>
          <w:szCs w:val="21"/>
          <w:u w:val="single"/>
          <w:lang w:eastAsia="zh-CN"/>
        </w:rPr>
        <w:t>20</w:t>
      </w:r>
      <w:r w:rsidR="00B82AF4">
        <w:rPr>
          <w:bCs/>
          <w:szCs w:val="21"/>
          <w:u w:val="single"/>
          <w:lang w:eastAsia="zh-CN"/>
        </w:rPr>
        <w:t>1230003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B82AF4">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Pr="00230FDD">
        <w:rPr>
          <w:rFonts w:hint="eastAsia"/>
          <w:lang w:eastAsia="zh-CN"/>
        </w:rPr>
        <w:t>：</w:t>
      </w:r>
      <w:r w:rsidR="00B82AF4" w:rsidRPr="00B82AF4">
        <w:rPr>
          <w:rFonts w:hint="eastAsia"/>
          <w:lang w:eastAsia="zh-CN"/>
        </w:rPr>
        <w:t>福化古雷和翔鹭石化验资报告发包</w:t>
      </w:r>
      <w:r w:rsidR="00750C81" w:rsidRPr="00230FDD">
        <w:rPr>
          <w:rFonts w:hint="eastAsia"/>
          <w:lang w:eastAsia="zh-CN"/>
        </w:rPr>
        <w:t>。</w:t>
      </w:r>
    </w:p>
    <w:p w:rsidR="00222711"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p>
    <w:p w:rsidR="00AA1C15" w:rsidRPr="001B5997" w:rsidRDefault="00B82AF4" w:rsidP="00D27535">
      <w:pPr>
        <w:pStyle w:val="aa"/>
        <w:autoSpaceDE/>
        <w:autoSpaceDN/>
        <w:spacing w:before="0" w:line="360" w:lineRule="auto"/>
        <w:ind w:left="1210" w:firstLine="0"/>
        <w:jc w:val="both"/>
        <w:rPr>
          <w:lang w:eastAsia="zh-CN"/>
        </w:rPr>
      </w:pPr>
      <w:r w:rsidRPr="00B24D8F">
        <w:rPr>
          <w:rFonts w:hint="eastAsia"/>
          <w:lang w:eastAsia="zh-CN"/>
        </w:rPr>
        <w:t>即日起启动会计师事务所比选工作，委托具有证券资质的会计师事务所分别对福化古雷与翔鹭石化两家公司按照《中国注册会计师审计准则第1602号—验资》(以下简称“验资准则”)的规定进行验资，验资准则要求注册会计师遵守职业道德规范，对被审验单位注册资本的实收情况或注册资本及实收资本的变更情况进行审验，并出具验资报告</w:t>
      </w:r>
      <w:r w:rsidR="002108DC" w:rsidRPr="00F678E5">
        <w:rPr>
          <w:rFonts w:hint="eastAsia"/>
          <w:lang w:eastAsia="zh-CN"/>
        </w:rPr>
        <w:t>。</w:t>
      </w:r>
    </w:p>
    <w:p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w:t>
      </w:r>
      <w:r w:rsidR="005142EF">
        <w:rPr>
          <w:rFonts w:hint="eastAsia"/>
          <w:lang w:eastAsia="zh-CN"/>
        </w:rPr>
        <w:t>含税</w:t>
      </w:r>
      <w:r w:rsidR="00230FDD">
        <w:rPr>
          <w:rFonts w:hint="eastAsia"/>
          <w:lang w:eastAsia="zh-CN"/>
        </w:rPr>
        <w:t>包干</w:t>
      </w:r>
      <w:r w:rsidR="005142EF">
        <w:rPr>
          <w:rFonts w:hint="eastAsia"/>
          <w:lang w:eastAsia="zh-CN"/>
        </w:rPr>
        <w:t>总价</w:t>
      </w:r>
      <w:r w:rsidR="002108DC" w:rsidRPr="001B5997">
        <w:rPr>
          <w:rFonts w:hint="eastAsia"/>
          <w:lang w:eastAsia="zh-CN"/>
        </w:rPr>
        <w:t>设置最高控制价</w:t>
      </w:r>
      <w:r w:rsidR="00B82AF4" w:rsidRPr="001B5997">
        <w:rPr>
          <w:lang w:eastAsia="zh-CN"/>
        </w:rPr>
        <w:t>RMB</w:t>
      </w:r>
      <w:r w:rsidR="00B82AF4">
        <w:rPr>
          <w:lang w:eastAsia="zh-CN"/>
        </w:rPr>
        <w:t>140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rsidR="00BC6A40" w:rsidRPr="001B5997" w:rsidRDefault="005142EF" w:rsidP="00AA1C15">
      <w:pPr>
        <w:pStyle w:val="aa"/>
        <w:numPr>
          <w:ilvl w:val="0"/>
          <w:numId w:val="24"/>
        </w:numPr>
        <w:autoSpaceDE/>
        <w:autoSpaceDN/>
        <w:spacing w:before="0" w:line="360" w:lineRule="auto"/>
        <w:jc w:val="both"/>
        <w:rPr>
          <w:lang w:eastAsia="zh-CN"/>
        </w:rPr>
      </w:pPr>
      <w:r>
        <w:rPr>
          <w:lang w:eastAsia="zh-CN"/>
        </w:rPr>
        <w:t>工期</w:t>
      </w:r>
      <w:r w:rsidR="00BC6A40">
        <w:rPr>
          <w:lang w:eastAsia="zh-CN"/>
        </w:rPr>
        <w:t>：</w:t>
      </w:r>
      <w:r w:rsidR="00B82AF4">
        <w:rPr>
          <w:lang w:eastAsia="zh-CN"/>
        </w:rPr>
        <w:t>中标商需</w:t>
      </w:r>
      <w:r w:rsidR="00B82AF4" w:rsidRPr="00213A02">
        <w:rPr>
          <w:rFonts w:hint="eastAsia"/>
          <w:lang w:eastAsia="zh-CN"/>
        </w:rPr>
        <w:t>于2021年02月08日之前分别出具福化古雷与翔鹭石化的验资报告正式稿</w:t>
      </w:r>
      <w:r w:rsidR="00B82AF4">
        <w:rPr>
          <w:rFonts w:hint="eastAsia"/>
          <w:lang w:eastAsia="zh-CN"/>
        </w:rPr>
        <w:t>并经甲方验收合格</w:t>
      </w:r>
      <w:r w:rsidR="00230FDD">
        <w:rPr>
          <w:rFonts w:hint="eastAsia"/>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Pr="00B24D8F" w:rsidRDefault="00B82AF4"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w:t>
      </w:r>
      <w:r w:rsidRPr="00B24D8F">
        <w:rPr>
          <w:rFonts w:hint="eastAsia"/>
          <w:bCs/>
          <w:szCs w:val="21"/>
          <w:lang w:eastAsia="zh-CN"/>
        </w:rPr>
        <w:t>人须为在中国境内注册的会计事务所</w:t>
      </w:r>
      <w:r w:rsidR="00222711" w:rsidRPr="00B24D8F">
        <w:rPr>
          <w:bCs/>
          <w:szCs w:val="21"/>
          <w:lang w:eastAsia="zh-CN"/>
        </w:rPr>
        <w:t>。</w:t>
      </w:r>
    </w:p>
    <w:p w:rsidR="00B82AF4" w:rsidRPr="00B24D8F" w:rsidRDefault="00B82AF4"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w:t>
      </w:r>
      <w:r w:rsidRPr="00B24D8F">
        <w:rPr>
          <w:rFonts w:hint="eastAsia"/>
          <w:bCs/>
          <w:szCs w:val="21"/>
          <w:lang w:eastAsia="zh-CN"/>
        </w:rPr>
        <w:t>人须具备会计师事务所执业资格及证券资质,具有良好的职业信誉。</w:t>
      </w:r>
    </w:p>
    <w:p w:rsidR="00B82AF4" w:rsidRPr="00B24D8F" w:rsidRDefault="00B82AF4"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w:t>
      </w:r>
      <w:r w:rsidRPr="00B24D8F">
        <w:rPr>
          <w:rFonts w:hint="eastAsia"/>
          <w:bCs/>
          <w:szCs w:val="21"/>
          <w:lang w:eastAsia="zh-CN"/>
        </w:rPr>
        <w:t>人及本项目负责人近3年未因违规执业受行政处罚。（若</w:t>
      </w:r>
      <w:r>
        <w:rPr>
          <w:rFonts w:hint="eastAsia"/>
          <w:bCs/>
          <w:szCs w:val="21"/>
          <w:lang w:eastAsia="zh-CN"/>
        </w:rPr>
        <w:t>参选</w:t>
      </w:r>
      <w:r w:rsidRPr="00B24D8F">
        <w:rPr>
          <w:rFonts w:hint="eastAsia"/>
          <w:bCs/>
          <w:szCs w:val="21"/>
          <w:lang w:eastAsia="zh-CN"/>
        </w:rPr>
        <w:t>人存在故意隐瞒，经查实后视为无效投标）</w:t>
      </w:r>
    </w:p>
    <w:p w:rsidR="00B82AF4" w:rsidRPr="00B24D8F" w:rsidRDefault="00B82AF4"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参选人</w:t>
      </w:r>
      <w:r w:rsidRPr="00B24D8F">
        <w:rPr>
          <w:rFonts w:hint="eastAsia"/>
          <w:bCs/>
          <w:szCs w:val="21"/>
          <w:lang w:eastAsia="zh-CN"/>
        </w:rPr>
        <w:t>人具有完成本项目所需的人员、专业能力，不存在其他可能不适合承担本项目的情形。</w:t>
      </w:r>
    </w:p>
    <w:p w:rsidR="00B82AF4" w:rsidRPr="00B24D8F" w:rsidRDefault="00B82AF4" w:rsidP="00AA1C15">
      <w:pPr>
        <w:pStyle w:val="aa"/>
        <w:numPr>
          <w:ilvl w:val="0"/>
          <w:numId w:val="27"/>
        </w:numPr>
        <w:autoSpaceDE/>
        <w:autoSpaceDN/>
        <w:spacing w:before="0" w:line="360" w:lineRule="auto"/>
        <w:jc w:val="both"/>
        <w:rPr>
          <w:bCs/>
          <w:szCs w:val="21"/>
          <w:lang w:eastAsia="zh-CN"/>
        </w:rPr>
      </w:pPr>
      <w:r w:rsidRPr="00B24D8F">
        <w:rPr>
          <w:rFonts w:hint="eastAsia"/>
          <w:bCs/>
          <w:szCs w:val="21"/>
          <w:lang w:eastAsia="zh-CN"/>
        </w:rPr>
        <w:t>本项目不接受联合体投标。</w:t>
      </w:r>
    </w:p>
    <w:p w:rsidR="00AA1C15" w:rsidRPr="001B5997" w:rsidRDefault="00B82AF4"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参选人</w:t>
      </w:r>
      <w:r w:rsidR="00750C81" w:rsidRPr="001B5997">
        <w:rPr>
          <w:rFonts w:hint="eastAsia"/>
          <w:bCs/>
          <w:szCs w:val="21"/>
          <w:lang w:eastAsia="zh-CN"/>
        </w:rPr>
        <w:t>没有失信黑名单记录（以最高院失信被执行人系统发布信息为准）</w:t>
      </w:r>
      <w:r w:rsidR="00750C81">
        <w:rPr>
          <w:rFonts w:hint="eastAsia"/>
          <w:bCs/>
          <w:szCs w:val="21"/>
          <w:lang w:eastAsia="zh-CN"/>
        </w:rPr>
        <w:t>。</w:t>
      </w:r>
    </w:p>
    <w:p w:rsidR="00AA1C15" w:rsidRPr="001B5997" w:rsidRDefault="00470BD0" w:rsidP="00AA1C15">
      <w:pPr>
        <w:pStyle w:val="aa"/>
        <w:numPr>
          <w:ilvl w:val="0"/>
          <w:numId w:val="27"/>
        </w:numPr>
        <w:autoSpaceDE/>
        <w:autoSpaceDN/>
        <w:spacing w:before="0" w:line="360" w:lineRule="auto"/>
        <w:jc w:val="both"/>
        <w:rPr>
          <w:bCs/>
          <w:szCs w:val="21"/>
          <w:lang w:eastAsia="zh-CN"/>
        </w:rPr>
      </w:pPr>
      <w:r>
        <w:rPr>
          <w:rFonts w:hint="eastAsia"/>
          <w:bCs/>
          <w:szCs w:val="21"/>
          <w:lang w:eastAsia="zh-CN"/>
        </w:rPr>
        <w:t>参选人</w:t>
      </w:r>
      <w:r w:rsidR="00AA1C15" w:rsidRPr="001B5997">
        <w:rPr>
          <w:rFonts w:hint="eastAsia"/>
          <w:bCs/>
          <w:szCs w:val="21"/>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1B5997" w:rsidRDefault="00202302" w:rsidP="00B24D8F">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w:t>
      </w:r>
      <w:r>
        <w:rPr>
          <w:bCs/>
          <w:szCs w:val="21"/>
          <w:lang w:eastAsia="zh-CN"/>
        </w:rPr>
        <w:lastRenderedPageBreak/>
        <w:t>交流并参选报价</w:t>
      </w:r>
      <w:r w:rsidRPr="00073BD6">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02302">
        <w:rPr>
          <w:rFonts w:hint="eastAsia"/>
          <w:bCs/>
          <w:szCs w:val="21"/>
          <w:lang w:eastAsia="zh-CN"/>
        </w:rPr>
        <w:t>有意向</w:t>
      </w:r>
      <w:r w:rsidR="00202302" w:rsidRPr="001B5997">
        <w:rPr>
          <w:bCs/>
          <w:szCs w:val="21"/>
          <w:lang w:eastAsia="zh-CN"/>
        </w:rPr>
        <w:t>参选人</w:t>
      </w:r>
      <w:r w:rsidR="00202302">
        <w:rPr>
          <w:rFonts w:hint="eastAsia"/>
          <w:bCs/>
          <w:szCs w:val="21"/>
          <w:lang w:eastAsia="zh-CN"/>
        </w:rPr>
        <w:t>请</w:t>
      </w:r>
      <w:r w:rsidR="00202302" w:rsidRPr="001B5997">
        <w:rPr>
          <w:bCs/>
          <w:szCs w:val="21"/>
          <w:lang w:eastAsia="zh-CN"/>
        </w:rPr>
        <w:t>于</w:t>
      </w:r>
      <w:r w:rsidR="00202302">
        <w:rPr>
          <w:rFonts w:hint="eastAsia"/>
          <w:bCs/>
          <w:szCs w:val="21"/>
          <w:lang w:eastAsia="zh-CN"/>
        </w:rPr>
        <w:t>公</w:t>
      </w:r>
      <w:r w:rsidR="00202302">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D4E08" w:rsidRPr="00A53411">
        <w:rPr>
          <w:bCs/>
          <w:color w:val="FF0000"/>
          <w:szCs w:val="21"/>
          <w:lang w:eastAsia="zh-CN"/>
        </w:rPr>
        <w:t>202</w:t>
      </w:r>
      <w:r w:rsidR="007D4E08">
        <w:rPr>
          <w:bCs/>
          <w:color w:val="FF0000"/>
          <w:szCs w:val="21"/>
          <w:lang w:eastAsia="zh-CN"/>
        </w:rPr>
        <w:t>1</w:t>
      </w:r>
      <w:r w:rsidR="007D4E08" w:rsidRPr="00A53411">
        <w:rPr>
          <w:rFonts w:hint="eastAsia"/>
          <w:bCs/>
          <w:color w:val="FF0000"/>
          <w:szCs w:val="21"/>
          <w:lang w:eastAsia="zh-CN"/>
        </w:rPr>
        <w:t>年</w:t>
      </w:r>
      <w:r w:rsidR="00155028">
        <w:rPr>
          <w:bCs/>
          <w:color w:val="FF0000"/>
          <w:szCs w:val="21"/>
          <w:lang w:eastAsia="zh-CN"/>
        </w:rPr>
        <w:t>01</w:t>
      </w:r>
      <w:r w:rsidR="00660FB5" w:rsidRPr="00A53411">
        <w:rPr>
          <w:rFonts w:hint="eastAsia"/>
          <w:bCs/>
          <w:color w:val="FF0000"/>
          <w:szCs w:val="21"/>
          <w:lang w:eastAsia="zh-CN"/>
        </w:rPr>
        <w:t>月</w:t>
      </w:r>
      <w:r w:rsidR="00155028">
        <w:rPr>
          <w:bCs/>
          <w:color w:val="FF0000"/>
          <w:szCs w:val="21"/>
          <w:lang w:eastAsia="zh-CN"/>
        </w:rPr>
        <w:t>15</w:t>
      </w:r>
      <w:r w:rsidR="00750C81" w:rsidRPr="00A53411">
        <w:rPr>
          <w:rFonts w:hint="eastAsia"/>
          <w:bCs/>
          <w:color w:val="FF0000"/>
          <w:szCs w:val="21"/>
          <w:lang w:eastAsia="zh-CN"/>
        </w:rPr>
        <w:t>日</w:t>
      </w:r>
      <w:r w:rsidR="00750C81" w:rsidRPr="00A53411">
        <w:rPr>
          <w:bCs/>
          <w:color w:val="FF0000"/>
          <w:szCs w:val="21"/>
          <w:lang w:eastAsia="zh-CN"/>
        </w:rPr>
        <w:t xml:space="preserve">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hyperlink r:id="rId10" w:history="1">
        <w:r w:rsidRPr="001B5997">
          <w:rPr>
            <w:rStyle w:val="af"/>
            <w:rFonts w:ascii="宋体" w:hAnsi="宋体" w:cs="宋体"/>
            <w:bCs/>
            <w:color w:val="auto"/>
            <w:szCs w:val="21"/>
          </w:rPr>
          <w:t>qlin@fhcpec.com.cn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155028">
        <w:rPr>
          <w:sz w:val="24"/>
          <w:szCs w:val="24"/>
          <w:lang w:eastAsia="zh-CN"/>
        </w:rPr>
        <w:t>01</w:t>
      </w:r>
      <w:r w:rsidR="00155028" w:rsidRPr="002E3036">
        <w:rPr>
          <w:rFonts w:hint="eastAsia"/>
          <w:sz w:val="24"/>
          <w:szCs w:val="24"/>
          <w:lang w:eastAsia="zh-CN"/>
        </w:rPr>
        <w:t>月</w:t>
      </w:r>
      <w:r w:rsidR="00155028">
        <w:rPr>
          <w:sz w:val="24"/>
          <w:szCs w:val="24"/>
          <w:lang w:eastAsia="zh-CN"/>
        </w:rPr>
        <w:t>06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B82AF4" w:rsidRPr="00B82AF4">
        <w:rPr>
          <w:rFonts w:hint="eastAsia"/>
          <w:lang w:eastAsia="zh-CN"/>
        </w:rPr>
        <w:t>福化古雷和翔鹭石化验资报告发包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02302" w:rsidRPr="00C07CEA">
        <w:rPr>
          <w:rFonts w:hint="eastAsia"/>
          <w:lang w:eastAsia="zh-CN"/>
        </w:rPr>
        <w:t>福建省漳州市</w:t>
      </w:r>
      <w:r w:rsidR="00202302">
        <w:rPr>
          <w:rFonts w:hint="eastAsia"/>
          <w:lang w:eastAsia="zh-CN"/>
        </w:rPr>
        <w:t>古雷经济开发区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含税包干总价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202302" w:rsidP="00335435">
      <w:pPr>
        <w:pStyle w:val="a6"/>
        <w:spacing w:line="360" w:lineRule="auto"/>
        <w:ind w:right="121" w:firstLine="480"/>
        <w:jc w:val="both"/>
        <w:rPr>
          <w:lang w:eastAsia="zh-CN"/>
        </w:rPr>
      </w:pPr>
      <w:r>
        <w:rPr>
          <w:rFonts w:hint="eastAsia"/>
          <w:lang w:eastAsia="zh-CN"/>
        </w:rPr>
        <w:t>具体详</w:t>
      </w:r>
      <w:r w:rsidRPr="00F43F82">
        <w:rPr>
          <w:rFonts w:hint="eastAsia"/>
          <w:lang w:eastAsia="zh-CN"/>
        </w:rPr>
        <w:t>见</w:t>
      </w:r>
      <w:r>
        <w:rPr>
          <w:rFonts w:hint="eastAsia"/>
          <w:lang w:eastAsia="zh-CN"/>
        </w:rPr>
        <w:t>合同书格式中的</w:t>
      </w:r>
      <w:r w:rsidRPr="00F43F82">
        <w:rPr>
          <w:rFonts w:hint="eastAsia"/>
          <w:lang w:eastAsia="zh-CN"/>
        </w:rPr>
        <w:t>附件</w:t>
      </w:r>
      <w:r>
        <w:rPr>
          <w:rFonts w:hint="eastAsia"/>
          <w:lang w:eastAsia="zh-CN"/>
        </w:rPr>
        <w:t>1</w:t>
      </w:r>
      <w:r w:rsidRPr="00B24D8F">
        <w:rPr>
          <w:rFonts w:hint="eastAsia"/>
          <w:lang w:eastAsia="zh-CN"/>
        </w:rPr>
        <w:t>《关于委托会计师事务所开展验资的发包说明》</w:t>
      </w:r>
      <w:r w:rsidR="00D57359">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02302">
        <w:rPr>
          <w:rFonts w:hint="eastAsia"/>
          <w:lang w:eastAsia="zh-CN"/>
        </w:rPr>
        <w:t>徐燕星</w:t>
      </w:r>
      <w:r w:rsidR="00694667">
        <w:rPr>
          <w:lang w:eastAsia="zh-CN"/>
        </w:rPr>
        <w:t>，</w:t>
      </w:r>
      <w:r w:rsidR="00202302">
        <w:rPr>
          <w:lang w:eastAsia="zh-CN"/>
        </w:rPr>
        <w:t>15880099712</w:t>
      </w:r>
      <w:r w:rsidR="0097173F">
        <w:rPr>
          <w:lang w:eastAsia="zh-CN"/>
        </w:rPr>
        <w:t>，</w:t>
      </w:r>
      <w:r w:rsidR="00202302">
        <w:rPr>
          <w:lang w:eastAsia="zh-CN"/>
        </w:rPr>
        <w:t>yxxu</w:t>
      </w:r>
      <w:r w:rsidR="0097173F" w:rsidRPr="00BC10E0">
        <w:rPr>
          <w:lang w:eastAsia="zh-CN"/>
        </w:rPr>
        <w:t xml:space="preserve">@fhcpec.com.cn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11"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参选人须为在中国境内注册的会计事务所</w:t>
      </w:r>
      <w:r w:rsidRPr="00B24D8F">
        <w:rPr>
          <w:sz w:val="24"/>
          <w:szCs w:val="24"/>
          <w:lang w:eastAsia="zh-CN"/>
        </w:rPr>
        <w:t>。</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参选人须具备会计师事务所执业资格及证券资质,具有良好的职业信誉。</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参选人及本项目负责人近3年未因违规执业受行政处罚。（若参选人存在故意隐瞒，经查实后视为无效投标）</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参选人人具有完成本项目所需的人员、专业能力，不存在其他可能不适合承担本项目的情形。</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本项目不接受联合体投标。</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参选人没有失信黑名单记录（以最高院失信被执行人系统发布信息为准）。</w:t>
      </w:r>
    </w:p>
    <w:p w:rsidR="00202302" w:rsidRPr="00B24D8F" w:rsidRDefault="00202302" w:rsidP="00202302">
      <w:pPr>
        <w:pStyle w:val="aa"/>
        <w:numPr>
          <w:ilvl w:val="0"/>
          <w:numId w:val="29"/>
        </w:numPr>
        <w:autoSpaceDE/>
        <w:autoSpaceDN/>
        <w:spacing w:before="0" w:line="360" w:lineRule="auto"/>
        <w:jc w:val="both"/>
        <w:rPr>
          <w:sz w:val="24"/>
          <w:szCs w:val="24"/>
          <w:lang w:eastAsia="zh-CN"/>
        </w:rPr>
      </w:pPr>
      <w:r w:rsidRPr="00B24D8F">
        <w:rPr>
          <w:rFonts w:hint="eastAsia"/>
          <w:sz w:val="24"/>
          <w:szCs w:val="24"/>
          <w:lang w:eastAsia="zh-CN"/>
        </w:rPr>
        <w:t>参选人与比选人无诉讼纠纷。</w:t>
      </w:r>
    </w:p>
    <w:p w:rsidR="00AF0B05" w:rsidRDefault="00DD56C2" w:rsidP="002A282A">
      <w:pPr>
        <w:ind w:firstLineChars="200" w:firstLine="536"/>
        <w:rPr>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D57359" w:rsidRPr="003E2E9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202302" w:rsidP="00E05297">
            <w:pPr>
              <w:spacing w:line="500" w:lineRule="exact"/>
              <w:jc w:val="center"/>
              <w:rPr>
                <w:sz w:val="24"/>
                <w:lang w:eastAsia="zh-CN"/>
              </w:rPr>
            </w:pPr>
            <w:r>
              <w:rPr>
                <w:sz w:val="24"/>
                <w:lang w:eastAsia="zh-CN"/>
              </w:rPr>
              <w:t>8</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r>
      <w:tr w:rsidR="00E05297" w:rsidTr="00E05297">
        <w:trPr>
          <w:jc w:val="center"/>
        </w:trPr>
        <w:tc>
          <w:tcPr>
            <w:tcW w:w="1227" w:type="dxa"/>
          </w:tcPr>
          <w:p w:rsidR="00E05297" w:rsidRDefault="0020230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BC10E0" w:rsidRPr="00694667">
        <w:rPr>
          <w:b/>
          <w:lang w:eastAsia="zh-CN"/>
        </w:rPr>
        <w:t>RMB</w:t>
      </w:r>
      <w:r w:rsidR="00130200">
        <w:rPr>
          <w:b/>
          <w:lang w:eastAsia="zh-CN"/>
        </w:rPr>
        <w:t>14</w:t>
      </w:r>
      <w:r w:rsidR="00BC10E0">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7725C5">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2"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130200" w:rsidRDefault="00130200" w:rsidP="00130200">
      <w:pPr>
        <w:spacing w:before="15" w:line="360" w:lineRule="auto"/>
        <w:ind w:firstLineChars="200" w:firstLine="480"/>
        <w:rPr>
          <w:sz w:val="24"/>
          <w:szCs w:val="24"/>
          <w:lang w:eastAsia="zh-CN"/>
        </w:rPr>
      </w:pPr>
      <w:r>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经技术评选合格后选择未税</w:t>
      </w:r>
      <w:r>
        <w:rPr>
          <w:sz w:val="24"/>
          <w:szCs w:val="24"/>
          <w:lang w:eastAsia="zh-CN"/>
        </w:rPr>
        <w:t>总</w:t>
      </w:r>
      <w:r w:rsidRPr="00D01EFC">
        <w:rPr>
          <w:rFonts w:hint="eastAsia"/>
          <w:sz w:val="24"/>
          <w:szCs w:val="24"/>
          <w:lang w:eastAsia="zh-CN"/>
        </w:rPr>
        <w:t>价最低者作为中选单位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福建福海创石油化工有限公司的权属公司</w:t>
      </w:r>
      <w:r w:rsidR="00130200" w:rsidRPr="00B24D8F">
        <w:rPr>
          <w:rStyle w:val="af1"/>
          <w:rFonts w:hint="eastAsia"/>
          <w:color w:val="FF0000"/>
          <w:lang w:eastAsia="zh-CN"/>
        </w:rPr>
        <w:t>“福建福化古雷石油化工有限公司”</w:t>
      </w:r>
      <w:r w:rsidR="00130200">
        <w:rPr>
          <w:rStyle w:val="af1"/>
          <w:rFonts w:hint="eastAsia"/>
          <w:color w:val="FF0000"/>
          <w:lang w:eastAsia="zh-CN"/>
        </w:rPr>
        <w:t>和</w:t>
      </w:r>
      <w:r w:rsidR="005814ED" w:rsidRPr="00B24D8F">
        <w:rPr>
          <w:rStyle w:val="af1"/>
          <w:rFonts w:hint="eastAsia"/>
          <w:color w:val="FF0000"/>
          <w:lang w:eastAsia="zh-CN"/>
        </w:rPr>
        <w:t>“</w:t>
      </w:r>
      <w:r w:rsidR="00130200">
        <w:rPr>
          <w:rStyle w:val="af1"/>
          <w:rFonts w:hint="eastAsia"/>
          <w:color w:val="FF0000"/>
          <w:lang w:eastAsia="zh-CN"/>
        </w:rPr>
        <w:t>翔鹭石化</w:t>
      </w:r>
      <w:r w:rsidR="005814ED" w:rsidRPr="00CA0A7C">
        <w:rPr>
          <w:rStyle w:val="af1"/>
          <w:rFonts w:hint="eastAsia"/>
          <w:color w:val="FF0000"/>
          <w:lang w:eastAsia="zh-CN"/>
        </w:rPr>
        <w:t>（漳州）有限公司</w:t>
      </w:r>
      <w:r w:rsidR="005814ED">
        <w:rPr>
          <w:rStyle w:val="af1"/>
          <w:rFonts w:hint="eastAsia"/>
          <w:color w:val="FF0000"/>
          <w:sz w:val="22"/>
          <w:lang w:eastAsia="zh-CN"/>
        </w:rPr>
        <w:t>”将</w:t>
      </w:r>
      <w:r w:rsidR="00130200">
        <w:rPr>
          <w:rStyle w:val="af1"/>
          <w:rFonts w:hint="eastAsia"/>
          <w:color w:val="FF0000"/>
          <w:sz w:val="22"/>
          <w:lang w:eastAsia="zh-CN"/>
        </w:rPr>
        <w:t>共同</w:t>
      </w:r>
      <w:r w:rsidR="005814ED">
        <w:rPr>
          <w:rStyle w:val="af1"/>
          <w:rFonts w:hint="eastAsia"/>
          <w:color w:val="FF0000"/>
          <w:sz w:val="22"/>
          <w:lang w:eastAsia="zh-CN"/>
        </w:rPr>
        <w:t>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1550D1" w:rsidRPr="00213A02" w:rsidRDefault="001550D1" w:rsidP="001550D1">
      <w:pPr>
        <w:pStyle w:val="a7"/>
        <w:spacing w:line="360" w:lineRule="auto"/>
        <w:jc w:val="center"/>
        <w:rPr>
          <w:rFonts w:hAnsi="宋体"/>
          <w:b/>
          <w:sz w:val="44"/>
          <w:szCs w:val="44"/>
          <w:lang w:eastAsia="zh-CN"/>
        </w:rPr>
      </w:pPr>
      <w:r w:rsidRPr="00213A02">
        <w:rPr>
          <w:rFonts w:hAnsi="宋体" w:hint="eastAsia"/>
          <w:b/>
          <w:sz w:val="44"/>
          <w:szCs w:val="44"/>
          <w:lang w:eastAsia="zh-CN"/>
        </w:rPr>
        <w:t>福化古雷和翔鹭石化验资报告</w:t>
      </w:r>
    </w:p>
    <w:p w:rsidR="001550D1" w:rsidRDefault="001550D1" w:rsidP="001550D1">
      <w:pPr>
        <w:pStyle w:val="a7"/>
        <w:spacing w:line="360" w:lineRule="auto"/>
        <w:jc w:val="center"/>
        <w:rPr>
          <w:rFonts w:hAnsi="宋体"/>
          <w:b/>
          <w:sz w:val="44"/>
          <w:szCs w:val="44"/>
          <w:lang w:eastAsia="zh-CN"/>
        </w:rPr>
      </w:pPr>
      <w:r w:rsidRPr="005340E9">
        <w:rPr>
          <w:rFonts w:hAnsi="宋体" w:hint="eastAsia"/>
          <w:b/>
          <w:sz w:val="44"/>
          <w:szCs w:val="44"/>
          <w:lang w:eastAsia="zh-CN"/>
        </w:rPr>
        <w:t xml:space="preserve">技术服务合同 </w:t>
      </w:r>
    </w:p>
    <w:p w:rsidR="001550D1" w:rsidRPr="005340E9" w:rsidRDefault="001550D1" w:rsidP="001550D1">
      <w:pPr>
        <w:pStyle w:val="a7"/>
        <w:spacing w:line="360" w:lineRule="auto"/>
        <w:jc w:val="center"/>
        <w:rPr>
          <w:rFonts w:hAnsi="宋体"/>
          <w:b/>
          <w:sz w:val="44"/>
          <w:szCs w:val="44"/>
          <w:lang w:eastAsia="zh-CN"/>
        </w:rPr>
      </w:pPr>
    </w:p>
    <w:p w:rsidR="001550D1" w:rsidRDefault="001550D1" w:rsidP="001550D1">
      <w:pPr>
        <w:pStyle w:val="a7"/>
        <w:spacing w:line="360" w:lineRule="auto"/>
        <w:jc w:val="center"/>
        <w:rPr>
          <w:rFonts w:hAnsi="宋体"/>
          <w:b/>
          <w:sz w:val="28"/>
          <w:szCs w:val="28"/>
          <w:lang w:eastAsia="zh-CN"/>
        </w:rPr>
      </w:pPr>
      <w:r>
        <w:rPr>
          <w:rFonts w:hAnsi="宋体" w:hint="eastAsia"/>
          <w:b/>
          <w:sz w:val="28"/>
          <w:szCs w:val="28"/>
          <w:lang w:eastAsia="zh-CN"/>
        </w:rPr>
        <w:t xml:space="preserve">                 </w:t>
      </w:r>
      <w:r>
        <w:rPr>
          <w:rFonts w:hAnsi="宋体"/>
          <w:b/>
          <w:sz w:val="28"/>
          <w:szCs w:val="28"/>
          <w:lang w:eastAsia="zh-CN"/>
        </w:rPr>
        <w:t xml:space="preserve">   </w:t>
      </w:r>
      <w:r>
        <w:rPr>
          <w:rFonts w:hAnsi="宋体" w:hint="eastAsia"/>
          <w:b/>
          <w:sz w:val="28"/>
          <w:szCs w:val="28"/>
          <w:lang w:eastAsia="zh-CN"/>
        </w:rPr>
        <w:t xml:space="preserve">合同编号：                            </w:t>
      </w:r>
    </w:p>
    <w:p w:rsidR="001550D1" w:rsidRDefault="001550D1" w:rsidP="001550D1">
      <w:pPr>
        <w:pStyle w:val="a7"/>
        <w:spacing w:line="360" w:lineRule="auto"/>
        <w:jc w:val="center"/>
        <w:rPr>
          <w:rFonts w:hAnsi="宋体"/>
          <w:b/>
          <w:sz w:val="28"/>
          <w:szCs w:val="28"/>
          <w:lang w:eastAsia="zh-CN"/>
        </w:rPr>
      </w:pPr>
      <w:r>
        <w:rPr>
          <w:rFonts w:hAnsi="宋体"/>
          <w:b/>
          <w:sz w:val="28"/>
          <w:szCs w:val="28"/>
          <w:lang w:eastAsia="zh-CN"/>
        </w:rPr>
        <w:t xml:space="preserve">                                </w:t>
      </w:r>
      <w:r>
        <w:rPr>
          <w:rFonts w:hAnsi="宋体" w:hint="eastAsia"/>
          <w:b/>
          <w:sz w:val="28"/>
          <w:szCs w:val="28"/>
          <w:lang w:eastAsia="zh-CN"/>
        </w:rPr>
        <w:t xml:space="preserve"> 签订日期：   年  月  日</w:t>
      </w:r>
    </w:p>
    <w:p w:rsidR="001550D1" w:rsidRPr="005919C0" w:rsidRDefault="001550D1" w:rsidP="001550D1">
      <w:pPr>
        <w:pStyle w:val="a7"/>
        <w:spacing w:line="360" w:lineRule="auto"/>
        <w:jc w:val="center"/>
        <w:rPr>
          <w:rFonts w:hAnsi="宋体"/>
          <w:b/>
          <w:sz w:val="28"/>
          <w:szCs w:val="28"/>
          <w:lang w:eastAsia="zh-CN"/>
        </w:rPr>
      </w:pPr>
      <w:r>
        <w:rPr>
          <w:rFonts w:hAnsi="宋体" w:hint="eastAsia"/>
          <w:b/>
          <w:sz w:val="28"/>
          <w:szCs w:val="28"/>
          <w:lang w:eastAsia="zh-CN"/>
        </w:rPr>
        <w:t xml:space="preserve">                                    签订地点：福建漳浦县杜浔镇</w:t>
      </w:r>
    </w:p>
    <w:p w:rsidR="001550D1" w:rsidRPr="00EB30A6" w:rsidRDefault="001550D1" w:rsidP="001550D1">
      <w:pPr>
        <w:snapToGrid w:val="0"/>
        <w:spacing w:line="360" w:lineRule="auto"/>
        <w:rPr>
          <w:b/>
          <w:szCs w:val="21"/>
          <w:lang w:eastAsia="zh-CN"/>
        </w:rPr>
      </w:pPr>
      <w:r w:rsidRPr="00FC2A3E">
        <w:rPr>
          <w:b/>
          <w:szCs w:val="21"/>
          <w:lang w:eastAsia="zh-CN"/>
        </w:rPr>
        <w:t>委托方</w:t>
      </w:r>
      <w:r w:rsidRPr="00FC2A3E">
        <w:rPr>
          <w:rFonts w:hint="eastAsia"/>
          <w:b/>
          <w:szCs w:val="21"/>
          <w:lang w:eastAsia="zh-CN"/>
        </w:rPr>
        <w:t>1：</w:t>
      </w:r>
      <w:r w:rsidRPr="00213A02">
        <w:rPr>
          <w:rFonts w:hint="eastAsia"/>
          <w:b/>
          <w:szCs w:val="21"/>
          <w:lang w:eastAsia="zh-CN"/>
        </w:rPr>
        <w:t>福建福化古雷石油化工有限公司</w:t>
      </w:r>
    </w:p>
    <w:p w:rsidR="001550D1" w:rsidRDefault="001550D1" w:rsidP="001550D1">
      <w:pPr>
        <w:snapToGrid w:val="0"/>
        <w:spacing w:line="360" w:lineRule="auto"/>
        <w:rPr>
          <w:b/>
          <w:szCs w:val="21"/>
          <w:lang w:eastAsia="zh-CN"/>
        </w:rPr>
      </w:pPr>
      <w:r>
        <w:rPr>
          <w:rFonts w:hint="eastAsia"/>
          <w:b/>
          <w:szCs w:val="21"/>
          <w:lang w:eastAsia="zh-CN"/>
        </w:rPr>
        <w:t>委托方2：</w:t>
      </w:r>
      <w:r w:rsidRPr="00EB30A6">
        <w:rPr>
          <w:rFonts w:hint="eastAsia"/>
          <w:b/>
          <w:szCs w:val="21"/>
          <w:lang w:eastAsia="zh-CN"/>
        </w:rPr>
        <w:t>翔鹭石化（漳州）有限公司</w:t>
      </w:r>
    </w:p>
    <w:p w:rsidR="001550D1" w:rsidRPr="00EB30A6" w:rsidRDefault="001550D1" w:rsidP="001550D1">
      <w:pPr>
        <w:snapToGrid w:val="0"/>
        <w:spacing w:line="360" w:lineRule="auto"/>
        <w:rPr>
          <w:b/>
          <w:szCs w:val="21"/>
          <w:lang w:eastAsia="zh-CN"/>
        </w:rPr>
      </w:pPr>
      <w:r>
        <w:rPr>
          <w:rFonts w:hint="eastAsia"/>
          <w:b/>
          <w:szCs w:val="21"/>
          <w:lang w:eastAsia="zh-CN"/>
        </w:rPr>
        <w:t>（以下合并称为甲方）</w:t>
      </w:r>
    </w:p>
    <w:p w:rsidR="001550D1" w:rsidRDefault="001550D1" w:rsidP="001550D1">
      <w:pPr>
        <w:pStyle w:val="a7"/>
        <w:spacing w:line="360" w:lineRule="auto"/>
        <w:rPr>
          <w:rFonts w:hAnsi="宋体"/>
          <w:lang w:eastAsia="zh-CN"/>
        </w:rPr>
      </w:pPr>
    </w:p>
    <w:p w:rsidR="001550D1" w:rsidRPr="00FC2A3E" w:rsidRDefault="001550D1" w:rsidP="001550D1">
      <w:pPr>
        <w:pStyle w:val="a7"/>
        <w:spacing w:line="360" w:lineRule="auto"/>
        <w:rPr>
          <w:rFonts w:hAnsi="宋体" w:cs="宋体"/>
          <w:b/>
          <w:lang w:eastAsia="zh-CN"/>
        </w:rPr>
      </w:pPr>
      <w:r w:rsidRPr="00FC2A3E">
        <w:rPr>
          <w:rFonts w:hAnsi="宋体" w:cs="宋体"/>
          <w:b/>
          <w:lang w:eastAsia="zh-CN"/>
        </w:rPr>
        <w:t>受托方（乙方）</w:t>
      </w:r>
      <w:r w:rsidRPr="00FC2A3E">
        <w:rPr>
          <w:rFonts w:hAnsi="宋体" w:cs="宋体" w:hint="eastAsia"/>
          <w:b/>
          <w:lang w:eastAsia="zh-CN"/>
        </w:rPr>
        <w:t>：</w:t>
      </w:r>
      <w:r w:rsidRPr="00FC2A3E" w:rsidDel="00004B59">
        <w:rPr>
          <w:rFonts w:hAnsi="宋体" w:cs="宋体" w:hint="eastAsia"/>
          <w:b/>
          <w:lang w:eastAsia="zh-CN"/>
        </w:rPr>
        <w:t xml:space="preserve"> </w:t>
      </w:r>
    </w:p>
    <w:p w:rsidR="001550D1" w:rsidRDefault="001550D1" w:rsidP="001550D1">
      <w:pPr>
        <w:pStyle w:val="a7"/>
        <w:spacing w:line="360" w:lineRule="auto"/>
        <w:rPr>
          <w:rFonts w:hAnsi="宋体"/>
          <w:lang w:eastAsia="zh-CN"/>
        </w:rPr>
      </w:pPr>
      <w:r>
        <w:rPr>
          <w:rFonts w:hAnsi="宋体" w:hint="eastAsia"/>
          <w:lang w:eastAsia="zh-CN"/>
        </w:rPr>
        <w:t xml:space="preserve">    </w:t>
      </w:r>
    </w:p>
    <w:p w:rsidR="001550D1" w:rsidRPr="005919C0" w:rsidRDefault="001550D1" w:rsidP="001550D1">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sidRPr="001550D1">
        <w:rPr>
          <w:rFonts w:hAnsi="宋体" w:hint="eastAsia"/>
          <w:u w:val="single"/>
          <w:lang w:eastAsia="zh-CN"/>
        </w:rPr>
        <w:t>福化古雷和翔鹭石化验资报告</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1550D1" w:rsidRPr="005919C0" w:rsidRDefault="001550D1" w:rsidP="001550D1">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1550D1" w:rsidRPr="005919C0" w:rsidRDefault="001550D1" w:rsidP="001550D1">
      <w:pPr>
        <w:pStyle w:val="a7"/>
        <w:spacing w:line="360" w:lineRule="auto"/>
        <w:rPr>
          <w:rFonts w:hAnsi="宋体"/>
          <w:lang w:eastAsia="zh-CN"/>
        </w:rPr>
      </w:pPr>
      <w:r>
        <w:rPr>
          <w:rFonts w:hAnsi="宋体"/>
          <w:lang w:eastAsia="zh-CN"/>
        </w:rPr>
        <w:t xml:space="preserve">    甲方</w:t>
      </w:r>
      <w:r w:rsidRPr="00B24D8F">
        <w:rPr>
          <w:rFonts w:hAnsi="宋体" w:hint="eastAsia"/>
          <w:szCs w:val="22"/>
          <w:lang w:eastAsia="zh-CN"/>
        </w:rPr>
        <w:t>委托</w:t>
      </w:r>
      <w:r>
        <w:rPr>
          <w:rFonts w:hAnsi="宋体" w:hint="eastAsia"/>
          <w:szCs w:val="22"/>
          <w:lang w:eastAsia="zh-CN"/>
        </w:rPr>
        <w:t>乙方</w:t>
      </w:r>
      <w:r w:rsidRPr="00B24D8F">
        <w:rPr>
          <w:rFonts w:hAnsi="宋体" w:hint="eastAsia"/>
          <w:szCs w:val="22"/>
          <w:lang w:eastAsia="zh-CN"/>
        </w:rPr>
        <w:t>分别对福化古雷与翔鹭石化两家公司按照《中国注册会计师审计准则第1602号—验资》(以下简称“验资准则”)的规定进行验资，验资准则要求注册会计师遵守职业道德规范，对被审验单位注册资本的实收情况或注册资本及实收资本的变更情况进行审验，并</w:t>
      </w:r>
      <w:r>
        <w:rPr>
          <w:rFonts w:hAnsi="宋体" w:hint="eastAsia"/>
          <w:szCs w:val="22"/>
          <w:lang w:eastAsia="zh-CN"/>
        </w:rPr>
        <w:t>分别按两家公司</w:t>
      </w:r>
      <w:r w:rsidRPr="00B24D8F">
        <w:rPr>
          <w:rFonts w:hAnsi="宋体" w:hint="eastAsia"/>
          <w:szCs w:val="22"/>
          <w:lang w:eastAsia="zh-CN"/>
        </w:rPr>
        <w:t>出具验资报告</w:t>
      </w:r>
      <w:r>
        <w:rPr>
          <w:rFonts w:hAnsi="宋体" w:hint="eastAsia"/>
          <w:szCs w:val="22"/>
          <w:lang w:eastAsia="zh-CN"/>
        </w:rPr>
        <w:t>并经甲方验收合格。</w:t>
      </w:r>
      <w:r w:rsidRPr="004814CB">
        <w:rPr>
          <w:rFonts w:hAnsi="宋体" w:hint="eastAsia"/>
          <w:lang w:eastAsia="zh-CN"/>
        </w:rPr>
        <w:t xml:space="preserve">                                                                                          </w:t>
      </w:r>
    </w:p>
    <w:p w:rsidR="001550D1" w:rsidRPr="005919C0" w:rsidRDefault="001550D1" w:rsidP="001550D1">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1550D1" w:rsidRPr="004C7730" w:rsidRDefault="001550D1" w:rsidP="001550D1">
      <w:pPr>
        <w:pStyle w:val="a7"/>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甲方古雷厂区。</w:t>
      </w:r>
      <w:r w:rsidRPr="004C7730">
        <w:rPr>
          <w:rFonts w:hAnsi="宋体" w:hint="eastAsia"/>
          <w:u w:val="single"/>
          <w:lang w:eastAsia="zh-CN"/>
        </w:rPr>
        <w:t xml:space="preserve">                               </w:t>
      </w:r>
    </w:p>
    <w:p w:rsidR="001550D1" w:rsidRPr="004C7730" w:rsidRDefault="001550D1" w:rsidP="001550D1">
      <w:pPr>
        <w:spacing w:line="360" w:lineRule="auto"/>
        <w:rPr>
          <w:szCs w:val="21"/>
          <w:lang w:eastAsia="zh-CN"/>
        </w:rPr>
      </w:pPr>
      <w:r w:rsidRPr="004C7730">
        <w:rPr>
          <w:rFonts w:hint="eastAsia"/>
          <w:szCs w:val="21"/>
          <w:lang w:eastAsia="zh-CN"/>
        </w:rPr>
        <w:t xml:space="preserve">    2.技术服务及咨询期限：</w:t>
      </w:r>
      <w:r w:rsidRPr="004C7730">
        <w:rPr>
          <w:rFonts w:hint="eastAsia"/>
          <w:szCs w:val="21"/>
          <w:u w:val="single"/>
          <w:lang w:eastAsia="zh-CN"/>
        </w:rPr>
        <w:t xml:space="preserve">      </w:t>
      </w:r>
      <w:r w:rsidRPr="00213A02">
        <w:rPr>
          <w:rFonts w:cs="Courier New" w:hint="eastAsia"/>
          <w:szCs w:val="21"/>
          <w:u w:val="single"/>
          <w:lang w:eastAsia="zh-CN"/>
        </w:rPr>
        <w:t xml:space="preserve"> 乙方</w:t>
      </w:r>
      <w:r w:rsidRPr="00213A02">
        <w:rPr>
          <w:rFonts w:cs="Courier New"/>
          <w:szCs w:val="21"/>
          <w:u w:val="single"/>
          <w:lang w:eastAsia="zh-CN"/>
        </w:rPr>
        <w:t>需</w:t>
      </w:r>
      <w:r w:rsidRPr="00213A02">
        <w:rPr>
          <w:rFonts w:cs="Courier New" w:hint="eastAsia"/>
          <w:szCs w:val="21"/>
          <w:u w:val="single"/>
          <w:lang w:eastAsia="zh-CN"/>
        </w:rPr>
        <w:t>于2021年02月08日之前分别出具福化古雷与翔鹭石化的验资报告正式稿并经甲方验收合格</w:t>
      </w:r>
      <w:r>
        <w:rPr>
          <w:rFonts w:cs="Courier New"/>
          <w:szCs w:val="21"/>
          <w:u w:val="single"/>
          <w:lang w:eastAsia="zh-CN"/>
        </w:rPr>
        <w:t>。</w:t>
      </w:r>
      <w:r w:rsidRPr="00213A02">
        <w:rPr>
          <w:rFonts w:cs="Courier New" w:hint="eastAsia"/>
          <w:szCs w:val="21"/>
          <w:u w:val="single"/>
          <w:lang w:eastAsia="zh-CN"/>
        </w:rPr>
        <w:t xml:space="preserve">    </w:t>
      </w:r>
      <w:r>
        <w:rPr>
          <w:rFonts w:hint="eastAsia"/>
          <w:szCs w:val="21"/>
          <w:u w:val="single"/>
          <w:lang w:eastAsia="zh-CN"/>
        </w:rPr>
        <w:t xml:space="preserve">                 </w:t>
      </w:r>
      <w:r w:rsidRPr="004C7730">
        <w:rPr>
          <w:rFonts w:hint="eastAsia"/>
          <w:szCs w:val="21"/>
          <w:u w:val="single"/>
          <w:lang w:eastAsia="zh-CN"/>
        </w:rPr>
        <w:t xml:space="preserve">        </w:t>
      </w:r>
    </w:p>
    <w:p w:rsidR="001550D1" w:rsidRPr="004C7730" w:rsidRDefault="001550D1" w:rsidP="001550D1">
      <w:pPr>
        <w:pStyle w:val="a7"/>
        <w:spacing w:line="360" w:lineRule="auto"/>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p>
    <w:p w:rsidR="001550D1" w:rsidRPr="004C7730" w:rsidRDefault="001550D1" w:rsidP="001550D1">
      <w:pPr>
        <w:pStyle w:val="aa"/>
        <w:spacing w:line="360" w:lineRule="auto"/>
        <w:ind w:left="360" w:firstLine="0"/>
        <w:rPr>
          <w:szCs w:val="21"/>
          <w:lang w:eastAsia="zh-CN"/>
        </w:rPr>
      </w:pPr>
      <w:r w:rsidRPr="004C7730">
        <w:rPr>
          <w:rFonts w:hint="eastAsia"/>
          <w:szCs w:val="21"/>
          <w:lang w:eastAsia="zh-CN"/>
        </w:rPr>
        <w:t xml:space="preserve"> 4、技术服务及咨询质量要求：</w:t>
      </w:r>
      <w:r w:rsidRPr="001266CE">
        <w:rPr>
          <w:rFonts w:hint="eastAsia"/>
          <w:szCs w:val="21"/>
          <w:u w:val="single"/>
          <w:lang w:eastAsia="zh-CN"/>
        </w:rPr>
        <w:t xml:space="preserve">  </w:t>
      </w:r>
      <w:r>
        <w:rPr>
          <w:rFonts w:hint="eastAsia"/>
          <w:szCs w:val="21"/>
          <w:u w:val="single"/>
          <w:lang w:eastAsia="zh-CN"/>
        </w:rPr>
        <w:t>按合同约定完成相应工作并出具相应报告经甲方验收合格。</w:t>
      </w:r>
      <w:r w:rsidRPr="001266CE">
        <w:rPr>
          <w:rFonts w:hint="eastAsia"/>
          <w:szCs w:val="21"/>
          <w:u w:val="single"/>
          <w:lang w:eastAsia="zh-CN"/>
        </w:rPr>
        <w:t xml:space="preserve">   </w:t>
      </w:r>
      <w:r w:rsidRPr="004C7730">
        <w:rPr>
          <w:rFonts w:hint="eastAsia"/>
          <w:szCs w:val="21"/>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5、技术服务及咨询质量期限要求：</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1550D1" w:rsidRPr="004C7730" w:rsidRDefault="001550D1" w:rsidP="001550D1">
      <w:pPr>
        <w:pStyle w:val="a7"/>
        <w:spacing w:line="360" w:lineRule="auto"/>
        <w:ind w:leftChars="200" w:left="2090" w:hangingChars="750" w:hanging="1650"/>
        <w:rPr>
          <w:rFonts w:hAnsi="宋体"/>
          <w:lang w:eastAsia="zh-CN"/>
        </w:rPr>
      </w:pPr>
      <w:r w:rsidRPr="004C7730">
        <w:rPr>
          <w:rFonts w:hAnsi="宋体" w:hint="eastAsia"/>
          <w:lang w:eastAsia="zh-CN"/>
        </w:rPr>
        <w:lastRenderedPageBreak/>
        <w:t>提供技术资料：</w:t>
      </w:r>
      <w:r w:rsidRPr="004C7730">
        <w:rPr>
          <w:rFonts w:hAnsi="宋体" w:hint="eastAsia"/>
          <w:u w:val="single"/>
          <w:lang w:eastAsia="zh-CN"/>
        </w:rPr>
        <w:t xml:space="preserve">       </w:t>
      </w:r>
      <w:r w:rsidRPr="00D96EEF">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r w:rsidRPr="004C7730">
        <w:rPr>
          <w:rFonts w:hAnsi="宋体" w:hint="eastAsia"/>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r>
        <w:rPr>
          <w:rFonts w:hAnsi="宋体" w:hint="eastAsia"/>
          <w:u w:val="single"/>
          <w:lang w:eastAsia="zh-CN"/>
        </w:rPr>
        <w:t>/</w:t>
      </w:r>
      <w:r w:rsidRPr="004C7730">
        <w:rPr>
          <w:rFonts w:hAnsi="宋体" w:hint="eastAsia"/>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第四条 甲方向乙方支付技术服务及咨询报酬及支付方式为：</w:t>
      </w:r>
    </w:p>
    <w:p w:rsidR="001550D1" w:rsidRDefault="001550D1" w:rsidP="001550D1">
      <w:pPr>
        <w:pStyle w:val="a7"/>
        <w:spacing w:line="360" w:lineRule="auto"/>
        <w:ind w:firstLineChars="200" w:firstLine="440"/>
        <w:rPr>
          <w:rFonts w:hAnsi="宋体"/>
          <w:lang w:eastAsia="zh-CN"/>
        </w:rPr>
      </w:pPr>
      <w:r w:rsidRPr="004C7730">
        <w:rPr>
          <w:rFonts w:hAnsi="宋体" w:hint="eastAsia"/>
          <w:lang w:eastAsia="zh-CN"/>
        </w:rPr>
        <w:t>1. 技术服务及咨询报酬</w:t>
      </w:r>
      <w:r>
        <w:rPr>
          <w:rFonts w:hAnsi="宋体" w:hint="eastAsia"/>
          <w:lang w:eastAsia="zh-CN"/>
        </w:rPr>
        <w:t>含税包干总价</w:t>
      </w:r>
      <w:r w:rsidRPr="004C7730">
        <w:rPr>
          <w:rFonts w:hAnsi="宋体" w:hint="eastAsia"/>
          <w:lang w:eastAsia="zh-CN"/>
        </w:rPr>
        <w:t>为：</w:t>
      </w:r>
      <w:r w:rsidRPr="004C7730">
        <w:rPr>
          <w:rFonts w:hAnsi="宋体"/>
          <w:lang w:eastAsia="zh-CN"/>
        </w:rPr>
        <w:t>人民币</w:t>
      </w:r>
      <w:r>
        <w:rPr>
          <w:rFonts w:hAnsi="宋体"/>
          <w:u w:val="single"/>
          <w:shd w:val="clear" w:color="auto" w:fill="F8F8F8"/>
          <w:lang w:eastAsia="zh-CN"/>
        </w:rPr>
        <w:t xml:space="preserve">        </w:t>
      </w:r>
      <w:r w:rsidRPr="004C7730">
        <w:rPr>
          <w:rFonts w:hAnsi="宋体" w:hint="eastAsia"/>
          <w:lang w:eastAsia="zh-CN"/>
        </w:rPr>
        <w:t>（含</w:t>
      </w:r>
      <w:r w:rsidRPr="001C1A80">
        <w:rPr>
          <w:rFonts w:hAnsi="宋体" w:hint="eastAsia"/>
          <w:u w:val="single"/>
          <w:lang w:eastAsia="zh-CN"/>
        </w:rPr>
        <w:t xml:space="preserve"> </w:t>
      </w:r>
      <w:r>
        <w:rPr>
          <w:rFonts w:hAnsi="宋体"/>
          <w:u w:val="single"/>
          <w:lang w:eastAsia="zh-CN"/>
        </w:rPr>
        <w:t xml:space="preserve">   </w:t>
      </w:r>
      <w:r w:rsidRPr="001C1A80">
        <w:rPr>
          <w:rFonts w:hAnsi="宋体" w:hint="eastAsia"/>
          <w:u w:val="single"/>
          <w:lang w:eastAsia="zh-CN"/>
        </w:rPr>
        <w:t xml:space="preserve">  </w:t>
      </w:r>
      <w:r w:rsidRPr="004C7730">
        <w:rPr>
          <w:rFonts w:hAnsi="宋体" w:hint="eastAsia"/>
          <w:lang w:eastAsia="zh-CN"/>
        </w:rPr>
        <w:t>增值税专用发票）。</w:t>
      </w:r>
    </w:p>
    <w:p w:rsidR="001550D1" w:rsidRPr="00213A02" w:rsidRDefault="001550D1" w:rsidP="001550D1">
      <w:pPr>
        <w:pStyle w:val="10"/>
        <w:spacing w:line="360" w:lineRule="auto"/>
        <w:ind w:firstLineChars="300" w:firstLine="660"/>
        <w:rPr>
          <w:rFonts w:hAnsi="宋体" w:cs="Courier New"/>
          <w:sz w:val="22"/>
          <w:szCs w:val="21"/>
        </w:rPr>
      </w:pPr>
      <w:r w:rsidRPr="00213A02">
        <w:rPr>
          <w:rFonts w:hAnsi="宋体" w:cs="Courier New"/>
          <w:sz w:val="22"/>
          <w:szCs w:val="21"/>
        </w:rPr>
        <w:t>其中两家公司分别费用比例如下：</w:t>
      </w:r>
    </w:p>
    <w:p w:rsidR="001550D1" w:rsidRPr="00213A02" w:rsidRDefault="001550D1" w:rsidP="001550D1">
      <w:pPr>
        <w:pStyle w:val="10"/>
        <w:spacing w:line="360" w:lineRule="auto"/>
        <w:ind w:firstLineChars="300" w:firstLine="660"/>
        <w:rPr>
          <w:rFonts w:hAnsi="宋体" w:cs="Courier New"/>
          <w:sz w:val="22"/>
          <w:szCs w:val="21"/>
        </w:rPr>
      </w:pPr>
      <w:r w:rsidRPr="00213A02">
        <w:rPr>
          <w:rFonts w:hAnsi="宋体" w:cs="Courier New" w:hint="eastAsia"/>
          <w:sz w:val="22"/>
          <w:szCs w:val="21"/>
        </w:rPr>
        <w:t>福建福化古雷石油化工有限公司：</w:t>
      </w:r>
      <w:r>
        <w:rPr>
          <w:rFonts w:hAnsi="宋体" w:cs="Courier New"/>
          <w:sz w:val="22"/>
          <w:szCs w:val="21"/>
          <w:u w:val="single"/>
        </w:rPr>
        <w:t xml:space="preserve">         </w:t>
      </w:r>
      <w:r w:rsidRPr="00213A02">
        <w:rPr>
          <w:rFonts w:hAnsi="宋体" w:cs="Courier New" w:hint="eastAsia"/>
          <w:sz w:val="22"/>
          <w:szCs w:val="21"/>
        </w:rPr>
        <w:t xml:space="preserve"> </w:t>
      </w:r>
      <w:r w:rsidRPr="00213A02">
        <w:rPr>
          <w:rFonts w:hAnsi="宋体" w:cs="Courier New"/>
          <w:sz w:val="22"/>
          <w:szCs w:val="21"/>
        </w:rPr>
        <w:t xml:space="preserve">                                                                </w:t>
      </w:r>
    </w:p>
    <w:p w:rsidR="001550D1" w:rsidRPr="00213A02" w:rsidRDefault="001550D1" w:rsidP="001550D1">
      <w:pPr>
        <w:pStyle w:val="10"/>
        <w:spacing w:line="360" w:lineRule="auto"/>
        <w:ind w:firstLineChars="300" w:firstLine="660"/>
        <w:rPr>
          <w:rFonts w:hAnsi="宋体" w:cs="Courier New"/>
          <w:sz w:val="22"/>
          <w:szCs w:val="21"/>
        </w:rPr>
      </w:pPr>
      <w:r w:rsidRPr="00213A02">
        <w:rPr>
          <w:rFonts w:hAnsi="宋体" w:cs="Courier New" w:hint="eastAsia"/>
          <w:sz w:val="22"/>
          <w:szCs w:val="21"/>
        </w:rPr>
        <w:t>翔鹭石化（漳州）有限公司：</w:t>
      </w:r>
      <w:r w:rsidRPr="00213A02">
        <w:rPr>
          <w:rFonts w:hAnsi="宋体" w:cs="Courier New" w:hint="eastAsia"/>
          <w:sz w:val="22"/>
          <w:szCs w:val="21"/>
          <w:u w:val="single"/>
        </w:rPr>
        <w:t xml:space="preserve"> </w:t>
      </w:r>
      <w:r w:rsidRPr="00213A02">
        <w:rPr>
          <w:rFonts w:hAnsi="宋体" w:cs="Courier New"/>
          <w:sz w:val="22"/>
          <w:szCs w:val="21"/>
          <w:u w:val="single"/>
        </w:rPr>
        <w:t xml:space="preserve">            </w:t>
      </w:r>
      <w:r w:rsidRPr="00213A02">
        <w:rPr>
          <w:rFonts w:hAnsi="宋体" w:cs="Courier New" w:hint="eastAsia"/>
          <w:sz w:val="22"/>
          <w:szCs w:val="21"/>
          <w:u w:val="single"/>
        </w:rPr>
        <w:t xml:space="preserve"> </w:t>
      </w:r>
      <w:r w:rsidRPr="00213A02">
        <w:rPr>
          <w:rFonts w:hAnsi="宋体" w:cs="Courier New"/>
          <w:sz w:val="22"/>
          <w:szCs w:val="21"/>
        </w:rPr>
        <w:t xml:space="preserve">                                                                         </w:t>
      </w:r>
    </w:p>
    <w:p w:rsidR="001550D1" w:rsidRDefault="001550D1" w:rsidP="001550D1">
      <w:pPr>
        <w:pStyle w:val="a7"/>
        <w:spacing w:line="360" w:lineRule="auto"/>
        <w:rPr>
          <w:rFonts w:hAnsi="宋体"/>
          <w:lang w:eastAsia="zh-CN"/>
        </w:rPr>
      </w:pPr>
      <w:r>
        <w:rPr>
          <w:rFonts w:ascii="Calibri" w:hint="eastAsia"/>
          <w:lang w:eastAsia="zh-CN"/>
        </w:rPr>
        <w:t>以上价格为含税包干总价，除非双方另有约定外，否则甲方不再另行支付任何费用。</w:t>
      </w:r>
    </w:p>
    <w:p w:rsidR="001550D1" w:rsidRPr="004C7730" w:rsidRDefault="001550D1" w:rsidP="001550D1">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 xml:space="preserve">    具体支付方式和时间分配如下：</w:t>
      </w:r>
    </w:p>
    <w:p w:rsidR="001550D1" w:rsidRPr="004C7730" w:rsidRDefault="001550D1" w:rsidP="001550D1">
      <w:pPr>
        <w:pStyle w:val="a7"/>
        <w:spacing w:line="360" w:lineRule="auto"/>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乙方按合同约定完成所有相关工作并出分别出具相关报告，甲方收到报告并验收合格后乙方开具合同总价增值税专用发票，甲方收到全额增值税专用发票原件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 xml:space="preserve">30   </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合同总价费用的</w:t>
      </w:r>
      <w:r w:rsidRPr="004C7730">
        <w:rPr>
          <w:rFonts w:hAnsi="宋体" w:hint="eastAsia"/>
          <w:u w:val="single"/>
          <w:lang w:eastAsia="zh-CN"/>
        </w:rPr>
        <w:t xml:space="preserve">  </w:t>
      </w:r>
      <w:r>
        <w:rPr>
          <w:rFonts w:hAnsi="宋体" w:hint="eastAsia"/>
          <w:u w:val="single"/>
          <w:lang w:eastAsia="zh-CN"/>
        </w:rPr>
        <w:t>100</w:t>
      </w:r>
      <w:r w:rsidRPr="004C7730">
        <w:rPr>
          <w:rFonts w:hAnsi="宋体" w:hint="eastAsia"/>
          <w:lang w:eastAsia="zh-CN"/>
        </w:rPr>
        <w:t>%。</w:t>
      </w:r>
    </w:p>
    <w:p w:rsidR="001550D1" w:rsidRPr="00EB30A6" w:rsidRDefault="001550D1" w:rsidP="001550D1">
      <w:pPr>
        <w:pStyle w:val="a7"/>
        <w:spacing w:line="360" w:lineRule="auto"/>
        <w:rPr>
          <w:rFonts w:hAnsi="宋体"/>
          <w:b/>
          <w:lang w:eastAsia="zh-CN"/>
        </w:rPr>
      </w:pPr>
      <w:r w:rsidRPr="004C7730">
        <w:rPr>
          <w:rFonts w:hAnsi="宋体"/>
          <w:lang w:eastAsia="zh-CN"/>
        </w:rPr>
        <w:t xml:space="preserve">   </w:t>
      </w:r>
      <w:r w:rsidRPr="004C7730">
        <w:rPr>
          <w:rFonts w:hAnsi="宋体" w:hint="eastAsia"/>
          <w:lang w:eastAsia="zh-CN"/>
        </w:rPr>
        <w:t>（</w:t>
      </w:r>
      <w:r>
        <w:rPr>
          <w:rFonts w:hAnsi="宋体" w:hint="eastAsia"/>
          <w:lang w:eastAsia="zh-CN"/>
        </w:rPr>
        <w:t>2</w:t>
      </w:r>
      <w:r w:rsidRPr="004C7730">
        <w:rPr>
          <w:rFonts w:hAnsi="宋体" w:hint="eastAsia"/>
          <w:lang w:eastAsia="zh-CN"/>
        </w:rPr>
        <w:t>）乙方应在甲方付款期限届满</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lang w:eastAsia="zh-CN"/>
        </w:rPr>
        <w:t>日前提供相应付款金额的增值税专用发票</w:t>
      </w:r>
      <w:r>
        <w:rPr>
          <w:rFonts w:hAnsi="宋体" w:hint="eastAsia"/>
          <w:lang w:eastAsia="zh-CN"/>
        </w:rPr>
        <w:t>原件</w:t>
      </w:r>
      <w:r w:rsidRPr="004C7730">
        <w:rPr>
          <w:rFonts w:hAnsi="宋体" w:hint="eastAsia"/>
          <w:lang w:eastAsia="zh-CN"/>
        </w:rPr>
        <w:t>，否则甲方有权顺延付款。</w:t>
      </w:r>
      <w:r w:rsidRPr="00EB30A6">
        <w:rPr>
          <w:rFonts w:hAnsi="宋体" w:hint="eastAsia"/>
          <w:b/>
          <w:lang w:eastAsia="zh-CN"/>
        </w:rPr>
        <w:t>开具发票时，需按甲方公司抬头分成两部分开具，具体发票金额根据甲方书面通知开具。</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第五条 双方确定因履行本合同应遵守的保密义务如下：</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甲方：</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 xml:space="preserve">2.涉密人员范围：甲方及甲方工作人员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 xml:space="preserve">3.泄密责任：  按本合同约定及国家有关保密法的规定执行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乙方：</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 xml:space="preserve">2.涉密人员范围：乙方及乙方工作人员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4C7730">
        <w:rPr>
          <w:rFonts w:hAnsi="宋体"/>
          <w:u w:val="single"/>
          <w:lang w:eastAsia="zh-CN"/>
        </w:rPr>
        <w:t xml:space="preserve"> </w:t>
      </w:r>
      <w:r w:rsidRPr="00213A02">
        <w:rPr>
          <w:rFonts w:hAnsi="宋体" w:hint="eastAsia"/>
          <w:u w:val="single"/>
          <w:lang w:eastAsia="zh-CN"/>
        </w:rPr>
        <w:t>分别按两家公司出具验资报告并经甲方验收合格。</w:t>
      </w:r>
      <w:r w:rsidRPr="004C7730">
        <w:rPr>
          <w:rFonts w:hAnsi="宋体"/>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Pr>
          <w:rFonts w:hAnsi="宋体" w:hint="eastAsia"/>
          <w:u w:val="single"/>
          <w:lang w:eastAsia="zh-CN"/>
        </w:rPr>
        <w:t>根据甲方现场验收合格为准。</w:t>
      </w:r>
      <w:r w:rsidRPr="004C7730">
        <w:rPr>
          <w:rFonts w:hAnsi="宋体"/>
          <w:u w:val="single"/>
          <w:lang w:eastAsia="zh-CN"/>
        </w:rPr>
        <w:t xml:space="preserve">                               </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lastRenderedPageBreak/>
        <w:t>3、验收地点：</w:t>
      </w:r>
      <w:r w:rsidRPr="004C7730">
        <w:rPr>
          <w:rFonts w:hAnsi="宋体" w:hint="eastAsia"/>
          <w:u w:val="single"/>
          <w:lang w:eastAsia="zh-CN"/>
        </w:rPr>
        <w:t xml:space="preserve">    </w:t>
      </w:r>
      <w:r>
        <w:rPr>
          <w:rFonts w:hAnsi="宋体" w:hint="eastAsia"/>
          <w:u w:val="single"/>
          <w:lang w:eastAsia="zh-CN"/>
        </w:rPr>
        <w:t>甲方古雷厂区</w:t>
      </w:r>
      <w:r w:rsidRPr="004C7730">
        <w:rPr>
          <w:rFonts w:hAnsi="宋体"/>
          <w:u w:val="single"/>
          <w:lang w:eastAsia="zh-CN"/>
        </w:rPr>
        <w:t xml:space="preserve">                              </w:t>
      </w:r>
    </w:p>
    <w:p w:rsidR="001550D1" w:rsidRPr="004C7730" w:rsidRDefault="001550D1" w:rsidP="001550D1">
      <w:pPr>
        <w:spacing w:line="360" w:lineRule="auto"/>
        <w:ind w:firstLineChars="200" w:firstLine="44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第八条 双方确定，甲方指定</w:t>
      </w:r>
      <w:r w:rsidRPr="00213A02">
        <w:rPr>
          <w:rFonts w:hAnsi="宋体" w:hint="eastAsia"/>
          <w:u w:val="single"/>
          <w:lang w:eastAsia="zh-CN"/>
        </w:rPr>
        <w:t xml:space="preserve">  徐燕星</w:t>
      </w:r>
      <w:r w:rsidRPr="00213A02">
        <w:rPr>
          <w:rFonts w:hAnsi="宋体"/>
          <w:u w:val="single"/>
          <w:lang w:eastAsia="zh-CN"/>
        </w:rPr>
        <w:t>，15880099712，yxxu@fhcpec.com.cn</w:t>
      </w:r>
      <w:r>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Pr>
          <w:rFonts w:hAnsi="宋体"/>
          <w:u w:val="single"/>
          <w:lang w:eastAsia="zh-CN"/>
        </w:rPr>
        <w:t xml:space="preserve">       </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第九条  违约责任</w:t>
      </w:r>
    </w:p>
    <w:p w:rsidR="001550D1" w:rsidRPr="004C7730" w:rsidRDefault="001550D1" w:rsidP="001550D1">
      <w:pPr>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1．乙方逾期</w:t>
      </w:r>
      <w:r>
        <w:rPr>
          <w:rStyle w:val="apple-converted-space"/>
          <w:rFonts w:hint="eastAsia"/>
          <w:color w:val="000000"/>
          <w:lang w:eastAsia="zh-CN"/>
        </w:rPr>
        <w:t>提供出具报告</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sidR="000103D7">
        <w:rPr>
          <w:rFonts w:hint="eastAsia"/>
          <w:szCs w:val="21"/>
          <w:u w:val="single"/>
          <w:lang w:eastAsia="zh-CN"/>
        </w:rPr>
        <w:t>1000</w:t>
      </w:r>
      <w:r w:rsidR="000103D7"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Pr>
          <w:rFonts w:hint="eastAsia"/>
          <w:szCs w:val="21"/>
          <w:u w:val="single"/>
          <w:lang w:eastAsia="zh-CN"/>
        </w:rPr>
        <w:t>10</w:t>
      </w:r>
      <w:r w:rsidRPr="004C7730">
        <w:rPr>
          <w:rFonts w:hint="eastAsia"/>
          <w:szCs w:val="21"/>
          <w:u w:val="single"/>
          <w:lang w:eastAsia="zh-CN"/>
        </w:rPr>
        <w:t xml:space="preserve">   </w:t>
      </w:r>
      <w:r w:rsidRPr="004C7730">
        <w:rPr>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r w:rsidR="000103D7">
        <w:rPr>
          <w:rStyle w:val="apple-converted-space"/>
          <w:rFonts w:hint="eastAsia"/>
          <w:color w:val="000000"/>
          <w:lang w:eastAsia="zh-CN"/>
        </w:rPr>
        <w:t>，且要求乙方按合同总价20%支付违约金。</w:t>
      </w:r>
      <w:r w:rsidRPr="004C7730">
        <w:rPr>
          <w:rStyle w:val="apple-converted-space"/>
          <w:rFonts w:hint="eastAsia"/>
          <w:color w:val="000000"/>
          <w:lang w:eastAsia="zh-CN"/>
        </w:rPr>
        <w:t>。</w:t>
      </w:r>
    </w:p>
    <w:p w:rsidR="001550D1" w:rsidRPr="004C7730" w:rsidRDefault="001550D1" w:rsidP="001550D1">
      <w:pPr>
        <w:pStyle w:val="a7"/>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2．乙方</w:t>
      </w:r>
      <w:r>
        <w:rPr>
          <w:rStyle w:val="apple-converted-space"/>
          <w:rFonts w:hint="eastAsia"/>
          <w:color w:val="000000"/>
          <w:lang w:eastAsia="zh-CN"/>
        </w:rPr>
        <w:t>提供的校验服务</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1550D1" w:rsidRPr="004C7730" w:rsidRDefault="001550D1" w:rsidP="001550D1">
      <w:pPr>
        <w:pStyle w:val="a7"/>
        <w:spacing w:line="360" w:lineRule="auto"/>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100</w:t>
      </w:r>
      <w:r>
        <w:rPr>
          <w:rFonts w:hAnsi="宋体"/>
          <w:u w:val="single"/>
          <w:lang w:eastAsia="zh-CN"/>
        </w:rPr>
        <w:t>0</w:t>
      </w:r>
      <w:r>
        <w:rPr>
          <w:rFonts w:hAnsi="宋体" w:hint="eastAsia"/>
          <w:u w:val="single"/>
          <w:lang w:eastAsia="zh-CN"/>
        </w:rPr>
        <w:t>00</w:t>
      </w:r>
      <w:r w:rsidRPr="004C7730">
        <w:rPr>
          <w:rFonts w:hAnsi="宋体" w:hint="eastAsia"/>
          <w:u w:val="single"/>
          <w:lang w:eastAsia="zh-CN"/>
        </w:rPr>
        <w:t xml:space="preserve"> </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元；并赔偿由此给对方造成的损失。</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Pr>
          <w:rFonts w:hAnsi="宋体"/>
          <w:u w:val="single"/>
          <w:lang w:eastAsia="zh-CN"/>
        </w:rPr>
        <w:t>/</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2．向甲方所在地人民法院提起诉讼。</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第十一条 其他</w:t>
      </w:r>
    </w:p>
    <w:p w:rsidR="001550D1" w:rsidRPr="004C7730" w:rsidRDefault="001550D1" w:rsidP="001550D1">
      <w:pPr>
        <w:pStyle w:val="a7"/>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50D1" w:rsidRPr="004C7730" w:rsidRDefault="001550D1" w:rsidP="001550D1">
      <w:pPr>
        <w:pStyle w:val="a7"/>
        <w:spacing w:line="360" w:lineRule="auto"/>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1550D1" w:rsidRDefault="001550D1" w:rsidP="001550D1">
      <w:pPr>
        <w:pStyle w:val="a7"/>
        <w:spacing w:line="360" w:lineRule="auto"/>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r>
        <w:rPr>
          <w:rFonts w:hAnsi="宋体" w:hint="eastAsia"/>
          <w:u w:val="single"/>
          <w:lang w:eastAsia="zh-CN"/>
        </w:rPr>
        <w:t>伍</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1550D1" w:rsidRDefault="001550D1" w:rsidP="001550D1">
      <w:pPr>
        <w:pStyle w:val="a7"/>
        <w:spacing w:line="360" w:lineRule="auto"/>
        <w:ind w:firstLineChars="200" w:firstLine="440"/>
        <w:rPr>
          <w:rFonts w:hAnsi="宋体"/>
          <w:lang w:eastAsia="zh-CN"/>
        </w:rPr>
      </w:pPr>
    </w:p>
    <w:p w:rsidR="001550D1" w:rsidRDefault="001550D1" w:rsidP="001550D1">
      <w:pPr>
        <w:pStyle w:val="a7"/>
        <w:spacing w:line="360" w:lineRule="auto"/>
        <w:ind w:firstLineChars="200" w:firstLine="440"/>
        <w:rPr>
          <w:rFonts w:hAnsi="宋体"/>
          <w:lang w:eastAsia="zh-CN"/>
        </w:rPr>
      </w:pPr>
    </w:p>
    <w:p w:rsidR="001550D1" w:rsidRDefault="001550D1" w:rsidP="001550D1">
      <w:pPr>
        <w:pStyle w:val="a7"/>
        <w:spacing w:line="360" w:lineRule="auto"/>
        <w:ind w:firstLineChars="200" w:firstLine="440"/>
        <w:rPr>
          <w:rFonts w:hAnsi="宋体"/>
          <w:lang w:eastAsia="zh-CN"/>
        </w:rPr>
      </w:pPr>
    </w:p>
    <w:p w:rsidR="001550D1" w:rsidRPr="000F23A3" w:rsidRDefault="001550D1" w:rsidP="001550D1">
      <w:pPr>
        <w:pStyle w:val="a7"/>
        <w:spacing w:line="360" w:lineRule="auto"/>
        <w:ind w:firstLineChars="200" w:firstLine="440"/>
        <w:rPr>
          <w:rFonts w:hAnsi="宋体"/>
          <w:lang w:eastAsia="zh-CN"/>
        </w:rPr>
      </w:pPr>
    </w:p>
    <w:p w:rsidR="001550D1" w:rsidRDefault="001550D1" w:rsidP="001550D1">
      <w:pPr>
        <w:pStyle w:val="a7"/>
        <w:spacing w:line="360" w:lineRule="auto"/>
        <w:ind w:firstLineChars="200" w:firstLine="440"/>
        <w:rPr>
          <w:rFonts w:hAnsi="宋体"/>
          <w:lang w:eastAsia="zh-CN"/>
        </w:rPr>
      </w:pPr>
    </w:p>
    <w:p w:rsidR="001550D1" w:rsidRDefault="001550D1" w:rsidP="001550D1">
      <w:pPr>
        <w:spacing w:line="360" w:lineRule="auto"/>
        <w:rPr>
          <w:lang w:eastAsia="zh-CN"/>
        </w:rPr>
      </w:pPr>
      <w:r>
        <w:rPr>
          <w:lang w:eastAsia="zh-CN"/>
        </w:rPr>
        <w:t>以下无正文，为合同盖章页。</w:t>
      </w:r>
    </w:p>
    <w:p w:rsidR="001550D1" w:rsidRPr="00892D6A" w:rsidRDefault="001550D1" w:rsidP="001550D1">
      <w:pPr>
        <w:pStyle w:val="10"/>
        <w:spacing w:line="360" w:lineRule="auto"/>
      </w:pPr>
    </w:p>
    <w:tbl>
      <w:tblPr>
        <w:tblW w:w="9781" w:type="dxa"/>
        <w:jc w:val="center"/>
        <w:tblLook w:val="04A0" w:firstRow="1" w:lastRow="0" w:firstColumn="1" w:lastColumn="0" w:noHBand="0" w:noVBand="1"/>
      </w:tblPr>
      <w:tblGrid>
        <w:gridCol w:w="4606"/>
        <w:gridCol w:w="5175"/>
      </w:tblGrid>
      <w:tr w:rsidR="001550D1" w:rsidTr="00213A02">
        <w:trPr>
          <w:jc w:val="center"/>
        </w:trPr>
        <w:tc>
          <w:tcPr>
            <w:tcW w:w="4606" w:type="dxa"/>
            <w:shd w:val="clear" w:color="auto" w:fill="auto"/>
            <w:vAlign w:val="center"/>
          </w:tcPr>
          <w:p w:rsidR="001550D1" w:rsidRPr="00B92F00" w:rsidRDefault="001550D1" w:rsidP="00213A02">
            <w:pPr>
              <w:spacing w:line="360" w:lineRule="auto"/>
              <w:rPr>
                <w:lang w:eastAsia="zh-CN"/>
              </w:rPr>
            </w:pPr>
            <w:r w:rsidRPr="00B92F00">
              <w:rPr>
                <w:rFonts w:hint="eastAsia"/>
                <w:lang w:eastAsia="zh-CN"/>
              </w:rPr>
              <w:t>甲方：</w:t>
            </w:r>
            <w:r w:rsidRPr="00213A02">
              <w:rPr>
                <w:rFonts w:hint="eastAsia"/>
                <w:lang w:eastAsia="zh-CN"/>
              </w:rPr>
              <w:t>福建福化古雷石油化工有限公司</w:t>
            </w:r>
          </w:p>
        </w:tc>
        <w:tc>
          <w:tcPr>
            <w:tcW w:w="5175" w:type="dxa"/>
            <w:shd w:val="clear" w:color="auto" w:fill="auto"/>
            <w:vAlign w:val="center"/>
          </w:tcPr>
          <w:p w:rsidR="001550D1" w:rsidRPr="00A44366" w:rsidRDefault="001550D1" w:rsidP="000103D7">
            <w:pPr>
              <w:adjustRightInd w:val="0"/>
              <w:snapToGrid w:val="0"/>
              <w:spacing w:beforeLines="25" w:before="78" w:afterLines="25" w:after="78" w:line="360" w:lineRule="auto"/>
              <w:rPr>
                <w:lang w:eastAsia="zh-CN"/>
              </w:rPr>
            </w:pPr>
            <w:r w:rsidRPr="00A44366">
              <w:rPr>
                <w:rFonts w:hint="eastAsia"/>
                <w:lang w:eastAsia="zh-CN"/>
              </w:rPr>
              <w:t>乙方：</w:t>
            </w:r>
            <w:r>
              <w:rPr>
                <w:rFonts w:asciiTheme="minorEastAsia" w:eastAsiaTheme="minorEastAsia" w:hAnsiTheme="minorEastAsia" w:cs="Helvetica" w:hint="eastAsia"/>
                <w:lang w:eastAsia="zh-CN"/>
              </w:rPr>
              <w:t xml:space="preserve"> </w:t>
            </w:r>
          </w:p>
        </w:tc>
      </w:tr>
      <w:tr w:rsidR="001550D1" w:rsidRPr="00A44366" w:rsidTr="00213A02">
        <w:trPr>
          <w:jc w:val="center"/>
        </w:trPr>
        <w:tc>
          <w:tcPr>
            <w:tcW w:w="4606" w:type="dxa"/>
            <w:shd w:val="clear" w:color="auto" w:fill="auto"/>
            <w:vAlign w:val="center"/>
          </w:tcPr>
          <w:p w:rsidR="001550D1" w:rsidRPr="00B92F00" w:rsidRDefault="001550D1" w:rsidP="00213A02">
            <w:pPr>
              <w:spacing w:line="360" w:lineRule="auto"/>
              <w:rPr>
                <w:lang w:eastAsia="zh-CN"/>
              </w:rPr>
            </w:pPr>
            <w:r w:rsidRPr="00B92F00">
              <w:rPr>
                <w:rFonts w:hint="eastAsia"/>
                <w:lang w:eastAsia="zh-CN"/>
              </w:rPr>
              <w:t>开户银行：</w:t>
            </w:r>
            <w:r w:rsidRPr="00213A02">
              <w:rPr>
                <w:lang w:eastAsia="zh-CN"/>
              </w:rPr>
              <w:t>兴业银行漳州古雷支行</w:t>
            </w:r>
          </w:p>
        </w:tc>
        <w:tc>
          <w:tcPr>
            <w:tcW w:w="5175" w:type="dxa"/>
            <w:shd w:val="clear" w:color="auto" w:fill="auto"/>
            <w:vAlign w:val="bottom"/>
          </w:tcPr>
          <w:p w:rsidR="001550D1" w:rsidRPr="00892D6A" w:rsidRDefault="001550D1" w:rsidP="00213A02">
            <w:pPr>
              <w:spacing w:line="360" w:lineRule="auto"/>
              <w:rPr>
                <w:lang w:eastAsia="zh-CN"/>
              </w:rPr>
            </w:pPr>
            <w:r w:rsidRPr="00892D6A">
              <w:rPr>
                <w:rFonts w:hint="eastAsia"/>
                <w:lang w:eastAsia="zh-CN"/>
              </w:rPr>
              <w:t>开户银行：</w:t>
            </w:r>
            <w:r>
              <w:rPr>
                <w:rFonts w:hint="eastAsia"/>
                <w:szCs w:val="24"/>
                <w:lang w:eastAsia="zh-CN"/>
              </w:rPr>
              <w:t xml:space="preserve"> </w:t>
            </w:r>
          </w:p>
        </w:tc>
      </w:tr>
      <w:tr w:rsidR="001550D1" w:rsidRPr="00A44366" w:rsidTr="00213A02">
        <w:trPr>
          <w:jc w:val="center"/>
        </w:trPr>
        <w:tc>
          <w:tcPr>
            <w:tcW w:w="4606" w:type="dxa"/>
            <w:shd w:val="clear" w:color="auto" w:fill="auto"/>
            <w:vAlign w:val="center"/>
          </w:tcPr>
          <w:p w:rsidR="001550D1" w:rsidRPr="00B92F00" w:rsidRDefault="001550D1" w:rsidP="00213A02">
            <w:pPr>
              <w:spacing w:line="360" w:lineRule="auto"/>
              <w:rPr>
                <w:lang w:eastAsia="zh-CN"/>
              </w:rPr>
            </w:pPr>
            <w:r w:rsidRPr="00B92F00">
              <w:rPr>
                <w:rFonts w:hint="eastAsia"/>
                <w:lang w:eastAsia="zh-CN"/>
              </w:rPr>
              <w:t>账号：</w:t>
            </w:r>
            <w:r w:rsidRPr="00213A02">
              <w:rPr>
                <w:rFonts w:hint="eastAsia"/>
                <w:lang w:eastAsia="zh-CN"/>
              </w:rPr>
              <w:t>1</w:t>
            </w:r>
            <w:r w:rsidRPr="00213A02">
              <w:rPr>
                <w:lang w:eastAsia="zh-CN"/>
              </w:rPr>
              <w:t>62070100100015218</w:t>
            </w:r>
          </w:p>
        </w:tc>
        <w:tc>
          <w:tcPr>
            <w:tcW w:w="5175" w:type="dxa"/>
            <w:shd w:val="clear" w:color="auto" w:fill="auto"/>
            <w:vAlign w:val="bottom"/>
          </w:tcPr>
          <w:p w:rsidR="001550D1" w:rsidRPr="00892D6A" w:rsidRDefault="001550D1" w:rsidP="00213A02">
            <w:pPr>
              <w:spacing w:line="360" w:lineRule="auto"/>
            </w:pPr>
            <w:r w:rsidRPr="00892D6A">
              <w:rPr>
                <w:rFonts w:hint="eastAsia"/>
              </w:rPr>
              <w:t>账号：</w:t>
            </w:r>
            <w:r>
              <w:rPr>
                <w:szCs w:val="24"/>
                <w:lang w:eastAsia="zh-CN"/>
              </w:rPr>
              <w:t xml:space="preserve"> </w:t>
            </w:r>
            <w:r w:rsidRPr="000462F0">
              <w:rPr>
                <w:szCs w:val="24"/>
                <w:lang w:eastAsia="zh-CN"/>
              </w:rPr>
              <w:t xml:space="preserve"> </w:t>
            </w:r>
            <w:r w:rsidRPr="00892D6A">
              <w:t xml:space="preserve"> </w:t>
            </w:r>
          </w:p>
        </w:tc>
      </w:tr>
    </w:tbl>
    <w:p w:rsidR="001550D1" w:rsidRDefault="001550D1" w:rsidP="001550D1">
      <w:pPr>
        <w:pStyle w:val="10"/>
        <w:spacing w:line="360" w:lineRule="auto"/>
      </w:pPr>
    </w:p>
    <w:p w:rsidR="001550D1" w:rsidRPr="001150C5" w:rsidRDefault="001550D1" w:rsidP="001550D1">
      <w:pPr>
        <w:pStyle w:val="10"/>
        <w:spacing w:line="360" w:lineRule="auto"/>
      </w:pPr>
    </w:p>
    <w:tbl>
      <w:tblPr>
        <w:tblW w:w="9781" w:type="dxa"/>
        <w:jc w:val="center"/>
        <w:tblLook w:val="04A0" w:firstRow="1" w:lastRow="0" w:firstColumn="1" w:lastColumn="0" w:noHBand="0" w:noVBand="1"/>
      </w:tblPr>
      <w:tblGrid>
        <w:gridCol w:w="9781"/>
      </w:tblGrid>
      <w:tr w:rsidR="001550D1" w:rsidTr="00213A02">
        <w:trPr>
          <w:jc w:val="center"/>
        </w:trPr>
        <w:tc>
          <w:tcPr>
            <w:tcW w:w="9781" w:type="dxa"/>
            <w:shd w:val="clear" w:color="auto" w:fill="auto"/>
            <w:vAlign w:val="center"/>
          </w:tcPr>
          <w:p w:rsidR="001550D1" w:rsidRDefault="001550D1" w:rsidP="00213A02">
            <w:pPr>
              <w:spacing w:line="360" w:lineRule="auto"/>
              <w:ind w:firstLineChars="400" w:firstLine="880"/>
              <w:rPr>
                <w:lang w:eastAsia="zh-CN"/>
              </w:rPr>
            </w:pPr>
            <w:r w:rsidRPr="00B92F00">
              <w:rPr>
                <w:rFonts w:hint="eastAsia"/>
                <w:lang w:eastAsia="zh-CN"/>
              </w:rPr>
              <w:t>翔鹭石化（漳州）有限公司</w:t>
            </w:r>
          </w:p>
        </w:tc>
      </w:tr>
      <w:tr w:rsidR="001550D1" w:rsidTr="00213A02">
        <w:trPr>
          <w:jc w:val="center"/>
        </w:trPr>
        <w:tc>
          <w:tcPr>
            <w:tcW w:w="9781" w:type="dxa"/>
            <w:shd w:val="clear" w:color="auto" w:fill="auto"/>
            <w:vAlign w:val="center"/>
          </w:tcPr>
          <w:p w:rsidR="001550D1" w:rsidRDefault="001550D1" w:rsidP="00213A02">
            <w:pPr>
              <w:spacing w:line="360" w:lineRule="auto"/>
              <w:rPr>
                <w:lang w:eastAsia="zh-CN"/>
              </w:rPr>
            </w:pPr>
            <w:r>
              <w:rPr>
                <w:rFonts w:hint="eastAsia"/>
                <w:lang w:eastAsia="zh-CN"/>
              </w:rPr>
              <w:t>开户银行：</w:t>
            </w:r>
            <w:r w:rsidRPr="00041ED0">
              <w:rPr>
                <w:lang w:eastAsia="zh-CN"/>
              </w:rPr>
              <w:t>兴业银行漳州古雷支行</w:t>
            </w:r>
          </w:p>
        </w:tc>
      </w:tr>
      <w:tr w:rsidR="001550D1" w:rsidTr="00213A02">
        <w:trPr>
          <w:jc w:val="center"/>
        </w:trPr>
        <w:tc>
          <w:tcPr>
            <w:tcW w:w="9781" w:type="dxa"/>
            <w:shd w:val="clear" w:color="auto" w:fill="auto"/>
            <w:vAlign w:val="center"/>
          </w:tcPr>
          <w:p w:rsidR="001550D1" w:rsidRDefault="001550D1" w:rsidP="00213A02">
            <w:pPr>
              <w:spacing w:line="360" w:lineRule="auto"/>
            </w:pPr>
            <w:r>
              <w:rPr>
                <w:rFonts w:hint="eastAsia"/>
              </w:rPr>
              <w:t>账号：</w:t>
            </w:r>
            <w:r w:rsidRPr="00041ED0">
              <w:rPr>
                <w:rFonts w:hint="eastAsia"/>
              </w:rPr>
              <w:t>1</w:t>
            </w:r>
            <w:r w:rsidRPr="00041ED0">
              <w:t>62070100100021585</w:t>
            </w:r>
          </w:p>
        </w:tc>
      </w:tr>
    </w:tbl>
    <w:p w:rsidR="001550D1" w:rsidRDefault="001550D1" w:rsidP="001550D1">
      <w:pPr>
        <w:spacing w:line="360" w:lineRule="auto"/>
        <w:jc w:val="center"/>
        <w:rPr>
          <w:sz w:val="28"/>
          <w:u w:val="single"/>
          <w:lang w:eastAsia="zh-CN"/>
        </w:rPr>
      </w:pPr>
    </w:p>
    <w:p w:rsidR="001550D1" w:rsidRDefault="001550D1" w:rsidP="00BF537B">
      <w:pPr>
        <w:pStyle w:val="a6"/>
        <w:rPr>
          <w:lang w:eastAsia="zh-CN"/>
        </w:rPr>
      </w:pPr>
    </w:p>
    <w:p w:rsidR="007725C5" w:rsidRDefault="007725C5">
      <w:pPr>
        <w:pStyle w:val="10"/>
      </w:pPr>
    </w:p>
    <w:p w:rsidR="007725C5" w:rsidRDefault="007725C5">
      <w:pPr>
        <w:widowControl/>
        <w:autoSpaceDE/>
        <w:autoSpaceDN/>
        <w:rPr>
          <w:rFonts w:hAnsi="Calibri" w:cs="Times New Roman"/>
          <w:sz w:val="34"/>
          <w:lang w:eastAsia="zh-CN"/>
        </w:rPr>
      </w:pPr>
      <w:r>
        <w:rPr>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B82AF4" w:rsidP="002009DB">
      <w:pPr>
        <w:jc w:val="center"/>
        <w:rPr>
          <w:rFonts w:ascii="方正小标宋简体" w:eastAsia="方正小标宋简体" w:hAnsi="方正小标宋简体" w:cs="方正小标宋简体"/>
          <w:b/>
          <w:sz w:val="44"/>
          <w:szCs w:val="44"/>
          <w:lang w:eastAsia="zh-CN"/>
        </w:rPr>
      </w:pPr>
      <w:r w:rsidRPr="00B82AF4">
        <w:rPr>
          <w:rFonts w:ascii="方正小标宋简体" w:eastAsia="方正小标宋简体" w:hAnsi="方正小标宋简体" w:cs="方正小标宋简体" w:hint="eastAsia"/>
          <w:b/>
          <w:sz w:val="44"/>
          <w:szCs w:val="44"/>
          <w:lang w:eastAsia="zh-CN"/>
        </w:rPr>
        <w:t>福化古雷和翔鹭石化验资报告发包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FE18E4"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82AF4" w:rsidRPr="0033277A" w:rsidRDefault="00B82AF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82AF4" w:rsidRPr="0033277A" w:rsidRDefault="00B82AF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82AF4" w:rsidRPr="0033277A" w:rsidRDefault="00B82AF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82AF4" w:rsidRPr="0033277A" w:rsidRDefault="00B82AF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82AF4" w:rsidRPr="0033277A" w:rsidRDefault="00B82AF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82AF4" w:rsidRPr="0033277A" w:rsidRDefault="00B82AF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82AF4" w:rsidRPr="0033277A" w:rsidRDefault="00B82AF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5814ED" w:rsidRPr="009A6FD0" w:rsidTr="00AF1AD1">
        <w:trPr>
          <w:jc w:val="center"/>
        </w:trPr>
        <w:tc>
          <w:tcPr>
            <w:tcW w:w="971" w:type="dxa"/>
          </w:tcPr>
          <w:p w:rsidR="005814ED" w:rsidRPr="009A6FD0" w:rsidRDefault="00202302"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其他相关资料</w:t>
            </w:r>
            <w:r w:rsidR="00EA67A9">
              <w:rPr>
                <w:rFonts w:hint="eastAsia"/>
                <w:lang w:eastAsia="zh-CN"/>
              </w:rPr>
              <w:t>（包含拟派遣作业人员的相关资质证书）</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20230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0230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B82AF4" w:rsidRPr="00B82AF4">
        <w:rPr>
          <w:rFonts w:hint="eastAsia"/>
          <w:b/>
          <w:sz w:val="24"/>
          <w:u w:val="single"/>
          <w:lang w:eastAsia="zh-CN"/>
        </w:rPr>
        <w:t>福化古雷和翔鹭石化验资报告发包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（包含拟派遣作业人员的相关资质证书）</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B82AF4" w:rsidRPr="00B82AF4">
        <w:rPr>
          <w:rFonts w:hint="eastAsia"/>
          <w:sz w:val="24"/>
          <w:u w:val="single"/>
          <w:lang w:eastAsia="zh-CN"/>
        </w:rPr>
        <w:t>福化古雷和翔鹭石化验资报告发包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rsidP="00B24D8F">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B24D8F">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B82AF4" w:rsidRPr="00B82AF4">
        <w:rPr>
          <w:rFonts w:ascii="Times New Roman" w:hAnsi="ˎ̥" w:hint="eastAsia"/>
          <w:sz w:val="28"/>
          <w:szCs w:val="28"/>
          <w:u w:val="single"/>
          <w:lang w:eastAsia="zh-CN"/>
        </w:rPr>
        <w:t>福化古雷和翔鹭石化验资报告发包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B82AF4">
        <w:trPr>
          <w:trHeight w:val="604"/>
        </w:trPr>
        <w:tc>
          <w:tcPr>
            <w:tcW w:w="9499" w:type="dxa"/>
            <w:shd w:val="clear" w:color="auto" w:fill="auto"/>
            <w:noWrap/>
            <w:vAlign w:val="center"/>
            <w:hideMark/>
          </w:tcPr>
          <w:p w:rsidR="002A282A" w:rsidRDefault="002A282A" w:rsidP="00B24D8F">
            <w:pPr>
              <w:widowControl/>
              <w:spacing w:line="360" w:lineRule="auto"/>
              <w:rPr>
                <w:rFonts w:asciiTheme="minorEastAsia" w:eastAsiaTheme="minorEastAsia" w:hAnsiTheme="minorEastAsia"/>
                <w:b/>
                <w:bCs/>
                <w:szCs w:val="21"/>
                <w:lang w:eastAsia="zh-CN"/>
              </w:rPr>
            </w:pPr>
          </w:p>
          <w:p w:rsidR="002A282A" w:rsidRDefault="002A282A" w:rsidP="00B24D8F">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本项目含税包干</w:t>
            </w:r>
            <w:r w:rsidRPr="006E0FCB">
              <w:rPr>
                <w:rFonts w:ascii="Times New Roman" w:hAnsi="Times New Roman" w:hint="eastAsia"/>
                <w:sz w:val="28"/>
                <w:szCs w:val="28"/>
                <w:lang w:eastAsia="zh-CN"/>
              </w:rPr>
              <w:t>固定</w:t>
            </w:r>
            <w:r>
              <w:rPr>
                <w:rFonts w:ascii="Times New Roman" w:hAnsi="Times New Roman" w:hint="eastAsia"/>
                <w:sz w:val="28"/>
                <w:szCs w:val="28"/>
                <w:lang w:eastAsia="zh-CN"/>
              </w:rPr>
              <w:t>总价</w:t>
            </w:r>
            <w:r w:rsidRPr="006E0FCB">
              <w:rPr>
                <w:rFonts w:ascii="Times New Roman" w:hAnsi="Times New Roman" w:hint="eastAsia"/>
                <w:sz w:val="28"/>
                <w:szCs w:val="28"/>
                <w:lang w:eastAsia="zh-CN"/>
              </w:rPr>
              <w:t>：</w:t>
            </w:r>
            <w:r w:rsidRPr="006E0FCB">
              <w:rPr>
                <w:rFonts w:ascii="Times New Roman" w:hAnsi="Times New Roman" w:hint="eastAsia"/>
                <w:sz w:val="28"/>
                <w:szCs w:val="28"/>
                <w:lang w:eastAsia="zh-CN"/>
              </w:rPr>
              <w:t xml:space="preserve"> </w:t>
            </w:r>
            <w:r w:rsidRPr="006E0FCB">
              <w:rPr>
                <w:rFonts w:ascii="Times New Roman" w:hAnsi="Times New Roman" w:hint="eastAsia"/>
                <w:sz w:val="28"/>
                <w:szCs w:val="28"/>
                <w:u w:val="single"/>
                <w:lang w:eastAsia="zh-CN"/>
              </w:rPr>
              <w:t xml:space="preserve">         </w:t>
            </w:r>
            <w:r w:rsidRP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r w:rsidR="00A87FEC">
              <w:rPr>
                <w:rFonts w:ascii="Times New Roman" w:hAnsi="Times New Roman"/>
                <w:sz w:val="28"/>
                <w:szCs w:val="28"/>
                <w:u w:val="single"/>
                <w:lang w:eastAsia="zh-CN"/>
              </w:rPr>
              <w:t xml:space="preserve">   </w:t>
            </w:r>
            <w:r w:rsidRPr="006E0FCB">
              <w:rPr>
                <w:rFonts w:ascii="Times New Roman" w:hAnsi="Times New Roman"/>
                <w:sz w:val="28"/>
                <w:szCs w:val="28"/>
                <w:u w:val="single"/>
                <w:lang w:eastAsia="zh-CN"/>
              </w:rPr>
              <w:t xml:space="preserve">                  </w:t>
            </w:r>
          </w:p>
          <w:p w:rsidR="00A87FEC" w:rsidRPr="00B24D8F" w:rsidRDefault="00A87FEC" w:rsidP="00B24D8F">
            <w:pPr>
              <w:pStyle w:val="10"/>
              <w:spacing w:line="360" w:lineRule="auto"/>
              <w:rPr>
                <w:rFonts w:ascii="Times New Roman" w:hAnsi="Times New Roman" w:cs="宋体"/>
                <w:sz w:val="28"/>
                <w:szCs w:val="28"/>
              </w:rPr>
            </w:pPr>
            <w:r w:rsidRPr="00B24D8F">
              <w:rPr>
                <w:rFonts w:ascii="Times New Roman" w:hAnsi="Times New Roman" w:cs="宋体"/>
                <w:sz w:val="28"/>
                <w:szCs w:val="28"/>
              </w:rPr>
              <w:t>其中两家公司分别费用比例如下：</w:t>
            </w:r>
          </w:p>
          <w:p w:rsidR="00A87FEC" w:rsidRPr="00B24D8F" w:rsidRDefault="00A87FEC" w:rsidP="00B24D8F">
            <w:pPr>
              <w:pStyle w:val="10"/>
              <w:spacing w:line="360" w:lineRule="auto"/>
              <w:rPr>
                <w:rFonts w:ascii="Times New Roman" w:hAnsi="Times New Roman" w:cs="宋体"/>
                <w:sz w:val="28"/>
                <w:szCs w:val="28"/>
                <w:u w:val="single"/>
              </w:rPr>
            </w:pPr>
            <w:r w:rsidRPr="00B24D8F">
              <w:rPr>
                <w:rFonts w:ascii="Times New Roman" w:hAnsi="Times New Roman" w:cs="宋体" w:hint="eastAsia"/>
                <w:sz w:val="28"/>
                <w:szCs w:val="28"/>
              </w:rPr>
              <w:t>福建福化古雷石油化工有限公司：</w:t>
            </w:r>
            <w:r w:rsidRPr="00B24D8F">
              <w:rPr>
                <w:rFonts w:ascii="Times New Roman" w:hAnsi="Times New Roman" w:cs="宋体" w:hint="eastAsia"/>
                <w:sz w:val="28"/>
                <w:szCs w:val="28"/>
                <w:u w:val="single"/>
              </w:rPr>
              <w:t xml:space="preserve"> </w:t>
            </w:r>
            <w:r w:rsidRPr="00B24D8F">
              <w:rPr>
                <w:rFonts w:ascii="Times New Roman" w:hAnsi="Times New Roman" w:cs="宋体"/>
                <w:sz w:val="28"/>
                <w:szCs w:val="28"/>
                <w:u w:val="single"/>
              </w:rPr>
              <w:t xml:space="preserve">           </w:t>
            </w:r>
            <w:r>
              <w:rPr>
                <w:rFonts w:ascii="Times New Roman" w:hAnsi="Times New Roman" w:cs="宋体"/>
                <w:sz w:val="28"/>
                <w:szCs w:val="28"/>
                <w:u w:val="single"/>
              </w:rPr>
              <w:t xml:space="preserve">                                               </w:t>
            </w:r>
            <w:r w:rsidRPr="00B24D8F">
              <w:rPr>
                <w:rFonts w:ascii="Times New Roman" w:hAnsi="Times New Roman" w:cs="宋体"/>
                <w:sz w:val="28"/>
                <w:szCs w:val="28"/>
                <w:u w:val="single"/>
              </w:rPr>
              <w:t xml:space="preserve">      </w:t>
            </w:r>
          </w:p>
          <w:p w:rsidR="00A87FEC" w:rsidRPr="00B24D8F" w:rsidRDefault="00A87FEC" w:rsidP="00B24D8F">
            <w:pPr>
              <w:pStyle w:val="10"/>
              <w:spacing w:line="360" w:lineRule="auto"/>
              <w:rPr>
                <w:rFonts w:ascii="Times New Roman" w:hAnsi="Times New Roman" w:cs="宋体"/>
                <w:sz w:val="28"/>
                <w:szCs w:val="28"/>
              </w:rPr>
            </w:pPr>
            <w:r w:rsidRPr="00B24D8F">
              <w:rPr>
                <w:rFonts w:ascii="Times New Roman" w:hAnsi="Times New Roman" w:cs="宋体" w:hint="eastAsia"/>
                <w:sz w:val="28"/>
                <w:szCs w:val="28"/>
              </w:rPr>
              <w:t>翔鹭石化（漳州）有限公司：</w:t>
            </w:r>
            <w:r w:rsidRPr="00B24D8F">
              <w:rPr>
                <w:rFonts w:ascii="Times New Roman" w:hAnsi="Times New Roman" w:cs="宋体" w:hint="eastAsia"/>
                <w:sz w:val="28"/>
                <w:szCs w:val="28"/>
                <w:u w:val="single"/>
              </w:rPr>
              <w:t xml:space="preserve"> </w:t>
            </w:r>
            <w:r w:rsidRPr="00B24D8F">
              <w:rPr>
                <w:rFonts w:ascii="Times New Roman" w:hAnsi="Times New Roman" w:cs="宋体"/>
                <w:sz w:val="28"/>
                <w:szCs w:val="28"/>
                <w:u w:val="single"/>
              </w:rPr>
              <w:t xml:space="preserve">                    </w:t>
            </w:r>
            <w:r>
              <w:rPr>
                <w:rFonts w:ascii="Times New Roman" w:hAnsi="Times New Roman" w:cs="宋体"/>
                <w:sz w:val="28"/>
                <w:szCs w:val="28"/>
                <w:u w:val="single"/>
              </w:rPr>
              <w:t xml:space="preserve">                                             </w:t>
            </w:r>
            <w:r w:rsidRPr="00B24D8F">
              <w:rPr>
                <w:rFonts w:ascii="Times New Roman" w:hAnsi="Times New Roman" w:cs="宋体"/>
                <w:sz w:val="28"/>
                <w:szCs w:val="28"/>
                <w:u w:val="single"/>
              </w:rPr>
              <w:t xml:space="preserve">        </w:t>
            </w:r>
          </w:p>
          <w:p w:rsidR="002A282A" w:rsidRDefault="002A282A" w:rsidP="00B24D8F">
            <w:pPr>
              <w:pStyle w:val="10"/>
              <w:spacing w:line="360" w:lineRule="auto"/>
              <w:ind w:firstLineChars="400" w:firstLine="1120"/>
              <w:rPr>
                <w:rFonts w:ascii="Times New Roman" w:hAnsi="Times New Roman"/>
                <w:sz w:val="28"/>
                <w:szCs w:val="28"/>
              </w:rPr>
            </w:pPr>
            <w:r w:rsidRPr="00B24D8F">
              <w:rPr>
                <w:rFonts w:ascii="Times New Roman" w:hAnsi="Times New Roman" w:cs="宋体"/>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2A282A" w:rsidRPr="00C526C5" w:rsidRDefault="002A282A" w:rsidP="00B24D8F">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3"/>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E4" w:rsidRDefault="00FE18E4">
      <w:r>
        <w:separator/>
      </w:r>
    </w:p>
  </w:endnote>
  <w:endnote w:type="continuationSeparator" w:id="0">
    <w:p w:rsidR="00FE18E4" w:rsidRDefault="00FE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B82AF4" w:rsidRDefault="00B82AF4">
            <w:pPr>
              <w:pStyle w:val="a8"/>
              <w:jc w:val="center"/>
            </w:pPr>
            <w:r>
              <w:rPr>
                <w:lang w:val="zh-CN" w:eastAsia="zh-CN"/>
              </w:rPr>
              <w:t xml:space="preserve"> </w:t>
            </w:r>
            <w:r w:rsidR="009C783B">
              <w:rPr>
                <w:b/>
                <w:bCs/>
                <w:sz w:val="24"/>
                <w:szCs w:val="24"/>
              </w:rPr>
              <w:fldChar w:fldCharType="begin"/>
            </w:r>
            <w:r>
              <w:rPr>
                <w:b/>
                <w:bCs/>
              </w:rPr>
              <w:instrText>PAGE</w:instrText>
            </w:r>
            <w:r w:rsidR="009C783B">
              <w:rPr>
                <w:b/>
                <w:bCs/>
                <w:sz w:val="24"/>
                <w:szCs w:val="24"/>
              </w:rPr>
              <w:fldChar w:fldCharType="separate"/>
            </w:r>
            <w:r w:rsidR="00155028">
              <w:rPr>
                <w:b/>
                <w:bCs/>
                <w:noProof/>
              </w:rPr>
              <w:t>4</w:t>
            </w:r>
            <w:r w:rsidR="009C783B">
              <w:rPr>
                <w:b/>
                <w:bCs/>
                <w:sz w:val="24"/>
                <w:szCs w:val="24"/>
              </w:rPr>
              <w:fldChar w:fldCharType="end"/>
            </w:r>
            <w:r>
              <w:rPr>
                <w:lang w:val="zh-CN" w:eastAsia="zh-CN"/>
              </w:rPr>
              <w:t xml:space="preserve"> / </w:t>
            </w:r>
            <w:r w:rsidR="009C783B">
              <w:rPr>
                <w:b/>
                <w:bCs/>
                <w:sz w:val="24"/>
                <w:szCs w:val="24"/>
              </w:rPr>
              <w:fldChar w:fldCharType="begin"/>
            </w:r>
            <w:r>
              <w:rPr>
                <w:b/>
                <w:bCs/>
              </w:rPr>
              <w:instrText>NUMPAGES</w:instrText>
            </w:r>
            <w:r w:rsidR="009C783B">
              <w:rPr>
                <w:b/>
                <w:bCs/>
                <w:sz w:val="24"/>
                <w:szCs w:val="24"/>
              </w:rPr>
              <w:fldChar w:fldCharType="separate"/>
            </w:r>
            <w:r w:rsidR="00155028">
              <w:rPr>
                <w:b/>
                <w:bCs/>
                <w:noProof/>
              </w:rPr>
              <w:t>24</w:t>
            </w:r>
            <w:r w:rsidR="009C783B">
              <w:rPr>
                <w:b/>
                <w:bCs/>
                <w:sz w:val="24"/>
                <w:szCs w:val="24"/>
              </w:rPr>
              <w:fldChar w:fldCharType="end"/>
            </w:r>
          </w:p>
        </w:sdtContent>
      </w:sdt>
    </w:sdtContent>
  </w:sdt>
  <w:p w:rsidR="00B82AF4" w:rsidRDefault="00B82AF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E4" w:rsidRDefault="00FE18E4">
      <w:r>
        <w:separator/>
      </w:r>
    </w:p>
  </w:footnote>
  <w:footnote w:type="continuationSeparator" w:id="0">
    <w:p w:rsidR="00FE18E4" w:rsidRDefault="00FE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D84AE41C"/>
    <w:multiLevelType w:val="singleLevel"/>
    <w:tmpl w:val="D84AE41C"/>
    <w:lvl w:ilvl="0">
      <w:start w:val="3"/>
      <w:numFmt w:val="decimal"/>
      <w:suff w:val="nothing"/>
      <w:lvlText w:val="（%1）"/>
      <w:lvlJc w:val="left"/>
    </w:lvl>
  </w:abstractNum>
  <w:abstractNum w:abstractNumId="2">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8235372"/>
    <w:multiLevelType w:val="singleLevel"/>
    <w:tmpl w:val="08235372"/>
    <w:lvl w:ilvl="0">
      <w:start w:val="1"/>
      <w:numFmt w:val="decimal"/>
      <w:suff w:val="nothing"/>
      <w:lvlText w:val="（%1）"/>
      <w:lvlJc w:val="left"/>
    </w:lvl>
  </w:abstractNum>
  <w:abstractNum w:abstractNumId="7">
    <w:nsid w:val="08596400"/>
    <w:multiLevelType w:val="multilevel"/>
    <w:tmpl w:val="08596400"/>
    <w:lvl w:ilvl="0">
      <w:start w:val="1"/>
      <w:numFmt w:val="japaneseCounting"/>
      <w:lvlText w:val="%1、"/>
      <w:lvlJc w:val="left"/>
      <w:pPr>
        <w:tabs>
          <w:tab w:val="num" w:pos="1290"/>
        </w:tabs>
        <w:ind w:left="1290" w:hanging="720"/>
      </w:pPr>
      <w:rPr>
        <w:rFonts w:hint="eastAsia"/>
      </w:rPr>
    </w:lvl>
    <w:lvl w:ilvl="1">
      <w:start w:val="1"/>
      <w:numFmt w:val="decimalEnclosedCircle"/>
      <w:lvlText w:val="%2"/>
      <w:lvlJc w:val="left"/>
      <w:pPr>
        <w:tabs>
          <w:tab w:val="num" w:pos="1410"/>
        </w:tabs>
        <w:ind w:left="1410" w:hanging="42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2">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5DD852C"/>
    <w:multiLevelType w:val="singleLevel"/>
    <w:tmpl w:val="15DD852C"/>
    <w:lvl w:ilvl="0">
      <w:start w:val="1"/>
      <w:numFmt w:val="decimal"/>
      <w:suff w:val="nothing"/>
      <w:lvlText w:val="%1、"/>
      <w:lvlJc w:val="left"/>
    </w:lvl>
  </w:abstractNum>
  <w:abstractNum w:abstractNumId="16">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7">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9">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30374AB"/>
    <w:multiLevelType w:val="multilevel"/>
    <w:tmpl w:val="230374AB"/>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D2A78E5"/>
    <w:multiLevelType w:val="singleLevel"/>
    <w:tmpl w:val="2D2A78E5"/>
    <w:lvl w:ilvl="0">
      <w:start w:val="1"/>
      <w:numFmt w:val="decimal"/>
      <w:lvlText w:val="%1."/>
      <w:lvlJc w:val="left"/>
      <w:pPr>
        <w:tabs>
          <w:tab w:val="num" w:pos="312"/>
        </w:tabs>
      </w:pPr>
    </w:lvl>
  </w:abstractNum>
  <w:abstractNum w:abstractNumId="2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16C6E9D"/>
    <w:multiLevelType w:val="multilevel"/>
    <w:tmpl w:val="516C6E9D"/>
    <w:lvl w:ilvl="0">
      <w:start w:val="1"/>
      <w:numFmt w:val="bullet"/>
      <w:lvlText w:val=""/>
      <w:lvlJc w:val="left"/>
      <w:pPr>
        <w:tabs>
          <w:tab w:val="num" w:pos="420"/>
        </w:tabs>
        <w:ind w:left="420" w:hanging="420"/>
      </w:pPr>
      <w:rPr>
        <w:rFonts w:ascii="Wingdings" w:hAnsi="Wingdings" w:hint="default"/>
      </w:rPr>
    </w:lvl>
    <w:lvl w:ilvl="1">
      <w:start w:val="1"/>
      <w:numFmt w:val="upperLetter"/>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5F6598D"/>
    <w:multiLevelType w:val="singleLevel"/>
    <w:tmpl w:val="55F6598D"/>
    <w:lvl w:ilvl="0">
      <w:start w:val="3"/>
      <w:numFmt w:val="decimal"/>
      <w:suff w:val="nothing"/>
      <w:lvlText w:val="%1、"/>
      <w:lvlJc w:val="left"/>
    </w:lvl>
  </w:abstractNum>
  <w:abstractNum w:abstractNumId="35">
    <w:nsid w:val="568F759D"/>
    <w:multiLevelType w:val="multilevel"/>
    <w:tmpl w:val="568F759D"/>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nsid w:val="5A0A79FF"/>
    <w:multiLevelType w:val="multilevel"/>
    <w:tmpl w:val="5A0A79FF"/>
    <w:lvl w:ilvl="0">
      <w:start w:val="1"/>
      <w:numFmt w:val="lowerLetter"/>
      <w:lvlText w:val="（%1）"/>
      <w:lvlJc w:val="left"/>
      <w:pPr>
        <w:tabs>
          <w:tab w:val="num" w:pos="861"/>
        </w:tabs>
        <w:ind w:left="861" w:hanging="720"/>
      </w:pPr>
      <w:rPr>
        <w:rFonts w:hint="default"/>
      </w:rPr>
    </w:lvl>
    <w:lvl w:ilvl="1">
      <w:start w:val="1"/>
      <w:numFmt w:val="lowerLetter"/>
      <w:lvlText w:val="%2)"/>
      <w:lvlJc w:val="left"/>
      <w:pPr>
        <w:tabs>
          <w:tab w:val="num" w:pos="-839"/>
        </w:tabs>
        <w:ind w:left="-839" w:hanging="420"/>
      </w:pPr>
    </w:lvl>
    <w:lvl w:ilvl="2">
      <w:start w:val="1"/>
      <w:numFmt w:val="lowerRoman"/>
      <w:lvlText w:val="%3."/>
      <w:lvlJc w:val="right"/>
      <w:pPr>
        <w:tabs>
          <w:tab w:val="num" w:pos="-419"/>
        </w:tabs>
        <w:ind w:left="-419" w:hanging="420"/>
      </w:pPr>
    </w:lvl>
    <w:lvl w:ilvl="3">
      <w:start w:val="1"/>
      <w:numFmt w:val="decimal"/>
      <w:lvlText w:val="%4."/>
      <w:lvlJc w:val="left"/>
      <w:pPr>
        <w:tabs>
          <w:tab w:val="num" w:pos="1"/>
        </w:tabs>
        <w:ind w:left="1" w:hanging="420"/>
      </w:pPr>
    </w:lvl>
    <w:lvl w:ilvl="4">
      <w:start w:val="1"/>
      <w:numFmt w:val="lowerLetter"/>
      <w:lvlText w:val="%5)"/>
      <w:lvlJc w:val="left"/>
      <w:pPr>
        <w:tabs>
          <w:tab w:val="num" w:pos="421"/>
        </w:tabs>
        <w:ind w:left="421" w:hanging="420"/>
      </w:pPr>
    </w:lvl>
    <w:lvl w:ilvl="5">
      <w:start w:val="1"/>
      <w:numFmt w:val="lowerRoman"/>
      <w:lvlText w:val="%6."/>
      <w:lvlJc w:val="right"/>
      <w:pPr>
        <w:tabs>
          <w:tab w:val="num" w:pos="841"/>
        </w:tabs>
        <w:ind w:left="841" w:hanging="420"/>
      </w:pPr>
    </w:lvl>
    <w:lvl w:ilvl="6">
      <w:start w:val="1"/>
      <w:numFmt w:val="decimal"/>
      <w:lvlText w:val="%7."/>
      <w:lvlJc w:val="left"/>
      <w:pPr>
        <w:tabs>
          <w:tab w:val="num" w:pos="1261"/>
        </w:tabs>
        <w:ind w:left="1261" w:hanging="420"/>
      </w:pPr>
    </w:lvl>
    <w:lvl w:ilvl="7">
      <w:start w:val="1"/>
      <w:numFmt w:val="lowerLetter"/>
      <w:lvlText w:val="%8)"/>
      <w:lvlJc w:val="left"/>
      <w:pPr>
        <w:tabs>
          <w:tab w:val="num" w:pos="1681"/>
        </w:tabs>
        <w:ind w:left="1681" w:hanging="420"/>
      </w:pPr>
    </w:lvl>
    <w:lvl w:ilvl="8">
      <w:start w:val="1"/>
      <w:numFmt w:val="lowerRoman"/>
      <w:lvlText w:val="%9."/>
      <w:lvlJc w:val="right"/>
      <w:pPr>
        <w:tabs>
          <w:tab w:val="num" w:pos="2101"/>
        </w:tabs>
        <w:ind w:left="2101" w:hanging="420"/>
      </w:p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0">
    <w:nsid w:val="5F278557"/>
    <w:multiLevelType w:val="singleLevel"/>
    <w:tmpl w:val="5F278557"/>
    <w:lvl w:ilvl="0">
      <w:start w:val="1"/>
      <w:numFmt w:val="decimal"/>
      <w:suff w:val="nothing"/>
      <w:lvlText w:val="%1、"/>
      <w:lvlJc w:val="left"/>
    </w:lvl>
  </w:abstractNum>
  <w:abstractNum w:abstractNumId="4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2">
    <w:nsid w:val="604B75E7"/>
    <w:multiLevelType w:val="multilevel"/>
    <w:tmpl w:val="604B75E7"/>
    <w:lvl w:ilvl="0">
      <w:start w:val="1"/>
      <w:numFmt w:val="lowerLetter"/>
      <w:lvlText w:val="（%1）"/>
      <w:lvlJc w:val="left"/>
      <w:pPr>
        <w:tabs>
          <w:tab w:val="num" w:pos="1680"/>
        </w:tabs>
        <w:ind w:left="1680" w:hanging="720"/>
      </w:pPr>
      <w:rPr>
        <w:rFonts w:hint="default"/>
      </w:rPr>
    </w:lvl>
    <w:lvl w:ilvl="1">
      <w:start w:val="1"/>
      <w:numFmt w:val="lowerLetter"/>
      <w:lvlText w:val="%2)"/>
      <w:lvlJc w:val="left"/>
      <w:pPr>
        <w:tabs>
          <w:tab w:val="num" w:pos="-20"/>
        </w:tabs>
        <w:ind w:left="-20" w:hanging="420"/>
      </w:pPr>
    </w:lvl>
    <w:lvl w:ilvl="2">
      <w:start w:val="1"/>
      <w:numFmt w:val="lowerRoman"/>
      <w:lvlText w:val="%3."/>
      <w:lvlJc w:val="right"/>
      <w:pPr>
        <w:tabs>
          <w:tab w:val="num" w:pos="400"/>
        </w:tabs>
        <w:ind w:left="400" w:hanging="420"/>
      </w:pPr>
    </w:lvl>
    <w:lvl w:ilvl="3">
      <w:start w:val="1"/>
      <w:numFmt w:val="decimal"/>
      <w:lvlText w:val="%4."/>
      <w:lvlJc w:val="left"/>
      <w:pPr>
        <w:tabs>
          <w:tab w:val="num" w:pos="820"/>
        </w:tabs>
        <w:ind w:left="820" w:hanging="420"/>
      </w:pPr>
    </w:lvl>
    <w:lvl w:ilvl="4">
      <w:start w:val="1"/>
      <w:numFmt w:val="lowerLetter"/>
      <w:lvlText w:val="%5)"/>
      <w:lvlJc w:val="left"/>
      <w:pPr>
        <w:tabs>
          <w:tab w:val="num" w:pos="1240"/>
        </w:tabs>
        <w:ind w:left="1240" w:hanging="420"/>
      </w:pPr>
    </w:lvl>
    <w:lvl w:ilvl="5">
      <w:start w:val="1"/>
      <w:numFmt w:val="lowerRoman"/>
      <w:lvlText w:val="%6."/>
      <w:lvlJc w:val="right"/>
      <w:pPr>
        <w:tabs>
          <w:tab w:val="num" w:pos="1660"/>
        </w:tabs>
        <w:ind w:left="1660" w:hanging="420"/>
      </w:pPr>
    </w:lvl>
    <w:lvl w:ilvl="6">
      <w:start w:val="1"/>
      <w:numFmt w:val="decimal"/>
      <w:lvlText w:val="%7."/>
      <w:lvlJc w:val="left"/>
      <w:pPr>
        <w:tabs>
          <w:tab w:val="num" w:pos="2080"/>
        </w:tabs>
        <w:ind w:left="2080" w:hanging="420"/>
      </w:pPr>
    </w:lvl>
    <w:lvl w:ilvl="7">
      <w:start w:val="1"/>
      <w:numFmt w:val="lowerLetter"/>
      <w:lvlText w:val="%8)"/>
      <w:lvlJc w:val="left"/>
      <w:pPr>
        <w:tabs>
          <w:tab w:val="num" w:pos="2500"/>
        </w:tabs>
        <w:ind w:left="2500" w:hanging="420"/>
      </w:pPr>
    </w:lvl>
    <w:lvl w:ilvl="8">
      <w:start w:val="1"/>
      <w:numFmt w:val="lowerRoman"/>
      <w:lvlText w:val="%9."/>
      <w:lvlJc w:val="right"/>
      <w:pPr>
        <w:tabs>
          <w:tab w:val="num" w:pos="2920"/>
        </w:tabs>
        <w:ind w:left="2920" w:hanging="420"/>
      </w:pPr>
    </w:lvl>
  </w:abstractNum>
  <w:abstractNum w:abstractNumId="43">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5">
    <w:nsid w:val="725E408A"/>
    <w:multiLevelType w:val="multilevel"/>
    <w:tmpl w:val="725E408A"/>
    <w:lvl w:ilvl="0">
      <w:start w:val="2"/>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4"/>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8">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7"/>
  </w:num>
  <w:num w:numId="3">
    <w:abstractNumId w:val="30"/>
  </w:num>
  <w:num w:numId="4">
    <w:abstractNumId w:val="23"/>
  </w:num>
  <w:num w:numId="5">
    <w:abstractNumId w:val="24"/>
  </w:num>
  <w:num w:numId="6">
    <w:abstractNumId w:val="25"/>
  </w:num>
  <w:num w:numId="7">
    <w:abstractNumId w:val="6"/>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1"/>
  </w:num>
  <w:num w:numId="12">
    <w:abstractNumId w:val="40"/>
  </w:num>
  <w:num w:numId="13">
    <w:abstractNumId w:val="43"/>
  </w:num>
  <w:num w:numId="14">
    <w:abstractNumId w:val="4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
  </w:num>
  <w:num w:numId="22">
    <w:abstractNumId w:val="29"/>
  </w:num>
  <w:num w:numId="23">
    <w:abstractNumId w:val="41"/>
  </w:num>
  <w:num w:numId="24">
    <w:abstractNumId w:val="10"/>
  </w:num>
  <w:num w:numId="25">
    <w:abstractNumId w:val="16"/>
  </w:num>
  <w:num w:numId="26">
    <w:abstractNumId w:val="13"/>
  </w:num>
  <w:num w:numId="27">
    <w:abstractNumId w:val="44"/>
  </w:num>
  <w:num w:numId="28">
    <w:abstractNumId w:val="39"/>
  </w:num>
  <w:num w:numId="29">
    <w:abstractNumId w:val="47"/>
  </w:num>
  <w:num w:numId="30">
    <w:abstractNumId w:val="12"/>
  </w:num>
  <w:num w:numId="31">
    <w:abstractNumId w:val="18"/>
  </w:num>
  <w:num w:numId="32">
    <w:abstractNumId w:val="9"/>
  </w:num>
  <w:num w:numId="33">
    <w:abstractNumId w:val="8"/>
  </w:num>
  <w:num w:numId="34">
    <w:abstractNumId w:val="28"/>
  </w:num>
  <w:num w:numId="35">
    <w:abstractNumId w:val="14"/>
  </w:num>
  <w:num w:numId="36">
    <w:abstractNumId w:val="48"/>
  </w:num>
  <w:num w:numId="37">
    <w:abstractNumId w:val="4"/>
  </w:num>
  <w:num w:numId="38">
    <w:abstractNumId w:val="5"/>
  </w:num>
  <w:num w:numId="39">
    <w:abstractNumId w:val="38"/>
  </w:num>
  <w:num w:numId="40">
    <w:abstractNumId w:val="34"/>
  </w:num>
  <w:num w:numId="41">
    <w:abstractNumId w:val="7"/>
  </w:num>
  <w:num w:numId="42">
    <w:abstractNumId w:val="45"/>
  </w:num>
  <w:num w:numId="43">
    <w:abstractNumId w:val="20"/>
  </w:num>
  <w:num w:numId="44">
    <w:abstractNumId w:val="1"/>
  </w:num>
  <w:num w:numId="45">
    <w:abstractNumId w:val="42"/>
  </w:num>
  <w:num w:numId="46">
    <w:abstractNumId w:val="35"/>
  </w:num>
  <w:num w:numId="47">
    <w:abstractNumId w:val="32"/>
  </w:num>
  <w:num w:numId="48">
    <w:abstractNumId w:val="36"/>
  </w:num>
  <w:num w:numId="49">
    <w:abstractNumId w:val="22"/>
  </w:num>
  <w:num w:numId="5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03D7"/>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1B6"/>
    <w:rsid w:val="000F27AD"/>
    <w:rsid w:val="000F39C1"/>
    <w:rsid w:val="000F4255"/>
    <w:rsid w:val="000F5CA8"/>
    <w:rsid w:val="00101100"/>
    <w:rsid w:val="0010294B"/>
    <w:rsid w:val="0011079D"/>
    <w:rsid w:val="00111D19"/>
    <w:rsid w:val="0011244F"/>
    <w:rsid w:val="00112931"/>
    <w:rsid w:val="001150C5"/>
    <w:rsid w:val="00117C85"/>
    <w:rsid w:val="00122E24"/>
    <w:rsid w:val="0012681B"/>
    <w:rsid w:val="00127D0C"/>
    <w:rsid w:val="00130200"/>
    <w:rsid w:val="00130886"/>
    <w:rsid w:val="00135685"/>
    <w:rsid w:val="00135AC9"/>
    <w:rsid w:val="00142384"/>
    <w:rsid w:val="00142830"/>
    <w:rsid w:val="00146977"/>
    <w:rsid w:val="001507FD"/>
    <w:rsid w:val="00150CB0"/>
    <w:rsid w:val="00154D53"/>
    <w:rsid w:val="00154EB4"/>
    <w:rsid w:val="00155028"/>
    <w:rsid w:val="001550D1"/>
    <w:rsid w:val="00160718"/>
    <w:rsid w:val="0016342E"/>
    <w:rsid w:val="001660AB"/>
    <w:rsid w:val="0016799E"/>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302"/>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2E9F"/>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C5858"/>
    <w:rsid w:val="004D6A19"/>
    <w:rsid w:val="004E6929"/>
    <w:rsid w:val="004E70F9"/>
    <w:rsid w:val="00500D74"/>
    <w:rsid w:val="0050281E"/>
    <w:rsid w:val="00505560"/>
    <w:rsid w:val="005108E8"/>
    <w:rsid w:val="00511FE9"/>
    <w:rsid w:val="00513D5D"/>
    <w:rsid w:val="005142EF"/>
    <w:rsid w:val="00514AFE"/>
    <w:rsid w:val="00514F20"/>
    <w:rsid w:val="00515770"/>
    <w:rsid w:val="00517614"/>
    <w:rsid w:val="0052152E"/>
    <w:rsid w:val="00533119"/>
    <w:rsid w:val="005339E0"/>
    <w:rsid w:val="005345C8"/>
    <w:rsid w:val="005369F4"/>
    <w:rsid w:val="0054027F"/>
    <w:rsid w:val="005450AA"/>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448"/>
    <w:rsid w:val="00763C19"/>
    <w:rsid w:val="00763FA7"/>
    <w:rsid w:val="0076633E"/>
    <w:rsid w:val="007678FB"/>
    <w:rsid w:val="007725C5"/>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63"/>
    <w:rsid w:val="008279D0"/>
    <w:rsid w:val="0083195F"/>
    <w:rsid w:val="00832407"/>
    <w:rsid w:val="0083252A"/>
    <w:rsid w:val="008367BA"/>
    <w:rsid w:val="0084007B"/>
    <w:rsid w:val="00840870"/>
    <w:rsid w:val="00840AC9"/>
    <w:rsid w:val="008433A6"/>
    <w:rsid w:val="0085290F"/>
    <w:rsid w:val="00855428"/>
    <w:rsid w:val="00856C06"/>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3A57"/>
    <w:rsid w:val="008A6303"/>
    <w:rsid w:val="008B4179"/>
    <w:rsid w:val="008C40DD"/>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30487"/>
    <w:rsid w:val="009312CA"/>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A21FD"/>
    <w:rsid w:val="009A5EA2"/>
    <w:rsid w:val="009A6FD0"/>
    <w:rsid w:val="009B054A"/>
    <w:rsid w:val="009B2858"/>
    <w:rsid w:val="009B2DE5"/>
    <w:rsid w:val="009B34B8"/>
    <w:rsid w:val="009C33B3"/>
    <w:rsid w:val="009C783B"/>
    <w:rsid w:val="009D49AE"/>
    <w:rsid w:val="009D501D"/>
    <w:rsid w:val="009D7449"/>
    <w:rsid w:val="009E1058"/>
    <w:rsid w:val="009E4749"/>
    <w:rsid w:val="009F0778"/>
    <w:rsid w:val="009F3256"/>
    <w:rsid w:val="009F6299"/>
    <w:rsid w:val="009F633B"/>
    <w:rsid w:val="009F638A"/>
    <w:rsid w:val="009F6A6B"/>
    <w:rsid w:val="00A029F2"/>
    <w:rsid w:val="00A149E5"/>
    <w:rsid w:val="00A153FC"/>
    <w:rsid w:val="00A23FE9"/>
    <w:rsid w:val="00A2542D"/>
    <w:rsid w:val="00A278D7"/>
    <w:rsid w:val="00A37693"/>
    <w:rsid w:val="00A45F18"/>
    <w:rsid w:val="00A53411"/>
    <w:rsid w:val="00A614C8"/>
    <w:rsid w:val="00A616E7"/>
    <w:rsid w:val="00A62247"/>
    <w:rsid w:val="00A6610B"/>
    <w:rsid w:val="00A66633"/>
    <w:rsid w:val="00A67B89"/>
    <w:rsid w:val="00A70480"/>
    <w:rsid w:val="00A719ED"/>
    <w:rsid w:val="00A7270C"/>
    <w:rsid w:val="00A75386"/>
    <w:rsid w:val="00A81F72"/>
    <w:rsid w:val="00A82B0B"/>
    <w:rsid w:val="00A878E0"/>
    <w:rsid w:val="00A87B9C"/>
    <w:rsid w:val="00A87FEC"/>
    <w:rsid w:val="00A90E24"/>
    <w:rsid w:val="00A917EA"/>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24D8F"/>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2AF4"/>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01FF"/>
    <w:rsid w:val="00CD1484"/>
    <w:rsid w:val="00CD371C"/>
    <w:rsid w:val="00CD3723"/>
    <w:rsid w:val="00CD623F"/>
    <w:rsid w:val="00CD6D11"/>
    <w:rsid w:val="00CD7E0C"/>
    <w:rsid w:val="00CE2DB4"/>
    <w:rsid w:val="00CE3E35"/>
    <w:rsid w:val="00CE411C"/>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6799"/>
    <w:rsid w:val="00E6494A"/>
    <w:rsid w:val="00E739AE"/>
    <w:rsid w:val="00E753B3"/>
    <w:rsid w:val="00E80BDD"/>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18E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D8D09-F6B1-45D7-AC70-A2545AC3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61CD4-A472-4224-B789-E871BEFC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6873</TotalTime>
  <Pages>24</Pages>
  <Words>1708</Words>
  <Characters>9740</Characters>
  <Application>Microsoft Office Word</Application>
  <DocSecurity>0</DocSecurity>
  <Lines>81</Lines>
  <Paragraphs>22</Paragraphs>
  <ScaleCrop>false</ScaleCrop>
  <Company>福化环保</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551</cp:revision>
  <dcterms:created xsi:type="dcterms:W3CDTF">2019-03-28T11:18:00Z</dcterms:created>
  <dcterms:modified xsi:type="dcterms:W3CDTF">2021-01-06T00:45:00Z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