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903CE9"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腾龙芳烃（漳州）</w:t>
      </w:r>
      <w:r w:rsidR="00C76112" w:rsidRPr="007F66EF">
        <w:rPr>
          <w:rFonts w:ascii="微软雅黑" w:eastAsia="微软雅黑" w:hint="eastAsia"/>
          <w:b/>
          <w:sz w:val="44"/>
          <w:szCs w:val="44"/>
          <w:u w:val="single"/>
          <w:lang w:eastAsia="zh-CN"/>
        </w:rPr>
        <w:t>有限公司</w:t>
      </w:r>
    </w:p>
    <w:p w:rsidR="00DC2B12" w:rsidRPr="007F66EF" w:rsidRDefault="005D0BD1"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工程余料堆场监控</w:t>
      </w:r>
      <w:r w:rsidR="009C2775">
        <w:rPr>
          <w:rFonts w:ascii="微软雅黑" w:eastAsia="微软雅黑" w:hint="eastAsia"/>
          <w:b/>
          <w:sz w:val="44"/>
          <w:szCs w:val="44"/>
          <w:u w:val="single"/>
          <w:lang w:eastAsia="zh-CN"/>
        </w:rPr>
        <w:t>材料</w:t>
      </w:r>
      <w:r>
        <w:rPr>
          <w:rFonts w:ascii="微软雅黑" w:eastAsia="微软雅黑" w:hint="eastAsia"/>
          <w:b/>
          <w:sz w:val="44"/>
          <w:szCs w:val="44"/>
          <w:u w:val="single"/>
          <w:lang w:eastAsia="zh-CN"/>
        </w:rPr>
        <w:t>及设备状态卡</w:t>
      </w:r>
      <w:r w:rsidR="009C2775">
        <w:rPr>
          <w:rFonts w:ascii="微软雅黑" w:eastAsia="微软雅黑" w:hint="eastAsia"/>
          <w:b/>
          <w:sz w:val="44"/>
          <w:szCs w:val="44"/>
          <w:u w:val="single"/>
          <w:lang w:eastAsia="zh-CN"/>
        </w:rPr>
        <w:t>采购</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w:t>
      </w:r>
      <w:r w:rsidR="005D0BD1">
        <w:rPr>
          <w:rFonts w:hint="eastAsia"/>
          <w:sz w:val="28"/>
          <w:szCs w:val="28"/>
          <w:u w:val="single"/>
        </w:rPr>
        <w:t>0925001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903CE9"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腾龙芳烃（漳州）</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91310">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Default="00DE4ECE" w:rsidP="00DE4ECE">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E4ECE" w:rsidRDefault="00DE4ECE" w:rsidP="00DE4ECE">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E4ECE" w:rsidRPr="009A6FD0" w:rsidRDefault="00DE4ECE" w:rsidP="00DE4ECE">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E4ECE" w:rsidRPr="00A76FF1" w:rsidRDefault="00B85214" w:rsidP="00DE4ECE">
      <w:pPr>
        <w:rPr>
          <w:szCs w:val="21"/>
          <w:lang w:eastAsia="zh-CN"/>
        </w:rPr>
      </w:pPr>
      <w:r w:rsidRPr="00B85214">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E4ECE" w:rsidRPr="007B7828" w:rsidRDefault="00DE4ECE" w:rsidP="00DE4ECE">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E4ECE" w:rsidRDefault="00DE4ECE" w:rsidP="00DE4ECE">
      <w:pPr>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A434E0" w:rsidRDefault="00A434E0" w:rsidP="00DE4ECE">
      <w:pPr>
        <w:pStyle w:val="10"/>
      </w:pPr>
    </w:p>
    <w:p w:rsidR="00A434E0" w:rsidRDefault="00A434E0" w:rsidP="00DE4ECE">
      <w:pPr>
        <w:pStyle w:val="10"/>
      </w:pPr>
    </w:p>
    <w:p w:rsidR="00A434E0" w:rsidRDefault="00A434E0" w:rsidP="00A434E0">
      <w:pPr>
        <w:pStyle w:val="10"/>
        <w:spacing w:line="320" w:lineRule="atLeast"/>
        <w:jc w:val="center"/>
        <w:rPr>
          <w:rFonts w:asciiTheme="majorEastAsia" w:eastAsiaTheme="majorEastAsia" w:hAnsiTheme="majorEastAsia"/>
          <w:bCs/>
          <w:sz w:val="32"/>
          <w:szCs w:val="32"/>
        </w:rPr>
      </w:pPr>
      <w:r>
        <w:rPr>
          <w:rFonts w:hint="eastAsia"/>
          <w:sz w:val="32"/>
          <w:szCs w:val="32"/>
        </w:rPr>
        <w:lastRenderedPageBreak/>
        <w:t>工程余料堆场监控材料及设备状态卡</w:t>
      </w:r>
      <w:r w:rsidRPr="00CE0DA9">
        <w:rPr>
          <w:rFonts w:hint="eastAsia"/>
          <w:sz w:val="32"/>
          <w:szCs w:val="32"/>
        </w:rPr>
        <w:t>采购</w:t>
      </w:r>
      <w:r w:rsidRPr="00CE0DA9">
        <w:rPr>
          <w:rFonts w:asciiTheme="majorEastAsia" w:eastAsiaTheme="majorEastAsia" w:hAnsiTheme="majorEastAsia" w:hint="eastAsia"/>
          <w:bCs/>
          <w:sz w:val="32"/>
          <w:szCs w:val="32"/>
        </w:rPr>
        <w:t>项目</w:t>
      </w:r>
    </w:p>
    <w:p w:rsidR="00A434E0" w:rsidRPr="00CE0DA9" w:rsidRDefault="00A434E0" w:rsidP="00A434E0">
      <w:pPr>
        <w:pStyle w:val="10"/>
        <w:spacing w:line="320" w:lineRule="atLeast"/>
        <w:jc w:val="center"/>
        <w:rPr>
          <w:sz w:val="32"/>
          <w:szCs w:val="32"/>
        </w:rPr>
      </w:pPr>
      <w:r>
        <w:rPr>
          <w:rFonts w:asciiTheme="majorEastAsia" w:eastAsiaTheme="majorEastAsia" w:hAnsiTheme="majorEastAsia" w:hint="eastAsia"/>
          <w:bCs/>
          <w:sz w:val="32"/>
          <w:szCs w:val="32"/>
        </w:rPr>
        <w:t>比选公告</w:t>
      </w:r>
    </w:p>
    <w:p w:rsidR="00A434E0" w:rsidRPr="00DE3EFC" w:rsidRDefault="00A434E0" w:rsidP="00A434E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Pr>
          <w:rFonts w:hint="eastAsia"/>
          <w:sz w:val="24"/>
          <w:u w:val="single"/>
          <w:lang w:eastAsia="zh-CN"/>
        </w:rPr>
        <w:t>工程余料堆场监控材料及设备状态卡</w:t>
      </w:r>
      <w:r w:rsidRPr="009D206E">
        <w:rPr>
          <w:rFonts w:hint="eastAsia"/>
          <w:sz w:val="24"/>
          <w:u w:val="single"/>
          <w:lang w:eastAsia="zh-CN"/>
        </w:rPr>
        <w:t>采购</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FHC-PTCG202009</w:t>
      </w:r>
      <w:r>
        <w:rPr>
          <w:rFonts w:asciiTheme="majorEastAsia" w:eastAsiaTheme="majorEastAsia" w:hAnsiTheme="majorEastAsia" w:hint="eastAsia"/>
          <w:sz w:val="24"/>
          <w:szCs w:val="24"/>
          <w:u w:val="single"/>
          <w:lang w:eastAsia="zh-CN"/>
        </w:rPr>
        <w:t>25001</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Pr>
          <w:rFonts w:hint="eastAsia"/>
          <w:sz w:val="24"/>
          <w:lang w:eastAsia="zh-CN"/>
        </w:rPr>
        <w:t>工程余料堆场监控材料及设备状态卡</w:t>
      </w:r>
      <w:r w:rsidRPr="009D206E">
        <w:rPr>
          <w:rFonts w:hint="eastAsia"/>
          <w:sz w:val="24"/>
          <w:lang w:eastAsia="zh-CN"/>
        </w:rPr>
        <w:t>采购</w:t>
      </w:r>
      <w:r w:rsidRPr="009D206E">
        <w:rPr>
          <w:rFonts w:asciiTheme="majorEastAsia" w:eastAsiaTheme="majorEastAsia" w:hAnsiTheme="majorEastAsia" w:hint="eastAsia"/>
          <w:bCs/>
          <w:sz w:val="24"/>
          <w:szCs w:val="24"/>
          <w:lang w:eastAsia="zh-CN"/>
        </w:rPr>
        <w:t>项目</w:t>
      </w:r>
    </w:p>
    <w:p w:rsidR="00A434E0" w:rsidRPr="00DE3EFC"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Pr>
          <w:rFonts w:hint="eastAsia"/>
          <w:sz w:val="24"/>
          <w:lang w:eastAsia="zh-CN"/>
        </w:rPr>
        <w:t>材料</w:t>
      </w:r>
      <w:r w:rsidRPr="009D206E">
        <w:rPr>
          <w:rFonts w:hint="eastAsia"/>
          <w:sz w:val="24"/>
          <w:lang w:eastAsia="zh-CN"/>
        </w:rPr>
        <w:t>采购</w:t>
      </w:r>
      <w:r>
        <w:rPr>
          <w:rFonts w:asciiTheme="majorEastAsia" w:eastAsiaTheme="majorEastAsia" w:hAnsiTheme="majorEastAsia" w:hint="eastAsia"/>
          <w:sz w:val="24"/>
          <w:szCs w:val="24"/>
          <w:lang w:eastAsia="zh-CN"/>
        </w:rPr>
        <w:t xml:space="preserve">                    </w:t>
      </w:r>
    </w:p>
    <w:p w:rsidR="00A434E0" w:rsidRPr="001308FD"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Pr>
          <w:rFonts w:asciiTheme="majorEastAsia" w:eastAsiaTheme="majorEastAsia" w:hAnsiTheme="majorEastAsia" w:hint="eastAsia"/>
          <w:bCs/>
          <w:sz w:val="24"/>
          <w:szCs w:val="24"/>
          <w:lang w:eastAsia="zh-CN"/>
        </w:rPr>
        <w:t>14907</w:t>
      </w:r>
      <w:r w:rsidRPr="001308FD">
        <w:rPr>
          <w:rFonts w:asciiTheme="majorEastAsia" w:eastAsiaTheme="majorEastAsia" w:hAnsiTheme="majorEastAsia" w:hint="eastAsia"/>
          <w:bCs/>
          <w:sz w:val="24"/>
          <w:szCs w:val="24"/>
          <w:lang w:eastAsia="zh-CN"/>
        </w:rPr>
        <w:t>元</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A434E0" w:rsidRPr="00232405" w:rsidRDefault="00A434E0"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A434E0" w:rsidRPr="00232405" w:rsidRDefault="00A434E0"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没有失信黑名单记录（以最高院失信被执行人系统发布信息为准）；</w:t>
      </w:r>
    </w:p>
    <w:p w:rsidR="00A434E0" w:rsidRPr="00A434E0" w:rsidRDefault="00A434E0"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A434E0" w:rsidRPr="008E38EB" w:rsidRDefault="00A434E0" w:rsidP="00DA38B6">
      <w:pPr>
        <w:pStyle w:val="aa"/>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AE0B15" w:rsidRDefault="00AE0B15" w:rsidP="00DA38B6">
      <w:pPr>
        <w:pStyle w:val="aa"/>
        <w:numPr>
          <w:ilvl w:val="0"/>
          <w:numId w:val="9"/>
        </w:numPr>
        <w:autoSpaceDE/>
        <w:autoSpaceDN/>
        <w:spacing w:before="0" w:line="360" w:lineRule="auto"/>
        <w:jc w:val="both"/>
        <w:rPr>
          <w:rFonts w:asciiTheme="majorEastAsia" w:eastAsiaTheme="majorEastAsia" w:hAnsiTheme="majorEastAsia" w:hint="eastAsia"/>
          <w:bCs/>
          <w:sz w:val="24"/>
          <w:szCs w:val="24"/>
          <w:lang w:eastAsia="zh-CN"/>
        </w:rPr>
      </w:pPr>
      <w:r>
        <w:rPr>
          <w:rFonts w:asciiTheme="majorEastAsia" w:eastAsiaTheme="majorEastAsia" w:hAnsiTheme="majorEastAsia" w:hint="eastAsia"/>
          <w:bCs/>
          <w:sz w:val="24"/>
          <w:szCs w:val="24"/>
          <w:lang w:eastAsia="zh-CN"/>
        </w:rPr>
        <w:t>公示时间：2020年10月 日-10月 日（共10天）</w:t>
      </w:r>
    </w:p>
    <w:p w:rsidR="00A434E0" w:rsidRPr="008E38EB" w:rsidRDefault="00A434E0" w:rsidP="00DA38B6">
      <w:pPr>
        <w:pStyle w:val="aa"/>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Pr>
          <w:rFonts w:asciiTheme="majorEastAsia" w:eastAsiaTheme="majorEastAsia" w:hAnsiTheme="majorEastAsia" w:hint="eastAsia"/>
          <w:bCs/>
          <w:sz w:val="24"/>
          <w:szCs w:val="24"/>
          <w:lang w:eastAsia="zh-CN"/>
        </w:rPr>
        <w:t>2020年10月</w:t>
      </w:r>
      <w:r w:rsidR="00391310">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日</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cs="宋体"/>
          <w:b/>
          <w:bCs/>
          <w:szCs w:val="24"/>
        </w:rPr>
      </w:pPr>
      <w:r w:rsidRPr="001308FD">
        <w:rPr>
          <w:rFonts w:asciiTheme="majorEastAsia" w:eastAsiaTheme="majorEastAsia" w:hAnsiTheme="majorEastAsia" w:cs="宋体" w:hint="eastAsia"/>
          <w:bCs/>
          <w:szCs w:val="24"/>
        </w:rPr>
        <w:t>商务联系人：</w:t>
      </w:r>
      <w:r w:rsidRPr="008E38EB">
        <w:rPr>
          <w:rFonts w:asciiTheme="majorEastAsia" w:eastAsiaTheme="majorEastAsia" w:hAnsiTheme="majorEastAsia" w:cs="宋体" w:hint="eastAsia"/>
          <w:bCs/>
          <w:szCs w:val="24"/>
        </w:rPr>
        <w:t>纪先生</w:t>
      </w:r>
      <w:r w:rsidRPr="001308FD">
        <w:rPr>
          <w:rFonts w:asciiTheme="majorEastAsia" w:eastAsiaTheme="majorEastAsia" w:hAnsiTheme="majorEastAsia" w:cs="宋体" w:hint="eastAsia"/>
          <w:bCs/>
          <w:szCs w:val="24"/>
        </w:rPr>
        <w:t xml:space="preserve">  电话：</w:t>
      </w:r>
      <w:r>
        <w:rPr>
          <w:rFonts w:asciiTheme="majorEastAsia" w:eastAsiaTheme="majorEastAsia" w:hAnsiTheme="majorEastAsia" w:cs="宋体" w:hint="eastAsia"/>
          <w:bCs/>
          <w:szCs w:val="24"/>
        </w:rPr>
        <w:t>0596-6311823</w:t>
      </w:r>
      <w:r w:rsidRPr="001308FD">
        <w:rPr>
          <w:rFonts w:asciiTheme="majorEastAsia" w:eastAsiaTheme="majorEastAsia" w:hAnsiTheme="majorEastAsia" w:cs="宋体" w:hint="eastAsia"/>
          <w:bCs/>
          <w:szCs w:val="24"/>
        </w:rPr>
        <w:t xml:space="preserve">  邮箱：</w:t>
      </w:r>
      <w:r>
        <w:rPr>
          <w:rFonts w:asciiTheme="majorEastAsia" w:eastAsiaTheme="majorEastAsia" w:hAnsiTheme="majorEastAsia" w:cs="宋体" w:hint="eastAsia"/>
          <w:bCs/>
          <w:szCs w:val="24"/>
        </w:rPr>
        <w:t>hzji@fhcpec.com.cn</w:t>
      </w:r>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cs="宋体"/>
          <w:b/>
          <w:bCs/>
          <w:szCs w:val="24"/>
        </w:rPr>
      </w:pPr>
      <w:r w:rsidRPr="001308FD">
        <w:rPr>
          <w:rFonts w:asciiTheme="majorEastAsia" w:eastAsiaTheme="majorEastAsia" w:hAnsiTheme="majorEastAsia" w:cs="宋体" w:hint="eastAsia"/>
          <w:bCs/>
          <w:szCs w:val="24"/>
        </w:rPr>
        <w:t>纪检监察室电话：0596-6311774  邮箱：</w:t>
      </w:r>
      <w:hyperlink r:id="rId10" w:history="1">
        <w:r w:rsidRPr="001308FD">
          <w:rPr>
            <w:rStyle w:val="af"/>
            <w:rFonts w:asciiTheme="majorEastAsia" w:eastAsiaTheme="majorEastAsia" w:hAnsiTheme="majorEastAsia"/>
          </w:rPr>
          <w:t>qlin@fhcpec.com.cn</w:t>
        </w:r>
      </w:hyperlink>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cs="宋体"/>
          <w:b/>
          <w:bCs/>
          <w:szCs w:val="24"/>
        </w:rPr>
      </w:pPr>
      <w:r w:rsidRPr="001308FD">
        <w:rPr>
          <w:rFonts w:asciiTheme="majorEastAsia" w:eastAsiaTheme="majorEastAsia" w:hAnsiTheme="majorEastAsia" w:cs="宋体" w:hint="eastAsia"/>
          <w:bCs/>
          <w:szCs w:val="24"/>
        </w:rPr>
        <w:t>联系地址：漳州市漳浦县杜浔镇杜昌路9号</w:t>
      </w:r>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szCs w:val="24"/>
        </w:rPr>
      </w:pPr>
      <w:r w:rsidRPr="001308FD">
        <w:rPr>
          <w:rFonts w:asciiTheme="majorEastAsia" w:eastAsiaTheme="majorEastAsia" w:hAnsiTheme="majorEastAsia" w:cs="宋体" w:hint="eastAsia"/>
          <w:bCs/>
          <w:szCs w:val="24"/>
        </w:rPr>
        <w:t>邮    编：363216</w:t>
      </w:r>
    </w:p>
    <w:p w:rsidR="00A434E0" w:rsidRPr="008E38EB" w:rsidRDefault="00A434E0" w:rsidP="00A434E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A434E0" w:rsidRDefault="00A434E0" w:rsidP="00A434E0">
      <w:pPr>
        <w:ind w:firstLineChars="1800" w:firstLine="4320"/>
        <w:rPr>
          <w:lang w:eastAsia="zh-CN"/>
        </w:rPr>
      </w:pPr>
      <w:r w:rsidRPr="008E38EB">
        <w:rPr>
          <w:rFonts w:hint="eastAsia"/>
          <w:sz w:val="24"/>
          <w:szCs w:val="24"/>
          <w:lang w:eastAsia="zh-CN"/>
        </w:rPr>
        <w:t>2020.</w:t>
      </w:r>
      <w:r w:rsidR="00391310">
        <w:rPr>
          <w:rFonts w:hint="eastAsia"/>
          <w:sz w:val="24"/>
          <w:szCs w:val="24"/>
          <w:lang w:eastAsia="zh-CN"/>
        </w:rPr>
        <w:t>10</w:t>
      </w:r>
      <w:r w:rsidRPr="008E38EB">
        <w:rPr>
          <w:rFonts w:hint="eastAsia"/>
          <w:sz w:val="24"/>
          <w:szCs w:val="24"/>
          <w:lang w:eastAsia="zh-CN"/>
        </w:rPr>
        <w:t>.</w:t>
      </w:r>
      <w:r w:rsidR="00391310">
        <w:rPr>
          <w:rFonts w:hint="eastAsia"/>
          <w:sz w:val="24"/>
          <w:szCs w:val="24"/>
          <w:lang w:eastAsia="zh-CN"/>
        </w:rPr>
        <w:t>10</w:t>
      </w:r>
    </w:p>
    <w:p w:rsidR="00DE4ECE" w:rsidRDefault="00DE4ECE" w:rsidP="00DE4ECE">
      <w:pPr>
        <w:pStyle w:val="10"/>
      </w:pPr>
    </w:p>
    <w:p w:rsidR="00DE4ECE" w:rsidRDefault="00DE4ECE" w:rsidP="00DE4ECE">
      <w:pPr>
        <w:pStyle w:val="10"/>
      </w:pPr>
    </w:p>
    <w:p w:rsidR="00A434E0" w:rsidRDefault="00A434E0" w:rsidP="00DE4ECE">
      <w:pPr>
        <w:pStyle w:val="10"/>
      </w:pPr>
    </w:p>
    <w:p w:rsidR="00DE4ECE" w:rsidRDefault="00DE4ECE" w:rsidP="00DE4ECE">
      <w:pPr>
        <w:pStyle w:val="10"/>
        <w:rPr>
          <w:sz w:val="24"/>
          <w:szCs w:val="24"/>
        </w:rPr>
      </w:pPr>
    </w:p>
    <w:p w:rsidR="00DE4ECE" w:rsidRPr="00AF0353" w:rsidRDefault="00DE4ECE" w:rsidP="00DE4ECE">
      <w:pPr>
        <w:pStyle w:val="10"/>
        <w:rPr>
          <w:b/>
          <w:sz w:val="28"/>
          <w:szCs w:val="28"/>
        </w:rPr>
      </w:pPr>
      <w:r>
        <w:rPr>
          <w:rFonts w:hint="eastAsia"/>
          <w:b/>
          <w:sz w:val="28"/>
          <w:szCs w:val="28"/>
        </w:rPr>
        <w:lastRenderedPageBreak/>
        <w:t>一、</w:t>
      </w:r>
    </w:p>
    <w:p w:rsidR="00DE4ECE" w:rsidRDefault="00DE4ECE" w:rsidP="00DE4ECE">
      <w:pPr>
        <w:pStyle w:val="a7"/>
        <w:jc w:val="center"/>
        <w:rPr>
          <w:rFonts w:ascii="Times New Roman" w:hAnsi="Times New Roman"/>
          <w:b/>
          <w:sz w:val="52"/>
          <w:szCs w:val="52"/>
          <w:lang w:eastAsia="zh-CN"/>
        </w:rPr>
      </w:pPr>
    </w:p>
    <w:p w:rsidR="00DE4ECE" w:rsidRDefault="00DE4ECE" w:rsidP="00DE4EC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rsidR="00DE4ECE" w:rsidRPr="00C57D4A" w:rsidRDefault="00DE4ECE" w:rsidP="00DE4ECE">
      <w:pPr>
        <w:spacing w:line="360" w:lineRule="auto"/>
        <w:rPr>
          <w:color w:val="00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EF6B3C" w:rsidRDefault="00EF6B3C" w:rsidP="00DE4ECE">
      <w:pPr>
        <w:pStyle w:val="10"/>
        <w:rPr>
          <w:b/>
          <w:bCs/>
          <w:sz w:val="36"/>
          <w:szCs w:val="36"/>
        </w:rPr>
      </w:pPr>
    </w:p>
    <w:p w:rsidR="00DE4ECE" w:rsidRDefault="00DE4ECE" w:rsidP="00DE4ECE">
      <w:pPr>
        <w:pStyle w:val="10"/>
        <w:rPr>
          <w:rFonts w:hint="eastAsia"/>
          <w:b/>
          <w:bCs/>
          <w:sz w:val="36"/>
          <w:szCs w:val="36"/>
        </w:rPr>
      </w:pPr>
    </w:p>
    <w:p w:rsidR="00122F40" w:rsidRDefault="00122F40" w:rsidP="00DE4ECE">
      <w:pPr>
        <w:pStyle w:val="10"/>
        <w:rPr>
          <w:b/>
          <w:bCs/>
          <w:sz w:val="36"/>
          <w:szCs w:val="36"/>
        </w:rPr>
      </w:pPr>
    </w:p>
    <w:p w:rsidR="00DE4ECE" w:rsidRPr="00AF0353" w:rsidRDefault="00DE4ECE" w:rsidP="00DE4ECE">
      <w:pPr>
        <w:pStyle w:val="10"/>
        <w:rPr>
          <w:b/>
          <w:sz w:val="28"/>
          <w:szCs w:val="28"/>
        </w:rPr>
      </w:pPr>
      <w:r>
        <w:rPr>
          <w:rFonts w:hint="eastAsia"/>
          <w:b/>
          <w:sz w:val="28"/>
          <w:szCs w:val="28"/>
        </w:rPr>
        <w:lastRenderedPageBreak/>
        <w:t>二、</w:t>
      </w: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903CE9">
        <w:rPr>
          <w:rFonts w:hint="eastAsia"/>
          <w:sz w:val="24"/>
          <w:lang w:eastAsia="zh-CN"/>
        </w:rPr>
        <w:t>腾龙芳烃（漳州）</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DE4ECE" w:rsidRPr="00AF0353" w:rsidRDefault="00DE4ECE" w:rsidP="00DE4ECE">
      <w:pPr>
        <w:spacing w:line="500" w:lineRule="exact"/>
        <w:jc w:val="both"/>
        <w:rPr>
          <w:b/>
          <w:bCs/>
          <w:sz w:val="28"/>
          <w:szCs w:val="28"/>
          <w:lang w:eastAsia="zh-CN"/>
        </w:rPr>
      </w:pPr>
      <w:r>
        <w:rPr>
          <w:rFonts w:hint="eastAsia"/>
          <w:b/>
          <w:sz w:val="28"/>
          <w:szCs w:val="28"/>
          <w:lang w:eastAsia="zh-CN"/>
        </w:rPr>
        <w:lastRenderedPageBreak/>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03CE9">
        <w:rPr>
          <w:rFonts w:hint="eastAsia"/>
          <w:sz w:val="24"/>
          <w:lang w:eastAsia="zh-CN"/>
        </w:rPr>
        <w:t>腾龙芳烃（漳州）</w:t>
      </w:r>
      <w:r>
        <w:rPr>
          <w:rFonts w:hint="eastAsia"/>
          <w:sz w:val="24"/>
          <w:lang w:eastAsia="zh-CN"/>
        </w:rPr>
        <w:t>有限公司</w:t>
      </w:r>
      <w:r w:rsidR="00CE53C6">
        <w:rPr>
          <w:rFonts w:asciiTheme="minorEastAsia" w:eastAsiaTheme="minorEastAsia" w:hAnsiTheme="minorEastAsia" w:hint="eastAsia"/>
          <w:sz w:val="24"/>
          <w:szCs w:val="24"/>
          <w:u w:val="single"/>
          <w:lang w:eastAsia="zh-CN"/>
        </w:rPr>
        <w:t>工程余料堆场监控</w:t>
      </w:r>
      <w:r>
        <w:rPr>
          <w:rFonts w:asciiTheme="minorEastAsia" w:eastAsiaTheme="minorEastAsia" w:hAnsiTheme="minorEastAsia" w:hint="eastAsia"/>
          <w:sz w:val="24"/>
          <w:szCs w:val="24"/>
          <w:u w:val="single"/>
          <w:lang w:eastAsia="zh-CN"/>
        </w:rPr>
        <w:t>材料</w:t>
      </w:r>
      <w:r w:rsidR="00CE53C6">
        <w:rPr>
          <w:rFonts w:asciiTheme="minorEastAsia" w:eastAsiaTheme="minorEastAsia" w:hAnsiTheme="minorEastAsia" w:hint="eastAsia"/>
          <w:sz w:val="24"/>
          <w:szCs w:val="24"/>
          <w:u w:val="single"/>
          <w:lang w:eastAsia="zh-CN"/>
        </w:rPr>
        <w:t>及设备状态卡</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lastRenderedPageBreak/>
        <w:t>四、</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903CE9">
        <w:rPr>
          <w:rFonts w:hint="eastAsia"/>
          <w:sz w:val="24"/>
          <w:lang w:eastAsia="zh-CN"/>
        </w:rPr>
        <w:t>腾龙芳烃（漳州）</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CE53C6">
        <w:rPr>
          <w:rFonts w:asciiTheme="minorEastAsia" w:eastAsiaTheme="minorEastAsia" w:hAnsiTheme="minorEastAsia" w:hint="eastAsia"/>
          <w:sz w:val="24"/>
          <w:szCs w:val="24"/>
          <w:u w:val="single"/>
          <w:lang w:eastAsia="zh-CN"/>
        </w:rPr>
        <w:t>工程余料堆场监控</w:t>
      </w:r>
      <w:r>
        <w:rPr>
          <w:rFonts w:asciiTheme="minorEastAsia" w:eastAsiaTheme="minorEastAsia" w:hAnsiTheme="minorEastAsia" w:hint="eastAsia"/>
          <w:sz w:val="24"/>
          <w:szCs w:val="24"/>
          <w:u w:val="single"/>
          <w:lang w:eastAsia="zh-CN"/>
        </w:rPr>
        <w:t>材料</w:t>
      </w:r>
      <w:r w:rsidR="00CE53C6">
        <w:rPr>
          <w:rFonts w:asciiTheme="minorEastAsia" w:eastAsiaTheme="minorEastAsia" w:hAnsiTheme="minorEastAsia" w:hint="eastAsia"/>
          <w:sz w:val="24"/>
          <w:szCs w:val="24"/>
          <w:u w:val="single"/>
          <w:lang w:eastAsia="zh-CN"/>
        </w:rPr>
        <w:t>及设备状态卡</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D7180A"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1550E1">
        <w:rPr>
          <w:rFonts w:asciiTheme="minorEastAsia" w:eastAsiaTheme="minorEastAsia" w:hAnsiTheme="minorEastAsia" w:hint="eastAsia"/>
          <w:sz w:val="24"/>
          <w:szCs w:val="24"/>
          <w:u w:val="single"/>
          <w:lang w:eastAsia="zh-CN"/>
        </w:rPr>
        <w:t>工程余料堆场监控</w:t>
      </w:r>
      <w:r>
        <w:rPr>
          <w:rFonts w:asciiTheme="majorEastAsia" w:eastAsiaTheme="majorEastAsia" w:hAnsiTheme="majorEastAsia" w:hint="eastAsia"/>
          <w:sz w:val="24"/>
          <w:szCs w:val="24"/>
          <w:u w:val="single"/>
          <w:lang w:eastAsia="zh-CN"/>
        </w:rPr>
        <w:t>材料</w:t>
      </w:r>
      <w:r w:rsidR="001550E1">
        <w:rPr>
          <w:rFonts w:asciiTheme="majorEastAsia" w:eastAsiaTheme="majorEastAsia" w:hAnsiTheme="majorEastAsia" w:hint="eastAsia"/>
          <w:sz w:val="24"/>
          <w:szCs w:val="24"/>
          <w:u w:val="single"/>
          <w:lang w:eastAsia="zh-CN"/>
        </w:rPr>
        <w:t>及设备状态卡</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Pr="00B76512" w:rsidRDefault="00B76512" w:rsidP="00B76512">
      <w:pPr>
        <w:pStyle w:val="ab"/>
        <w:spacing w:beforeLines="0" w:afterLines="0"/>
        <w:ind w:firstLineChars="0" w:firstLine="0"/>
        <w:rPr>
          <w:lang w:eastAsia="zh-CN"/>
        </w:rPr>
      </w:pPr>
      <w:r w:rsidRPr="00B76512">
        <w:rPr>
          <w:rFonts w:hint="eastAsia"/>
          <w:lang w:eastAsia="zh-CN"/>
        </w:rPr>
        <w:t>附表：</w:t>
      </w:r>
    </w:p>
    <w:tbl>
      <w:tblPr>
        <w:tblW w:w="11289" w:type="dxa"/>
        <w:tblInd w:w="-1178" w:type="dxa"/>
        <w:tblLook w:val="04A0"/>
      </w:tblPr>
      <w:tblGrid>
        <w:gridCol w:w="580"/>
        <w:gridCol w:w="1273"/>
        <w:gridCol w:w="1134"/>
        <w:gridCol w:w="2127"/>
        <w:gridCol w:w="2377"/>
        <w:gridCol w:w="1025"/>
        <w:gridCol w:w="936"/>
        <w:gridCol w:w="1155"/>
        <w:gridCol w:w="682"/>
      </w:tblGrid>
      <w:tr w:rsidR="003B4A51" w:rsidRPr="00B76512" w:rsidTr="003B4A51">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序号</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品牌</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型号</w:t>
            </w:r>
          </w:p>
        </w:tc>
        <w:tc>
          <w:tcPr>
            <w:tcW w:w="2377"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Pr>
                <w:rFonts w:hint="eastAsia"/>
                <w:color w:val="000000"/>
                <w:sz w:val="24"/>
                <w:szCs w:val="24"/>
                <w:lang w:eastAsia="zh-CN"/>
              </w:rPr>
              <w:t>注明</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数量</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单价</w:t>
            </w:r>
          </w:p>
          <w:p w:rsidR="003B4A51" w:rsidRPr="00B76512" w:rsidRDefault="003B4A51" w:rsidP="00B76512">
            <w:pPr>
              <w:pStyle w:val="10"/>
              <w:rPr>
                <w:sz w:val="24"/>
                <w:szCs w:val="24"/>
              </w:rPr>
            </w:pPr>
            <w:r w:rsidRPr="00B76512">
              <w:rPr>
                <w:rFonts w:hint="eastAsia"/>
                <w:sz w:val="24"/>
                <w:szCs w:val="24"/>
              </w:rPr>
              <w:t>（元）</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3B4A51" w:rsidRDefault="003B4A51" w:rsidP="00B76512">
            <w:pPr>
              <w:widowControl/>
              <w:autoSpaceDE/>
              <w:autoSpaceDN/>
              <w:jc w:val="center"/>
              <w:rPr>
                <w:color w:val="000000"/>
                <w:sz w:val="24"/>
                <w:szCs w:val="24"/>
                <w:lang w:eastAsia="zh-CN"/>
              </w:rPr>
            </w:pPr>
            <w:r>
              <w:rPr>
                <w:rFonts w:hint="eastAsia"/>
                <w:color w:val="000000"/>
                <w:sz w:val="24"/>
                <w:szCs w:val="24"/>
                <w:lang w:eastAsia="zh-CN"/>
              </w:rPr>
              <w:t>合</w:t>
            </w:r>
            <w:r w:rsidRPr="00B76512">
              <w:rPr>
                <w:rFonts w:hint="eastAsia"/>
                <w:color w:val="000000"/>
                <w:sz w:val="24"/>
                <w:szCs w:val="24"/>
                <w:lang w:eastAsia="zh-CN"/>
              </w:rPr>
              <w:t>计</w:t>
            </w:r>
          </w:p>
          <w:p w:rsidR="003B4A51" w:rsidRPr="003B4A51" w:rsidRDefault="003B4A51" w:rsidP="003B4A51">
            <w:pPr>
              <w:pStyle w:val="10"/>
              <w:rPr>
                <w:sz w:val="24"/>
                <w:szCs w:val="24"/>
              </w:rPr>
            </w:pPr>
            <w:r w:rsidRPr="003B4A51">
              <w:rPr>
                <w:rFonts w:hint="eastAsia"/>
                <w:sz w:val="24"/>
                <w:szCs w:val="24"/>
              </w:rPr>
              <w:t>（元）</w:t>
            </w:r>
          </w:p>
        </w:tc>
        <w:tc>
          <w:tcPr>
            <w:tcW w:w="682" w:type="dxa"/>
            <w:tcBorders>
              <w:top w:val="single" w:sz="4" w:space="0" w:color="auto"/>
              <w:left w:val="nil"/>
              <w:bottom w:val="single" w:sz="4" w:space="0" w:color="auto"/>
              <w:right w:val="single" w:sz="4" w:space="0" w:color="auto"/>
            </w:tcBorders>
            <w:shd w:val="clear" w:color="auto" w:fill="auto"/>
            <w:vAlign w:val="center"/>
          </w:tcPr>
          <w:p w:rsidR="003B4A51" w:rsidRPr="00B76512" w:rsidRDefault="003B4A51" w:rsidP="003B4A51">
            <w:pPr>
              <w:widowControl/>
              <w:autoSpaceDE/>
              <w:autoSpaceDN/>
              <w:jc w:val="center"/>
              <w:rPr>
                <w:color w:val="000000"/>
                <w:sz w:val="24"/>
                <w:szCs w:val="24"/>
                <w:lang w:eastAsia="zh-CN"/>
              </w:rPr>
            </w:pPr>
            <w:r>
              <w:rPr>
                <w:rFonts w:hint="eastAsia"/>
                <w:color w:val="000000"/>
                <w:sz w:val="24"/>
                <w:szCs w:val="24"/>
                <w:lang w:eastAsia="zh-CN"/>
              </w:rPr>
              <w:t>备注</w:t>
            </w:r>
          </w:p>
        </w:tc>
      </w:tr>
      <w:tr w:rsidR="003B4A51" w:rsidRPr="00B76512" w:rsidTr="003B4A51">
        <w:trPr>
          <w:trHeight w:val="12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智能警戒摄像头</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DS-2CD3T46FWDA3-I</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智能警戒 声光报警（音频监听 夜视50米 400万像素摄像头，焦距8mm 清晰度4MP ）</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8个</w:t>
            </w: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4"/>
                <w:szCs w:val="24"/>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3B4A51" w:rsidRPr="00B76512" w:rsidTr="003B4A51">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POE交换机</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 xml:space="preserve">DS-3E0318P-E </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3B4A51">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16路带千兆网口</w:t>
            </w:r>
            <w:r>
              <w:rPr>
                <w:rFonts w:asciiTheme="majorEastAsia" w:eastAsiaTheme="majorEastAsia" w:hAnsiTheme="majorEastAsia" w:hint="eastAsia"/>
                <w:color w:val="000000"/>
                <w:sz w:val="21"/>
                <w:szCs w:val="21"/>
                <w:lang w:eastAsia="zh-CN"/>
              </w:rPr>
              <w:t>，</w:t>
            </w:r>
            <w:r w:rsidRPr="00B76512">
              <w:rPr>
                <w:rFonts w:asciiTheme="majorEastAsia" w:eastAsiaTheme="majorEastAsia" w:hAnsiTheme="majorEastAsia" w:hint="eastAsia"/>
                <w:color w:val="000000"/>
                <w:sz w:val="21"/>
                <w:szCs w:val="21"/>
                <w:lang w:eastAsia="zh-CN"/>
              </w:rPr>
              <w:t>供电250米</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1个</w:t>
            </w: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3B4A51" w:rsidRPr="00B76512" w:rsidTr="003B4A51">
        <w:trPr>
          <w:trHeight w:val="6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3</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无线网桥</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TP-LINK</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TL-CPE500G</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5G 室外2口千兆无线网桥5KM</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1对</w:t>
            </w: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3B4A51" w:rsidRPr="00B76512" w:rsidTr="003B4A51">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4</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智能AI录像机</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iDS-7908NX-K4/FA</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NVR人脸抓拍/识别iDS-7908NX-K4/FA智能AI录像机8路8TB 含</w:t>
            </w:r>
            <w:r w:rsidR="00EF6B3C">
              <w:rPr>
                <w:rFonts w:asciiTheme="majorEastAsia" w:eastAsiaTheme="majorEastAsia" w:hAnsiTheme="majorEastAsia" w:hint="eastAsia"/>
                <w:color w:val="000000"/>
                <w:sz w:val="21"/>
                <w:szCs w:val="21"/>
                <w:lang w:eastAsia="zh-CN"/>
              </w:rPr>
              <w:t>6T</w:t>
            </w:r>
            <w:r w:rsidRPr="00B76512">
              <w:rPr>
                <w:rFonts w:asciiTheme="majorEastAsia" w:eastAsiaTheme="majorEastAsia" w:hAnsiTheme="majorEastAsia" w:hint="eastAsia"/>
                <w:color w:val="000000"/>
                <w:sz w:val="21"/>
                <w:szCs w:val="21"/>
                <w:lang w:eastAsia="zh-CN"/>
              </w:rPr>
              <w:t>硬盘</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1个</w:t>
            </w: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3B4A51" w:rsidRPr="00B76512" w:rsidTr="003B4A51">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 xml:space="preserve">显示器    </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 xml:space="preserve">D50F22 </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21.5英寸 海康视威高清监视器</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1台</w:t>
            </w: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3B4A51" w:rsidRPr="00B76512" w:rsidTr="003B4A51">
        <w:trPr>
          <w:trHeight w:val="43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6</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 xml:space="preserve">6类网线   </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DS-1LN6-UE橙</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双绞线</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1200米</w:t>
            </w: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3B4A51" w:rsidRPr="00B76512" w:rsidTr="003B4A51">
        <w:trPr>
          <w:trHeight w:val="8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7</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水晶头</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CAT6</w:t>
            </w:r>
          </w:p>
        </w:tc>
        <w:tc>
          <w:tcPr>
            <w:tcW w:w="237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六类CAT6一体式</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1盒（100个）</w:t>
            </w: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3B4A51">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jc w:val="right"/>
              <w:rPr>
                <w:rFonts w:asciiTheme="majorEastAsia" w:eastAsiaTheme="majorEastAsia" w:hAnsiTheme="majorEastAsia"/>
                <w:color w:val="000000"/>
                <w:sz w:val="21"/>
                <w:szCs w:val="21"/>
                <w:lang w:eastAsia="zh-CN"/>
              </w:rPr>
            </w:pPr>
          </w:p>
        </w:tc>
      </w:tr>
      <w:tr w:rsidR="003B4A51" w:rsidRPr="00B76512" w:rsidTr="003B4A51">
        <w:trPr>
          <w:trHeight w:val="8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lastRenderedPageBreak/>
              <w:t>8</w:t>
            </w:r>
          </w:p>
        </w:tc>
        <w:tc>
          <w:tcPr>
            <w:tcW w:w="127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设备状态卡</w:t>
            </w:r>
          </w:p>
        </w:tc>
        <w:tc>
          <w:tcPr>
            <w:tcW w:w="1134"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2127"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2377" w:type="dxa"/>
            <w:tcBorders>
              <w:top w:val="nil"/>
              <w:left w:val="nil"/>
              <w:bottom w:val="single" w:sz="4" w:space="0" w:color="auto"/>
              <w:right w:val="single" w:sz="4" w:space="0" w:color="auto"/>
            </w:tcBorders>
            <w:shd w:val="clear" w:color="auto" w:fill="auto"/>
            <w:vAlign w:val="center"/>
            <w:hideMark/>
          </w:tcPr>
          <w:p w:rsidR="003B4A51" w:rsidRDefault="003B4A51" w:rsidP="003B4A51">
            <w:pPr>
              <w:widowControl/>
              <w:autoSpaceDE/>
              <w:autoSpaceDN/>
              <w:rPr>
                <w:sz w:val="21"/>
                <w:szCs w:val="21"/>
                <w:shd w:val="clear" w:color="auto" w:fill="FFFFFF"/>
                <w:lang w:eastAsia="zh-CN"/>
              </w:rPr>
            </w:pPr>
            <w:r w:rsidRPr="003B4A51">
              <w:rPr>
                <w:rFonts w:hint="eastAsia"/>
                <w:sz w:val="21"/>
                <w:szCs w:val="21"/>
                <w:shd w:val="clear" w:color="auto" w:fill="FFFFFF"/>
                <w:lang w:eastAsia="zh-CN"/>
              </w:rPr>
              <w:t>a.材质，有机玻璃;</w:t>
            </w:r>
            <w:r w:rsidRPr="003B4A51">
              <w:rPr>
                <w:rFonts w:hint="eastAsia"/>
                <w:sz w:val="21"/>
                <w:szCs w:val="21"/>
                <w:lang w:eastAsia="zh-CN"/>
              </w:rPr>
              <w:br/>
            </w:r>
            <w:r w:rsidRPr="003B4A51">
              <w:rPr>
                <w:rFonts w:hint="eastAsia"/>
                <w:sz w:val="21"/>
                <w:szCs w:val="21"/>
                <w:shd w:val="clear" w:color="auto" w:fill="FFFFFF"/>
                <w:lang w:eastAsia="zh-CN"/>
              </w:rPr>
              <w:t xml:space="preserve">b.尺寸，直径7.5cm; </w:t>
            </w:r>
            <w:r w:rsidRPr="003B4A51">
              <w:rPr>
                <w:rFonts w:hint="eastAsia"/>
                <w:sz w:val="21"/>
                <w:szCs w:val="21"/>
                <w:lang w:eastAsia="zh-CN"/>
              </w:rPr>
              <w:br/>
            </w:r>
            <w:r w:rsidRPr="003B4A51">
              <w:rPr>
                <w:rFonts w:hint="eastAsia"/>
                <w:sz w:val="21"/>
                <w:szCs w:val="21"/>
                <w:shd w:val="clear" w:color="auto" w:fill="FFFFFF"/>
                <w:lang w:eastAsia="zh-CN"/>
              </w:rPr>
              <w:t>c.背面带强磁吸附，工业级3M背胶，可贴可吸附；</w:t>
            </w:r>
            <w:r w:rsidRPr="003B4A51">
              <w:rPr>
                <w:rFonts w:hint="eastAsia"/>
                <w:sz w:val="21"/>
                <w:szCs w:val="21"/>
                <w:lang w:eastAsia="zh-CN"/>
              </w:rPr>
              <w:br/>
            </w:r>
            <w:r w:rsidRPr="003B4A51">
              <w:rPr>
                <w:rFonts w:hint="eastAsia"/>
                <w:sz w:val="21"/>
                <w:szCs w:val="21"/>
                <w:shd w:val="clear" w:color="auto" w:fill="FFFFFF"/>
                <w:lang w:eastAsia="zh-CN"/>
              </w:rPr>
              <w:t>d.360度可旋转；</w:t>
            </w:r>
            <w:r w:rsidRPr="003B4A51">
              <w:rPr>
                <w:rFonts w:hint="eastAsia"/>
                <w:sz w:val="21"/>
                <w:szCs w:val="21"/>
                <w:lang w:eastAsia="zh-CN"/>
              </w:rPr>
              <w:br/>
            </w:r>
            <w:r w:rsidRPr="003B4A51">
              <w:rPr>
                <w:rFonts w:hint="eastAsia"/>
                <w:sz w:val="21"/>
                <w:szCs w:val="21"/>
                <w:shd w:val="clear" w:color="auto" w:fill="FFFFFF"/>
                <w:lang w:eastAsia="zh-CN"/>
              </w:rPr>
              <w:t>e.状态内容分5区，备用（蓝色）、使用中（绿色）、维修中（红色）、待机（黄色）、停用（灰色）；</w:t>
            </w:r>
          </w:p>
          <w:p w:rsidR="003B4A51" w:rsidRPr="003B4A51" w:rsidRDefault="003B4A51" w:rsidP="003B4A51">
            <w:pPr>
              <w:widowControl/>
              <w:autoSpaceDE/>
              <w:autoSpaceDN/>
              <w:rPr>
                <w:rFonts w:asciiTheme="majorEastAsia" w:eastAsiaTheme="majorEastAsia" w:hAnsiTheme="majorEastAsia"/>
                <w:sz w:val="21"/>
                <w:szCs w:val="21"/>
                <w:lang w:eastAsia="zh-CN"/>
              </w:rPr>
            </w:pPr>
            <w:r w:rsidRPr="003B4A51">
              <w:rPr>
                <w:rFonts w:hint="eastAsia"/>
                <w:sz w:val="21"/>
                <w:szCs w:val="21"/>
                <w:shd w:val="clear" w:color="auto" w:fill="FFFFFF"/>
                <w:lang w:eastAsia="zh-CN"/>
              </w:rPr>
              <w:t>f.防水防潮防腐蚀,带公司logo（需定做）</w:t>
            </w:r>
          </w:p>
        </w:tc>
        <w:tc>
          <w:tcPr>
            <w:tcW w:w="102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400个</w:t>
            </w: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3B4A51">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jc w:val="right"/>
              <w:rPr>
                <w:rFonts w:asciiTheme="majorEastAsia" w:eastAsiaTheme="majorEastAsia" w:hAnsiTheme="majorEastAsia"/>
                <w:color w:val="000000"/>
                <w:sz w:val="21"/>
                <w:szCs w:val="21"/>
                <w:lang w:eastAsia="zh-CN"/>
              </w:rPr>
            </w:pPr>
          </w:p>
        </w:tc>
      </w:tr>
      <w:tr w:rsidR="003B4A51" w:rsidRPr="00B76512" w:rsidTr="00156B73">
        <w:trPr>
          <w:trHeight w:val="720"/>
        </w:trPr>
        <w:tc>
          <w:tcPr>
            <w:tcW w:w="9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3B4A51">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合计</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b/>
                <w:bCs/>
                <w:color w:val="000000"/>
                <w:sz w:val="21"/>
                <w:szCs w:val="21"/>
                <w:lang w:eastAsia="zh-CN"/>
              </w:rPr>
            </w:pPr>
          </w:p>
        </w:tc>
      </w:tr>
    </w:tbl>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1550E1" w:rsidRDefault="001550E1">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EF6B3C" w:rsidRDefault="00EF6B3C">
      <w:pPr>
        <w:pStyle w:val="a6"/>
        <w:rPr>
          <w:rFonts w:ascii="Times New Roman"/>
          <w:b/>
          <w:bCs/>
          <w:lang w:eastAsia="zh-CN"/>
        </w:rPr>
      </w:pPr>
    </w:p>
    <w:p w:rsidR="001550E1" w:rsidRDefault="001550E1">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8367BA">
      <w:pPr>
        <w:jc w:val="center"/>
        <w:rPr>
          <w:b/>
          <w:sz w:val="30"/>
          <w:szCs w:val="30"/>
          <w:lang w:eastAsia="zh-CN"/>
        </w:rPr>
      </w:pPr>
      <w:bookmarkStart w:id="0" w:name="_Toc251742852"/>
      <w:r>
        <w:rPr>
          <w:rFonts w:hint="eastAsia"/>
          <w:b/>
          <w:sz w:val="30"/>
          <w:szCs w:val="30"/>
          <w:lang w:eastAsia="zh-CN"/>
        </w:rPr>
        <w:t>腾龙芳烃（漳州）有限公司</w:t>
      </w:r>
    </w:p>
    <w:p w:rsidR="00EE07DD" w:rsidRPr="00EE07DD" w:rsidRDefault="00EF6B3C" w:rsidP="00EE07DD">
      <w:pPr>
        <w:pStyle w:val="10"/>
        <w:jc w:val="center"/>
        <w:rPr>
          <w:b/>
          <w:sz w:val="28"/>
          <w:szCs w:val="28"/>
        </w:rPr>
      </w:pPr>
      <w:r w:rsidRPr="00EF6B3C">
        <w:rPr>
          <w:rFonts w:asciiTheme="minorEastAsia" w:eastAsiaTheme="minorEastAsia" w:hAnsiTheme="minorEastAsia" w:hint="eastAsia"/>
          <w:b/>
          <w:sz w:val="28"/>
          <w:szCs w:val="28"/>
        </w:rPr>
        <w:t>工程余料堆场监控</w:t>
      </w:r>
      <w:r w:rsidRPr="00EF6B3C">
        <w:rPr>
          <w:rFonts w:asciiTheme="majorEastAsia" w:eastAsiaTheme="majorEastAsia" w:hAnsiTheme="majorEastAsia" w:hint="eastAsia"/>
          <w:b/>
          <w:sz w:val="28"/>
          <w:szCs w:val="28"/>
        </w:rPr>
        <w:t>材料及设备状态卡采购</w:t>
      </w:r>
      <w:r w:rsidR="00EE07DD" w:rsidRPr="00EE07DD">
        <w:rPr>
          <w:rFonts w:hint="eastAsia"/>
          <w:b/>
          <w:sz w:val="28"/>
          <w:szCs w:val="28"/>
        </w:rPr>
        <w:t>合同</w:t>
      </w:r>
    </w:p>
    <w:tbl>
      <w:tblPr>
        <w:tblStyle w:val="aff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37BFA" w:rsidRPr="00837BFA" w:rsidRDefault="00EE07DD" w:rsidP="00DA38B6">
      <w:pPr>
        <w:pStyle w:val="aa"/>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tbl>
      <w:tblPr>
        <w:tblW w:w="11289" w:type="dxa"/>
        <w:tblInd w:w="-1178" w:type="dxa"/>
        <w:tblLook w:val="04A0"/>
      </w:tblPr>
      <w:tblGrid>
        <w:gridCol w:w="580"/>
        <w:gridCol w:w="1273"/>
        <w:gridCol w:w="1134"/>
        <w:gridCol w:w="2127"/>
        <w:gridCol w:w="2377"/>
        <w:gridCol w:w="1025"/>
        <w:gridCol w:w="936"/>
        <w:gridCol w:w="1155"/>
        <w:gridCol w:w="682"/>
      </w:tblGrid>
      <w:tr w:rsidR="00837BFA" w:rsidRPr="00B76512" w:rsidTr="007D38F9">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sidRPr="00B76512">
              <w:rPr>
                <w:rFonts w:hint="eastAsia"/>
                <w:color w:val="000000"/>
                <w:sz w:val="24"/>
                <w:szCs w:val="24"/>
                <w:lang w:eastAsia="zh-CN"/>
              </w:rPr>
              <w:t>序号</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sidRPr="00B76512">
              <w:rPr>
                <w:rFonts w:hint="eastAsia"/>
                <w:color w:val="000000"/>
                <w:sz w:val="24"/>
                <w:szCs w:val="24"/>
                <w:lang w:eastAsia="zh-CN"/>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sidRPr="00B76512">
              <w:rPr>
                <w:rFonts w:hint="eastAsia"/>
                <w:color w:val="000000"/>
                <w:sz w:val="24"/>
                <w:szCs w:val="24"/>
                <w:lang w:eastAsia="zh-CN"/>
              </w:rPr>
              <w:t>品牌</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sidRPr="00B76512">
              <w:rPr>
                <w:rFonts w:hint="eastAsia"/>
                <w:color w:val="000000"/>
                <w:sz w:val="24"/>
                <w:szCs w:val="24"/>
                <w:lang w:eastAsia="zh-CN"/>
              </w:rPr>
              <w:t>型号</w:t>
            </w:r>
          </w:p>
        </w:tc>
        <w:tc>
          <w:tcPr>
            <w:tcW w:w="2377" w:type="dxa"/>
            <w:tcBorders>
              <w:top w:val="single" w:sz="4" w:space="0" w:color="auto"/>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Pr>
                <w:rFonts w:hint="eastAsia"/>
                <w:color w:val="000000"/>
                <w:sz w:val="24"/>
                <w:szCs w:val="24"/>
                <w:lang w:eastAsia="zh-CN"/>
              </w:rPr>
              <w:t>注明</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sidRPr="00B76512">
              <w:rPr>
                <w:rFonts w:hint="eastAsia"/>
                <w:color w:val="000000"/>
                <w:sz w:val="24"/>
                <w:szCs w:val="24"/>
                <w:lang w:eastAsia="zh-CN"/>
              </w:rPr>
              <w:t>数量</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color w:val="000000"/>
                <w:sz w:val="24"/>
                <w:szCs w:val="24"/>
                <w:lang w:eastAsia="zh-CN"/>
              </w:rPr>
            </w:pPr>
            <w:r w:rsidRPr="00B76512">
              <w:rPr>
                <w:rFonts w:hint="eastAsia"/>
                <w:color w:val="000000"/>
                <w:sz w:val="24"/>
                <w:szCs w:val="24"/>
                <w:lang w:eastAsia="zh-CN"/>
              </w:rPr>
              <w:t>单价</w:t>
            </w:r>
          </w:p>
          <w:p w:rsidR="00837BFA" w:rsidRPr="00B76512" w:rsidRDefault="00837BFA" w:rsidP="007D38F9">
            <w:pPr>
              <w:pStyle w:val="10"/>
              <w:rPr>
                <w:sz w:val="24"/>
                <w:szCs w:val="24"/>
              </w:rPr>
            </w:pPr>
            <w:r w:rsidRPr="00B76512">
              <w:rPr>
                <w:rFonts w:hint="eastAsia"/>
                <w:sz w:val="24"/>
                <w:szCs w:val="24"/>
              </w:rPr>
              <w:t>（元）</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837BFA" w:rsidRDefault="00837BFA" w:rsidP="007D38F9">
            <w:pPr>
              <w:widowControl/>
              <w:autoSpaceDE/>
              <w:autoSpaceDN/>
              <w:jc w:val="center"/>
              <w:rPr>
                <w:color w:val="000000"/>
                <w:sz w:val="24"/>
                <w:szCs w:val="24"/>
                <w:lang w:eastAsia="zh-CN"/>
              </w:rPr>
            </w:pPr>
            <w:r>
              <w:rPr>
                <w:rFonts w:hint="eastAsia"/>
                <w:color w:val="000000"/>
                <w:sz w:val="24"/>
                <w:szCs w:val="24"/>
                <w:lang w:eastAsia="zh-CN"/>
              </w:rPr>
              <w:t>合</w:t>
            </w:r>
            <w:r w:rsidRPr="00B76512">
              <w:rPr>
                <w:rFonts w:hint="eastAsia"/>
                <w:color w:val="000000"/>
                <w:sz w:val="24"/>
                <w:szCs w:val="24"/>
                <w:lang w:eastAsia="zh-CN"/>
              </w:rPr>
              <w:t>计</w:t>
            </w:r>
          </w:p>
          <w:p w:rsidR="00837BFA" w:rsidRPr="003B4A51" w:rsidRDefault="00837BFA" w:rsidP="007D38F9">
            <w:pPr>
              <w:pStyle w:val="10"/>
              <w:rPr>
                <w:sz w:val="24"/>
                <w:szCs w:val="24"/>
              </w:rPr>
            </w:pPr>
            <w:r w:rsidRPr="003B4A51">
              <w:rPr>
                <w:rFonts w:hint="eastAsia"/>
                <w:sz w:val="24"/>
                <w:szCs w:val="24"/>
              </w:rPr>
              <w:t>（元）</w:t>
            </w:r>
          </w:p>
        </w:tc>
        <w:tc>
          <w:tcPr>
            <w:tcW w:w="682" w:type="dxa"/>
            <w:tcBorders>
              <w:top w:val="single" w:sz="4" w:space="0" w:color="auto"/>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center"/>
              <w:rPr>
                <w:color w:val="000000"/>
                <w:sz w:val="24"/>
                <w:szCs w:val="24"/>
                <w:lang w:eastAsia="zh-CN"/>
              </w:rPr>
            </w:pPr>
            <w:r>
              <w:rPr>
                <w:rFonts w:hint="eastAsia"/>
                <w:color w:val="000000"/>
                <w:sz w:val="24"/>
                <w:szCs w:val="24"/>
                <w:lang w:eastAsia="zh-CN"/>
              </w:rPr>
              <w:t>备注</w:t>
            </w:r>
          </w:p>
        </w:tc>
      </w:tr>
      <w:tr w:rsidR="00837BFA" w:rsidRPr="00B76512" w:rsidTr="007D38F9">
        <w:trPr>
          <w:trHeight w:val="12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智能警戒摄像头</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DS-2CD3T46FWDA3-I</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智能警戒 声光报警（音频监听 夜视50米 400万像素摄像头，焦距8mm 清晰度4MP ）</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8个</w:t>
            </w:r>
          </w:p>
        </w:tc>
        <w:tc>
          <w:tcPr>
            <w:tcW w:w="936"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4"/>
                <w:szCs w:val="24"/>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r>
      <w:tr w:rsidR="00837BFA" w:rsidRPr="00B76512" w:rsidTr="007D38F9">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POE交换机</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 xml:space="preserve">DS-3E0318P-E </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16路带千兆网口</w:t>
            </w:r>
            <w:r>
              <w:rPr>
                <w:rFonts w:asciiTheme="majorEastAsia" w:eastAsiaTheme="majorEastAsia" w:hAnsiTheme="majorEastAsia" w:hint="eastAsia"/>
                <w:color w:val="000000"/>
                <w:sz w:val="21"/>
                <w:szCs w:val="21"/>
                <w:lang w:eastAsia="zh-CN"/>
              </w:rPr>
              <w:t>，</w:t>
            </w:r>
            <w:r w:rsidRPr="00B76512">
              <w:rPr>
                <w:rFonts w:asciiTheme="majorEastAsia" w:eastAsiaTheme="majorEastAsia" w:hAnsiTheme="majorEastAsia" w:hint="eastAsia"/>
                <w:color w:val="000000"/>
                <w:sz w:val="21"/>
                <w:szCs w:val="21"/>
                <w:lang w:eastAsia="zh-CN"/>
              </w:rPr>
              <w:t>供电250米</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1个</w:t>
            </w:r>
          </w:p>
        </w:tc>
        <w:tc>
          <w:tcPr>
            <w:tcW w:w="936"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r>
      <w:tr w:rsidR="00837BFA" w:rsidRPr="00B76512" w:rsidTr="007D38F9">
        <w:trPr>
          <w:trHeight w:val="6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3</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无线网桥</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TP-LINK</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TL-CPE500G</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5G 室外2口千兆无线网桥5KM</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1对</w:t>
            </w:r>
          </w:p>
        </w:tc>
        <w:tc>
          <w:tcPr>
            <w:tcW w:w="936"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r>
      <w:tr w:rsidR="00837BFA" w:rsidRPr="00B76512" w:rsidTr="007D38F9">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4</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智能AI录像机</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iDS-7908NX-K4/FA</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NVR人脸抓拍/识别iDS-7908NX-K4/FA智能AI录像机8路8TB 含</w:t>
            </w:r>
            <w:r>
              <w:rPr>
                <w:rFonts w:asciiTheme="majorEastAsia" w:eastAsiaTheme="majorEastAsia" w:hAnsiTheme="majorEastAsia" w:hint="eastAsia"/>
                <w:color w:val="000000"/>
                <w:sz w:val="21"/>
                <w:szCs w:val="21"/>
                <w:lang w:eastAsia="zh-CN"/>
              </w:rPr>
              <w:t>6T</w:t>
            </w:r>
            <w:r w:rsidRPr="00B76512">
              <w:rPr>
                <w:rFonts w:asciiTheme="majorEastAsia" w:eastAsiaTheme="majorEastAsia" w:hAnsiTheme="majorEastAsia" w:hint="eastAsia"/>
                <w:color w:val="000000"/>
                <w:sz w:val="21"/>
                <w:szCs w:val="21"/>
                <w:lang w:eastAsia="zh-CN"/>
              </w:rPr>
              <w:t>硬盘</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1个</w:t>
            </w:r>
          </w:p>
        </w:tc>
        <w:tc>
          <w:tcPr>
            <w:tcW w:w="936"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r>
      <w:tr w:rsidR="00837BFA" w:rsidRPr="00B76512" w:rsidTr="007D38F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 xml:space="preserve">显示器    </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 xml:space="preserve">D50F22 </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21.5英寸 海康视威高清监视器</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1台</w:t>
            </w:r>
          </w:p>
        </w:tc>
        <w:tc>
          <w:tcPr>
            <w:tcW w:w="936"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r>
      <w:tr w:rsidR="00837BFA" w:rsidRPr="00B76512" w:rsidTr="007D38F9">
        <w:trPr>
          <w:trHeight w:val="43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6</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 xml:space="preserve">6类网线   </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DS-1LN6-UE橙</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双绞线</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1200米</w:t>
            </w:r>
          </w:p>
        </w:tc>
        <w:tc>
          <w:tcPr>
            <w:tcW w:w="936"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r>
      <w:tr w:rsidR="00837BFA" w:rsidRPr="00B76512" w:rsidTr="007D38F9">
        <w:trPr>
          <w:trHeight w:val="8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7</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sidRPr="00B76512">
              <w:rPr>
                <w:rFonts w:asciiTheme="majorEastAsia" w:eastAsiaTheme="majorEastAsia" w:hAnsiTheme="majorEastAsia" w:hint="eastAsia"/>
                <w:b/>
                <w:bCs/>
                <w:color w:val="000000"/>
                <w:sz w:val="21"/>
                <w:szCs w:val="21"/>
                <w:lang w:eastAsia="zh-CN"/>
              </w:rPr>
              <w:t>水晶头</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海康威视</w:t>
            </w: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CAT6</w:t>
            </w:r>
          </w:p>
        </w:tc>
        <w:tc>
          <w:tcPr>
            <w:tcW w:w="237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六类CAT6一体式</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1盒（100个）</w:t>
            </w:r>
          </w:p>
        </w:tc>
        <w:tc>
          <w:tcPr>
            <w:tcW w:w="936"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jc w:val="right"/>
              <w:rPr>
                <w:rFonts w:asciiTheme="majorEastAsia" w:eastAsiaTheme="majorEastAsia" w:hAnsiTheme="majorEastAsia"/>
                <w:color w:val="000000"/>
                <w:sz w:val="21"/>
                <w:szCs w:val="21"/>
                <w:lang w:eastAsia="zh-CN"/>
              </w:rPr>
            </w:pPr>
          </w:p>
        </w:tc>
      </w:tr>
      <w:tr w:rsidR="00837BFA" w:rsidRPr="00B76512" w:rsidTr="007D38F9">
        <w:trPr>
          <w:trHeight w:val="8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8</w:t>
            </w:r>
          </w:p>
        </w:tc>
        <w:tc>
          <w:tcPr>
            <w:tcW w:w="1273"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设备状态卡</w:t>
            </w:r>
          </w:p>
        </w:tc>
        <w:tc>
          <w:tcPr>
            <w:tcW w:w="1134" w:type="dxa"/>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p>
        </w:tc>
        <w:tc>
          <w:tcPr>
            <w:tcW w:w="2127"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p>
        </w:tc>
        <w:tc>
          <w:tcPr>
            <w:tcW w:w="2377" w:type="dxa"/>
            <w:tcBorders>
              <w:top w:val="nil"/>
              <w:left w:val="nil"/>
              <w:bottom w:val="single" w:sz="4" w:space="0" w:color="auto"/>
              <w:right w:val="single" w:sz="4" w:space="0" w:color="auto"/>
            </w:tcBorders>
            <w:shd w:val="clear" w:color="auto" w:fill="auto"/>
            <w:vAlign w:val="center"/>
            <w:hideMark/>
          </w:tcPr>
          <w:p w:rsidR="00837BFA" w:rsidRDefault="00837BFA" w:rsidP="007D38F9">
            <w:pPr>
              <w:widowControl/>
              <w:autoSpaceDE/>
              <w:autoSpaceDN/>
              <w:rPr>
                <w:sz w:val="21"/>
                <w:szCs w:val="21"/>
                <w:shd w:val="clear" w:color="auto" w:fill="FFFFFF"/>
                <w:lang w:eastAsia="zh-CN"/>
              </w:rPr>
            </w:pPr>
            <w:r w:rsidRPr="003B4A51">
              <w:rPr>
                <w:rFonts w:hint="eastAsia"/>
                <w:sz w:val="21"/>
                <w:szCs w:val="21"/>
                <w:shd w:val="clear" w:color="auto" w:fill="FFFFFF"/>
                <w:lang w:eastAsia="zh-CN"/>
              </w:rPr>
              <w:t>a.材质，有机玻璃;</w:t>
            </w:r>
            <w:r w:rsidRPr="003B4A51">
              <w:rPr>
                <w:rFonts w:hint="eastAsia"/>
                <w:sz w:val="21"/>
                <w:szCs w:val="21"/>
                <w:lang w:eastAsia="zh-CN"/>
              </w:rPr>
              <w:br/>
            </w:r>
            <w:r w:rsidRPr="003B4A51">
              <w:rPr>
                <w:rFonts w:hint="eastAsia"/>
                <w:sz w:val="21"/>
                <w:szCs w:val="21"/>
                <w:shd w:val="clear" w:color="auto" w:fill="FFFFFF"/>
                <w:lang w:eastAsia="zh-CN"/>
              </w:rPr>
              <w:t xml:space="preserve">b.尺寸，直径7.5cm; </w:t>
            </w:r>
            <w:r w:rsidRPr="003B4A51">
              <w:rPr>
                <w:rFonts w:hint="eastAsia"/>
                <w:sz w:val="21"/>
                <w:szCs w:val="21"/>
                <w:lang w:eastAsia="zh-CN"/>
              </w:rPr>
              <w:br/>
            </w:r>
            <w:r w:rsidRPr="003B4A51">
              <w:rPr>
                <w:rFonts w:hint="eastAsia"/>
                <w:sz w:val="21"/>
                <w:szCs w:val="21"/>
                <w:shd w:val="clear" w:color="auto" w:fill="FFFFFF"/>
                <w:lang w:eastAsia="zh-CN"/>
              </w:rPr>
              <w:t>c.背面带强磁吸附，工业级3M背胶，可贴可吸附；</w:t>
            </w:r>
            <w:r w:rsidRPr="003B4A51">
              <w:rPr>
                <w:rFonts w:hint="eastAsia"/>
                <w:sz w:val="21"/>
                <w:szCs w:val="21"/>
                <w:lang w:eastAsia="zh-CN"/>
              </w:rPr>
              <w:br/>
            </w:r>
            <w:r w:rsidRPr="003B4A51">
              <w:rPr>
                <w:rFonts w:hint="eastAsia"/>
                <w:sz w:val="21"/>
                <w:szCs w:val="21"/>
                <w:shd w:val="clear" w:color="auto" w:fill="FFFFFF"/>
                <w:lang w:eastAsia="zh-CN"/>
              </w:rPr>
              <w:t>d.360度可旋转；</w:t>
            </w:r>
            <w:r w:rsidRPr="003B4A51">
              <w:rPr>
                <w:rFonts w:hint="eastAsia"/>
                <w:sz w:val="21"/>
                <w:szCs w:val="21"/>
                <w:lang w:eastAsia="zh-CN"/>
              </w:rPr>
              <w:br/>
            </w:r>
            <w:r w:rsidRPr="003B4A51">
              <w:rPr>
                <w:rFonts w:hint="eastAsia"/>
                <w:sz w:val="21"/>
                <w:szCs w:val="21"/>
                <w:shd w:val="clear" w:color="auto" w:fill="FFFFFF"/>
                <w:lang w:eastAsia="zh-CN"/>
              </w:rPr>
              <w:t>e.状态内容分5区，备用（蓝色）、使用中（绿色）、维修中（红色）、待机（黄色）、停用（灰色）；</w:t>
            </w:r>
          </w:p>
          <w:p w:rsidR="00837BFA" w:rsidRPr="003B4A51" w:rsidRDefault="00837BFA" w:rsidP="007D38F9">
            <w:pPr>
              <w:widowControl/>
              <w:autoSpaceDE/>
              <w:autoSpaceDN/>
              <w:rPr>
                <w:rFonts w:asciiTheme="majorEastAsia" w:eastAsiaTheme="majorEastAsia" w:hAnsiTheme="majorEastAsia"/>
                <w:sz w:val="21"/>
                <w:szCs w:val="21"/>
                <w:lang w:eastAsia="zh-CN"/>
              </w:rPr>
            </w:pPr>
            <w:r w:rsidRPr="003B4A51">
              <w:rPr>
                <w:rFonts w:hint="eastAsia"/>
                <w:sz w:val="21"/>
                <w:szCs w:val="21"/>
                <w:shd w:val="clear" w:color="auto" w:fill="FFFFFF"/>
                <w:lang w:eastAsia="zh-CN"/>
              </w:rPr>
              <w:t>f.防水防潮防腐蚀,带</w:t>
            </w:r>
            <w:r w:rsidRPr="003B4A51">
              <w:rPr>
                <w:rFonts w:hint="eastAsia"/>
                <w:sz w:val="21"/>
                <w:szCs w:val="21"/>
                <w:shd w:val="clear" w:color="auto" w:fill="FFFFFF"/>
                <w:lang w:eastAsia="zh-CN"/>
              </w:rPr>
              <w:lastRenderedPageBreak/>
              <w:t>公司logo（需定做）</w:t>
            </w:r>
          </w:p>
        </w:tc>
        <w:tc>
          <w:tcPr>
            <w:tcW w:w="102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lastRenderedPageBreak/>
              <w:t>400个</w:t>
            </w:r>
          </w:p>
        </w:tc>
        <w:tc>
          <w:tcPr>
            <w:tcW w:w="936"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1155" w:type="dxa"/>
            <w:tcBorders>
              <w:top w:val="nil"/>
              <w:left w:val="nil"/>
              <w:bottom w:val="single" w:sz="4" w:space="0" w:color="auto"/>
              <w:right w:val="single" w:sz="4" w:space="0" w:color="auto"/>
            </w:tcBorders>
            <w:shd w:val="clear" w:color="auto" w:fill="auto"/>
            <w:vAlign w:val="center"/>
            <w:hideMark/>
          </w:tcPr>
          <w:p w:rsidR="00837BFA" w:rsidRPr="00B76512" w:rsidRDefault="00837BFA" w:rsidP="007D38F9">
            <w:pPr>
              <w:widowControl/>
              <w:autoSpaceDE/>
              <w:autoSpaceDN/>
              <w:jc w:val="right"/>
              <w:rPr>
                <w:rFonts w:asciiTheme="majorEastAsia" w:eastAsiaTheme="majorEastAsia" w:hAnsiTheme="majorEastAsia"/>
                <w:color w:val="000000"/>
                <w:sz w:val="21"/>
                <w:szCs w:val="21"/>
                <w:lang w:eastAsia="zh-CN"/>
              </w:rPr>
            </w:pPr>
          </w:p>
        </w:tc>
        <w:tc>
          <w:tcPr>
            <w:tcW w:w="682" w:type="dxa"/>
            <w:tcBorders>
              <w:top w:val="nil"/>
              <w:left w:val="nil"/>
              <w:bottom w:val="single" w:sz="4" w:space="0" w:color="auto"/>
              <w:right w:val="single" w:sz="4" w:space="0" w:color="auto"/>
            </w:tcBorders>
            <w:shd w:val="clear" w:color="auto" w:fill="auto"/>
            <w:vAlign w:val="center"/>
          </w:tcPr>
          <w:p w:rsidR="00837BFA" w:rsidRPr="00B76512" w:rsidRDefault="00837BFA" w:rsidP="007D38F9">
            <w:pPr>
              <w:jc w:val="right"/>
              <w:rPr>
                <w:rFonts w:asciiTheme="majorEastAsia" w:eastAsiaTheme="majorEastAsia" w:hAnsiTheme="majorEastAsia"/>
                <w:color w:val="000000"/>
                <w:sz w:val="21"/>
                <w:szCs w:val="21"/>
                <w:lang w:eastAsia="zh-CN"/>
              </w:rPr>
            </w:pPr>
          </w:p>
        </w:tc>
      </w:tr>
      <w:tr w:rsidR="00837BFA" w:rsidRPr="00B76512" w:rsidTr="007D38F9">
        <w:trPr>
          <w:trHeight w:val="720"/>
        </w:trPr>
        <w:tc>
          <w:tcPr>
            <w:tcW w:w="9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lastRenderedPageBreak/>
              <w:t>合计</w:t>
            </w:r>
          </w:p>
        </w:tc>
        <w:tc>
          <w:tcPr>
            <w:tcW w:w="1837" w:type="dxa"/>
            <w:gridSpan w:val="2"/>
            <w:tcBorders>
              <w:top w:val="nil"/>
              <w:left w:val="nil"/>
              <w:bottom w:val="single" w:sz="4" w:space="0" w:color="auto"/>
              <w:right w:val="single" w:sz="4" w:space="0" w:color="auto"/>
            </w:tcBorders>
            <w:shd w:val="clear" w:color="auto" w:fill="auto"/>
            <w:noWrap/>
            <w:vAlign w:val="center"/>
            <w:hideMark/>
          </w:tcPr>
          <w:p w:rsidR="00837BFA" w:rsidRPr="00B76512" w:rsidRDefault="00837BFA" w:rsidP="007D38F9">
            <w:pPr>
              <w:widowControl/>
              <w:autoSpaceDE/>
              <w:autoSpaceDN/>
              <w:jc w:val="right"/>
              <w:rPr>
                <w:rFonts w:asciiTheme="majorEastAsia" w:eastAsiaTheme="majorEastAsia" w:hAnsiTheme="majorEastAsia"/>
                <w:b/>
                <w:bCs/>
                <w:color w:val="000000"/>
                <w:sz w:val="21"/>
                <w:szCs w:val="21"/>
                <w:lang w:eastAsia="zh-CN"/>
              </w:rPr>
            </w:pPr>
          </w:p>
        </w:tc>
      </w:tr>
    </w:tbl>
    <w:p w:rsidR="00FD0755" w:rsidRDefault="00FD0755" w:rsidP="00FD0755">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837BFA">
        <w:rPr>
          <w:rFonts w:asciiTheme="majorEastAsia" w:eastAsiaTheme="majorEastAsia" w:hAnsiTheme="majorEastAsia" w:hint="eastAsia"/>
          <w:sz w:val="24"/>
          <w:u w:val="single"/>
          <w:lang w:eastAsia="zh-CN"/>
        </w:rPr>
        <w:t>3</w:t>
      </w:r>
      <w:r w:rsidR="00F464B7">
        <w:rPr>
          <w:rFonts w:asciiTheme="majorEastAsia" w:eastAsiaTheme="majorEastAsia" w:hAnsiTheme="majorEastAsia" w:hint="eastAsia"/>
          <w:sz w:val="24"/>
          <w:u w:val="single"/>
          <w:lang w:eastAsia="zh-CN"/>
        </w:rPr>
        <w:t>0天</w:t>
      </w:r>
      <w:r>
        <w:rPr>
          <w:rFonts w:asciiTheme="majorEastAsia" w:eastAsiaTheme="majorEastAsia" w:hAnsiTheme="majorEastAsia" w:hint="eastAsia"/>
          <w:sz w:val="24"/>
          <w:u w:val="single"/>
          <w:lang w:eastAsia="zh-CN"/>
        </w:rPr>
        <w:t>（</w:t>
      </w:r>
      <w:r w:rsidR="00F464B7">
        <w:rPr>
          <w:rFonts w:asciiTheme="majorEastAsia" w:eastAsiaTheme="majorEastAsia" w:hAnsiTheme="majorEastAsia" w:hint="eastAsia"/>
          <w:sz w:val="24"/>
          <w:u w:val="single"/>
          <w:lang w:eastAsia="zh-CN"/>
        </w:rPr>
        <w:t>可</w:t>
      </w:r>
      <w:r>
        <w:rPr>
          <w:rFonts w:asciiTheme="majorEastAsia" w:eastAsiaTheme="majorEastAsia" w:hAnsiTheme="majorEastAsia" w:hint="eastAsia"/>
          <w:sz w:val="24"/>
          <w:u w:val="single"/>
          <w:lang w:eastAsia="zh-CN"/>
        </w:rPr>
        <w:t>分批交货）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837BFA" w:rsidRPr="00837BFA">
        <w:rPr>
          <w:rFonts w:asciiTheme="majorEastAsia" w:eastAsiaTheme="majorEastAsia" w:hAnsiTheme="majorEastAsia" w:hint="eastAsia"/>
          <w:sz w:val="24"/>
          <w:u w:val="single"/>
        </w:rPr>
        <w:t>95</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D63D30" w:rsidRPr="00D63D30" w:rsidRDefault="00EE07DD" w:rsidP="00837BF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3.</w:t>
      </w:r>
      <w:r w:rsidR="00A71A24">
        <w:rPr>
          <w:rFonts w:asciiTheme="majorEastAsia" w:eastAsiaTheme="majorEastAsia" w:hAnsiTheme="majorEastAsia" w:hint="eastAsia"/>
          <w:sz w:val="24"/>
          <w:lang w:eastAsia="zh-CN"/>
        </w:rPr>
        <w:t>3</w:t>
      </w:r>
      <w:r w:rsidR="00837BFA">
        <w:rPr>
          <w:rFonts w:asciiTheme="majorEastAsia" w:eastAsiaTheme="majorEastAsia" w:hAnsiTheme="majorEastAsia" w:hint="eastAsia"/>
          <w:sz w:val="24"/>
          <w:lang w:eastAsia="zh-CN"/>
        </w:rPr>
        <w:t xml:space="preserve"> </w:t>
      </w:r>
      <w:r w:rsidR="00D63D30">
        <w:rPr>
          <w:rFonts w:hint="eastAsia"/>
          <w:sz w:val="24"/>
          <w:szCs w:val="24"/>
          <w:lang w:eastAsia="zh-CN"/>
        </w:rPr>
        <w:t>质保款：合同总价5%作为质保款，质保期为一年，期满后无任何质量问题，甲方20个工作日内无息返还。</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u w:val="single"/>
        </w:rPr>
        <w:t>1</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rPr>
        <w:t>年）内，乙方应当对其交付的产品承担质量保证责任，所需费用由乙方承担。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w:t>
      </w:r>
      <w:r w:rsidR="00395FE5" w:rsidRPr="00C82168">
        <w:rPr>
          <w:rFonts w:asciiTheme="majorEastAsia" w:eastAsiaTheme="majorEastAsia" w:hAnsiTheme="majorEastAsia" w:hint="eastAsia"/>
          <w:sz w:val="24"/>
          <w:lang w:eastAsia="zh-CN"/>
        </w:rPr>
        <w:lastRenderedPageBreak/>
        <w:t>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EE07DD" w:rsidRPr="00C82168" w:rsidRDefault="00B85214"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B85214"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B85214"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B85214"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lastRenderedPageBreak/>
        <w:t>向乙方</w:t>
      </w:r>
      <w:r w:rsidR="00395FE5" w:rsidRPr="00C24461">
        <w:rPr>
          <w:rFonts w:hint="eastAsia"/>
          <w:sz w:val="24"/>
          <w:szCs w:val="24"/>
          <w:lang w:eastAsia="zh-CN"/>
        </w:rPr>
        <w:t>支付利息</w:t>
      </w:r>
      <w:r w:rsidR="00395FE5">
        <w:rPr>
          <w:rFonts w:hint="eastAsia"/>
          <w:sz w:val="24"/>
          <w:lang w:eastAsia="zh-CN"/>
        </w:rPr>
        <w:t>。</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EE07DD" w:rsidRPr="00C82168" w:rsidRDefault="00EE07DD" w:rsidP="00EE07DD">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D0755" w:rsidRPr="00395FE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0"/>
    </w:tbl>
    <w:p w:rsidR="00B70CEE" w:rsidRDefault="00B70CEE" w:rsidP="00391310">
      <w:pPr>
        <w:pStyle w:val="10"/>
        <w:rPr>
          <w:b/>
          <w:bCs/>
          <w:sz w:val="32"/>
          <w:szCs w:val="32"/>
        </w:rPr>
      </w:pPr>
    </w:p>
    <w:sectPr w:rsidR="00B70CE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D5" w:rsidRDefault="005541D5">
      <w:r>
        <w:separator/>
      </w:r>
    </w:p>
  </w:endnote>
  <w:endnote w:type="continuationSeparator" w:id="0">
    <w:p w:rsidR="005541D5" w:rsidRDefault="00554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77760C" w:rsidRDefault="0077760C">
            <w:pPr>
              <w:pStyle w:val="a8"/>
              <w:jc w:val="center"/>
            </w:pPr>
            <w:r>
              <w:rPr>
                <w:lang w:val="zh-CN" w:eastAsia="zh-CN"/>
              </w:rPr>
              <w:t xml:space="preserve"> </w:t>
            </w:r>
            <w:r w:rsidR="00B85214">
              <w:rPr>
                <w:b/>
                <w:bCs/>
                <w:sz w:val="24"/>
                <w:szCs w:val="24"/>
              </w:rPr>
              <w:fldChar w:fldCharType="begin"/>
            </w:r>
            <w:r>
              <w:rPr>
                <w:b/>
                <w:bCs/>
              </w:rPr>
              <w:instrText>PAGE</w:instrText>
            </w:r>
            <w:r w:rsidR="00B85214">
              <w:rPr>
                <w:b/>
                <w:bCs/>
                <w:sz w:val="24"/>
                <w:szCs w:val="24"/>
              </w:rPr>
              <w:fldChar w:fldCharType="separate"/>
            </w:r>
            <w:r w:rsidR="00122F40">
              <w:rPr>
                <w:b/>
                <w:bCs/>
                <w:noProof/>
              </w:rPr>
              <w:t>1</w:t>
            </w:r>
            <w:r w:rsidR="00B85214">
              <w:rPr>
                <w:b/>
                <w:bCs/>
                <w:sz w:val="24"/>
                <w:szCs w:val="24"/>
              </w:rPr>
              <w:fldChar w:fldCharType="end"/>
            </w:r>
            <w:r>
              <w:rPr>
                <w:lang w:val="zh-CN" w:eastAsia="zh-CN"/>
              </w:rPr>
              <w:t xml:space="preserve"> / </w:t>
            </w:r>
            <w:r w:rsidR="00B85214">
              <w:rPr>
                <w:b/>
                <w:bCs/>
                <w:sz w:val="24"/>
                <w:szCs w:val="24"/>
              </w:rPr>
              <w:fldChar w:fldCharType="begin"/>
            </w:r>
            <w:r>
              <w:rPr>
                <w:b/>
                <w:bCs/>
              </w:rPr>
              <w:instrText>NUMPAGES</w:instrText>
            </w:r>
            <w:r w:rsidR="00B85214">
              <w:rPr>
                <w:b/>
                <w:bCs/>
                <w:sz w:val="24"/>
                <w:szCs w:val="24"/>
              </w:rPr>
              <w:fldChar w:fldCharType="separate"/>
            </w:r>
            <w:r w:rsidR="00122F40">
              <w:rPr>
                <w:b/>
                <w:bCs/>
                <w:noProof/>
              </w:rPr>
              <w:t>15</w:t>
            </w:r>
            <w:r w:rsidR="00B85214">
              <w:rPr>
                <w:b/>
                <w:bCs/>
                <w:sz w:val="24"/>
                <w:szCs w:val="24"/>
              </w:rPr>
              <w:fldChar w:fldCharType="end"/>
            </w:r>
          </w:p>
        </w:sdtContent>
      </w:sdt>
    </w:sdtContent>
  </w:sdt>
  <w:p w:rsidR="0077760C" w:rsidRDefault="007776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AB2924" w:rsidRDefault="00B85214">
        <w:pPr>
          <w:pStyle w:val="a8"/>
          <w:jc w:val="center"/>
        </w:pPr>
        <w:fldSimple w:instr=" PAGE   \* MERGEFORMAT ">
          <w:r w:rsidR="00AE0B15" w:rsidRPr="00AE0B15">
            <w:rPr>
              <w:noProof/>
              <w:lang w:val="zh-CN"/>
            </w:rPr>
            <w:t>4</w:t>
          </w:r>
        </w:fldSimple>
      </w:p>
    </w:sdtContent>
  </w:sdt>
  <w:p w:rsidR="0077760C" w:rsidRDefault="0077760C">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D5" w:rsidRDefault="005541D5">
      <w:r>
        <w:separator/>
      </w:r>
    </w:p>
  </w:footnote>
  <w:footnote w:type="continuationSeparator" w:id="0">
    <w:p w:rsidR="005541D5" w:rsidRDefault="00554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8"/>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useFELayout/>
  </w:compat>
  <w:rsids>
    <w:rsidRoot w:val="00967702"/>
    <w:rsid w:val="000004E6"/>
    <w:rsid w:val="000010FA"/>
    <w:rsid w:val="000011A0"/>
    <w:rsid w:val="00001416"/>
    <w:rsid w:val="000034C1"/>
    <w:rsid w:val="00004C5E"/>
    <w:rsid w:val="00010BA8"/>
    <w:rsid w:val="00025717"/>
    <w:rsid w:val="000277D1"/>
    <w:rsid w:val="000367ED"/>
    <w:rsid w:val="00037D7F"/>
    <w:rsid w:val="00052C0E"/>
    <w:rsid w:val="00054A8A"/>
    <w:rsid w:val="00057E4C"/>
    <w:rsid w:val="00060DB7"/>
    <w:rsid w:val="00065E22"/>
    <w:rsid w:val="000674E3"/>
    <w:rsid w:val="00074760"/>
    <w:rsid w:val="00085CA2"/>
    <w:rsid w:val="00092243"/>
    <w:rsid w:val="0009500D"/>
    <w:rsid w:val="000962C0"/>
    <w:rsid w:val="000A1C86"/>
    <w:rsid w:val="000A3740"/>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706"/>
    <w:rsid w:val="00437CA2"/>
    <w:rsid w:val="0044065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70006F"/>
    <w:rsid w:val="00701816"/>
    <w:rsid w:val="00701DE6"/>
    <w:rsid w:val="0070392A"/>
    <w:rsid w:val="007072CB"/>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9032FB"/>
    <w:rsid w:val="00903CE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D70"/>
    <w:rsid w:val="00A22D9A"/>
    <w:rsid w:val="00A2542D"/>
    <w:rsid w:val="00A278D7"/>
    <w:rsid w:val="00A37693"/>
    <w:rsid w:val="00A434E0"/>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60EB2-945A-42CB-B874-2316CA2E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975</Words>
  <Characters>5563</Characters>
  <Application>Microsoft Office Word</Application>
  <DocSecurity>0</DocSecurity>
  <Lines>46</Lines>
  <Paragraphs>13</Paragraphs>
  <ScaleCrop>false</ScaleCrop>
  <Company>福化环保</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16</cp:revision>
  <dcterms:created xsi:type="dcterms:W3CDTF">2020-09-27T09:04:00Z</dcterms:created>
  <dcterms:modified xsi:type="dcterms:W3CDTF">2020-10-10T08:55:00Z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