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3B0A" w:rsidRPr="005735FE" w:rsidRDefault="0030185E" w:rsidP="005735FE">
      <w:pPr>
        <w:spacing w:line="360" w:lineRule="auto"/>
        <w:ind w:firstLineChars="266" w:firstLine="961"/>
        <w:jc w:val="center"/>
        <w:rPr>
          <w:rFonts w:asciiTheme="minorEastAsia" w:eastAsiaTheme="minorEastAsia" w:hAnsiTheme="minorEastAsia"/>
          <w:b/>
          <w:bCs/>
          <w:color w:val="000000" w:themeColor="text1"/>
          <w:sz w:val="36"/>
          <w:szCs w:val="36"/>
        </w:rPr>
      </w:pPr>
      <w:r w:rsidRPr="00CB051D">
        <w:rPr>
          <w:rFonts w:asciiTheme="minorEastAsia" w:eastAsiaTheme="minorEastAsia" w:hAnsiTheme="minorEastAsia" w:hint="eastAsia"/>
          <w:b/>
          <w:bCs/>
          <w:color w:val="000000" w:themeColor="text1"/>
          <w:sz w:val="36"/>
          <w:szCs w:val="36"/>
        </w:rPr>
        <w:t>福海创</w:t>
      </w:r>
      <w:r w:rsidR="00144E3F">
        <w:rPr>
          <w:rFonts w:asciiTheme="minorEastAsia" w:eastAsiaTheme="minorEastAsia" w:hAnsiTheme="minorEastAsia" w:hint="eastAsia"/>
          <w:b/>
          <w:bCs/>
          <w:color w:val="000000" w:themeColor="text1"/>
          <w:sz w:val="36"/>
          <w:szCs w:val="36"/>
        </w:rPr>
        <w:t>中控室</w:t>
      </w:r>
      <w:r w:rsidRPr="00CB051D">
        <w:rPr>
          <w:rFonts w:asciiTheme="minorEastAsia" w:eastAsiaTheme="minorEastAsia" w:hAnsiTheme="minorEastAsia" w:hint="eastAsia"/>
          <w:b/>
          <w:bCs/>
          <w:color w:val="000000" w:themeColor="text1"/>
          <w:sz w:val="36"/>
          <w:szCs w:val="36"/>
        </w:rPr>
        <w:t>声学改造工程</w:t>
      </w:r>
      <w:r w:rsidR="005735FE">
        <w:rPr>
          <w:rFonts w:asciiTheme="minorEastAsia" w:eastAsiaTheme="minorEastAsia" w:hAnsiTheme="minorEastAsia" w:hint="eastAsia"/>
          <w:b/>
          <w:bCs/>
          <w:color w:val="000000" w:themeColor="text1"/>
          <w:sz w:val="36"/>
          <w:szCs w:val="36"/>
        </w:rPr>
        <w:t xml:space="preserve"> </w:t>
      </w:r>
      <w:r w:rsidR="005735FE">
        <w:rPr>
          <w:rFonts w:asciiTheme="minorEastAsia" w:eastAsiaTheme="minorEastAsia" w:hAnsiTheme="minorEastAsia" w:hint="eastAsia"/>
          <w:b/>
          <w:color w:val="000000" w:themeColor="text1"/>
          <w:sz w:val="36"/>
          <w:szCs w:val="36"/>
        </w:rPr>
        <w:t>发包要求</w:t>
      </w:r>
    </w:p>
    <w:p w:rsidR="00E63B0A" w:rsidRDefault="0030185E">
      <w:pPr>
        <w:pStyle w:val="10"/>
        <w:numPr>
          <w:ilvl w:val="0"/>
          <w:numId w:val="1"/>
        </w:numPr>
        <w:spacing w:line="360" w:lineRule="auto"/>
        <w:ind w:left="0" w:firstLineChars="266" w:firstLine="64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工程概况</w:t>
      </w:r>
    </w:p>
    <w:p w:rsidR="00E63B0A" w:rsidRDefault="0030185E">
      <w:pPr>
        <w:pStyle w:val="10"/>
        <w:numPr>
          <w:ilvl w:val="0"/>
          <w:numId w:val="2"/>
        </w:numPr>
        <w:spacing w:line="360" w:lineRule="auto"/>
        <w:ind w:left="0"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工程名称：福海创</w:t>
      </w:r>
      <w:r w:rsidR="00144E3F">
        <w:rPr>
          <w:rFonts w:asciiTheme="minorEastAsia" w:eastAsiaTheme="minorEastAsia" w:hAnsiTheme="minorEastAsia" w:hint="eastAsia"/>
          <w:color w:val="000000" w:themeColor="text1"/>
          <w:sz w:val="24"/>
        </w:rPr>
        <w:t>中控室</w:t>
      </w:r>
      <w:r>
        <w:rPr>
          <w:rFonts w:asciiTheme="minorEastAsia" w:eastAsiaTheme="minorEastAsia" w:hAnsiTheme="minorEastAsia" w:hint="eastAsia"/>
          <w:color w:val="000000" w:themeColor="text1"/>
          <w:sz w:val="24"/>
        </w:rPr>
        <w:t>声学改造工程</w:t>
      </w:r>
    </w:p>
    <w:p w:rsidR="00E63B0A" w:rsidRDefault="0030185E">
      <w:pPr>
        <w:pStyle w:val="10"/>
        <w:numPr>
          <w:ilvl w:val="0"/>
          <w:numId w:val="2"/>
        </w:numPr>
        <w:spacing w:line="360" w:lineRule="auto"/>
        <w:ind w:left="0"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工程地址：漳州市古雷港经济开发区</w:t>
      </w:r>
    </w:p>
    <w:p w:rsidR="00E63B0A" w:rsidRDefault="0030185E">
      <w:pPr>
        <w:pStyle w:val="10"/>
        <w:numPr>
          <w:ilvl w:val="0"/>
          <w:numId w:val="2"/>
        </w:numPr>
        <w:spacing w:line="360" w:lineRule="auto"/>
        <w:ind w:left="0"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招标单位：福建福海创石油化工有限公司</w:t>
      </w:r>
    </w:p>
    <w:p w:rsidR="00E63B0A" w:rsidRPr="008B7531" w:rsidRDefault="0030185E">
      <w:pPr>
        <w:pStyle w:val="10"/>
        <w:numPr>
          <w:ilvl w:val="0"/>
          <w:numId w:val="2"/>
        </w:numPr>
        <w:spacing w:line="440" w:lineRule="exact"/>
        <w:ind w:left="0" w:firstLineChars="266" w:firstLine="638"/>
        <w:rPr>
          <w:rFonts w:asciiTheme="minorEastAsia" w:eastAsiaTheme="minorEastAsia" w:hAnsiTheme="minorEastAsia" w:cs="Tahoma"/>
          <w:sz w:val="24"/>
        </w:rPr>
      </w:pPr>
      <w:r w:rsidRPr="008B7531">
        <w:rPr>
          <w:rFonts w:asciiTheme="minorEastAsia" w:eastAsiaTheme="minorEastAsia" w:hAnsiTheme="minorEastAsia" w:hint="eastAsia"/>
          <w:sz w:val="24"/>
        </w:rPr>
        <w:t>概述：</w:t>
      </w:r>
      <w:r w:rsidRPr="008B7531">
        <w:rPr>
          <w:rFonts w:asciiTheme="minorEastAsia" w:eastAsiaTheme="minorEastAsia" w:hAnsiTheme="minorEastAsia" w:cs="Tahoma"/>
          <w:sz w:val="24"/>
        </w:rPr>
        <w:t>本项目为</w:t>
      </w:r>
      <w:r w:rsidRPr="008B7531">
        <w:rPr>
          <w:rFonts w:asciiTheme="minorEastAsia" w:eastAsiaTheme="minorEastAsia" w:hAnsiTheme="minorEastAsia" w:cs="Tahoma" w:hint="eastAsia"/>
          <w:sz w:val="24"/>
        </w:rPr>
        <w:t>福海创</w:t>
      </w:r>
      <w:r w:rsidR="00144E3F">
        <w:rPr>
          <w:rFonts w:asciiTheme="minorEastAsia" w:eastAsiaTheme="minorEastAsia" w:hAnsiTheme="minorEastAsia" w:cs="Tahoma" w:hint="eastAsia"/>
          <w:sz w:val="24"/>
        </w:rPr>
        <w:t>中控室</w:t>
      </w:r>
      <w:r w:rsidRPr="008B7531">
        <w:rPr>
          <w:rFonts w:asciiTheme="minorEastAsia" w:eastAsiaTheme="minorEastAsia" w:hAnsiTheme="minorEastAsia" w:cs="Tahoma" w:hint="eastAsia"/>
          <w:sz w:val="24"/>
        </w:rPr>
        <w:t>声学改造工程，包含吊顶音质装修以及墙面音质装修</w:t>
      </w:r>
      <w:r w:rsidRPr="008B7531">
        <w:rPr>
          <w:rFonts w:asciiTheme="minorEastAsia" w:eastAsiaTheme="minorEastAsia" w:hAnsiTheme="minorEastAsia" w:cs="Tahoma" w:hint="eastAsia"/>
          <w:color w:val="000000" w:themeColor="text1"/>
          <w:sz w:val="24"/>
        </w:rPr>
        <w:t>等设计</w:t>
      </w:r>
      <w:r w:rsidRPr="008B7531">
        <w:rPr>
          <w:rFonts w:asciiTheme="minorEastAsia" w:eastAsiaTheme="minorEastAsia" w:hAnsiTheme="minorEastAsia" w:cs="Tahoma" w:hint="eastAsia"/>
          <w:sz w:val="24"/>
        </w:rPr>
        <w:t>及工程有关声学、装饰及其结构支撑等设备、材料、辅材等供应和施工、验收，含招标人指定检测单位进行有关检测、验收的收费</w:t>
      </w:r>
      <w:r w:rsidRPr="008B7531">
        <w:rPr>
          <w:rFonts w:asciiTheme="minorEastAsia" w:eastAsiaTheme="minorEastAsia" w:hAnsiTheme="minorEastAsia" w:cs="Tahoma"/>
          <w:sz w:val="24"/>
        </w:rPr>
        <w:t>。</w:t>
      </w:r>
      <w:r w:rsidRPr="008B7531">
        <w:rPr>
          <w:rFonts w:asciiTheme="minorEastAsia" w:eastAsiaTheme="minorEastAsia" w:hAnsiTheme="minorEastAsia" w:cs="Tahoma" w:hint="eastAsia"/>
          <w:sz w:val="24"/>
        </w:rPr>
        <w:t>目前该中心存在以下声学音质现象：一、回声及驻波共振等声学缺陷严重，声音嘈杂混乱；二、混响时间过长，声音拖沓繁冗、浑浊不清，语言清晰度差。具体各数据指标等须由投标人现场进行勘察测量，投标人根据以下设计方案、设计标准、外观要求及工程</w:t>
      </w:r>
      <w:r w:rsidR="001472D8">
        <w:rPr>
          <w:rFonts w:asciiTheme="minorEastAsia" w:eastAsiaTheme="minorEastAsia" w:hAnsiTheme="minorEastAsia" w:cs="Tahoma" w:hint="eastAsia"/>
          <w:sz w:val="24"/>
        </w:rPr>
        <w:t>总价包干</w:t>
      </w:r>
      <w:r w:rsidRPr="008B7531">
        <w:rPr>
          <w:rFonts w:asciiTheme="minorEastAsia" w:eastAsiaTheme="minorEastAsia" w:hAnsiTheme="minorEastAsia" w:cs="Tahoma" w:hint="eastAsia"/>
          <w:sz w:val="24"/>
        </w:rPr>
        <w:t>进行报价、施工、办理验收等。</w:t>
      </w:r>
    </w:p>
    <w:p w:rsidR="00E63B0A" w:rsidRDefault="0030185E">
      <w:pPr>
        <w:pStyle w:val="10"/>
        <w:numPr>
          <w:ilvl w:val="0"/>
          <w:numId w:val="2"/>
        </w:numPr>
        <w:spacing w:line="440" w:lineRule="exact"/>
        <w:ind w:left="0" w:firstLineChars="266" w:firstLine="638"/>
        <w:rPr>
          <w:rFonts w:asciiTheme="minorEastAsia" w:eastAsiaTheme="minorEastAsia" w:hAnsiTheme="minorEastAsia" w:cs="Tahoma"/>
          <w:color w:val="000000" w:themeColor="text1"/>
          <w:sz w:val="24"/>
        </w:rPr>
      </w:pPr>
      <w:r w:rsidRPr="008B7531">
        <w:rPr>
          <w:rFonts w:asciiTheme="minorEastAsia" w:eastAsiaTheme="minorEastAsia" w:hAnsiTheme="minorEastAsia" w:cs="Tahoma" w:hint="eastAsia"/>
          <w:sz w:val="24"/>
        </w:rPr>
        <w:t>工程内容：</w:t>
      </w:r>
    </w:p>
    <w:p w:rsidR="00E63B0A" w:rsidRDefault="0030185E">
      <w:pPr>
        <w:spacing w:line="360" w:lineRule="auto"/>
        <w:ind w:firstLineChars="200" w:firstLine="480"/>
        <w:rPr>
          <w:rFonts w:cs="Tahoma"/>
          <w:bCs/>
          <w:sz w:val="24"/>
        </w:rPr>
      </w:pPr>
      <w:r>
        <w:rPr>
          <w:rFonts w:cs="Tahoma" w:hint="eastAsia"/>
          <w:bCs/>
          <w:sz w:val="24"/>
        </w:rPr>
        <w:t>1</w:t>
      </w:r>
      <w:r>
        <w:rPr>
          <w:rFonts w:cs="Tahoma" w:hint="eastAsia"/>
          <w:bCs/>
          <w:sz w:val="24"/>
        </w:rPr>
        <w:t>）将原吊顶换成</w:t>
      </w:r>
      <w:r>
        <w:rPr>
          <w:rFonts w:cs="Tahoma" w:hint="eastAsia"/>
          <w:bCs/>
          <w:sz w:val="24"/>
        </w:rPr>
        <w:t>10mm</w:t>
      </w:r>
      <w:r>
        <w:rPr>
          <w:rFonts w:cs="Tahoma" w:hint="eastAsia"/>
          <w:bCs/>
          <w:sz w:val="24"/>
        </w:rPr>
        <w:t>穿孔石膏板（保留现有龙骨），内藏</w:t>
      </w:r>
      <w:r>
        <w:rPr>
          <w:rFonts w:cs="Tahoma" w:hint="eastAsia"/>
          <w:bCs/>
          <w:sz w:val="24"/>
        </w:rPr>
        <w:t>50cm90K</w:t>
      </w:r>
      <w:r>
        <w:rPr>
          <w:rFonts w:cs="Tahoma" w:hint="eastAsia"/>
          <w:bCs/>
          <w:sz w:val="24"/>
        </w:rPr>
        <w:t>以上固化玻纤吸声板（采用钢丝绳及挂钩受力吊挂），约为</w:t>
      </w:r>
      <w:r>
        <w:rPr>
          <w:rFonts w:cs="Tahoma" w:hint="eastAsia"/>
          <w:bCs/>
          <w:sz w:val="24"/>
        </w:rPr>
        <w:t>1/3</w:t>
      </w:r>
      <w:r>
        <w:rPr>
          <w:rFonts w:cs="Tahoma" w:hint="eastAsia"/>
          <w:bCs/>
          <w:sz w:val="24"/>
        </w:rPr>
        <w:t>吊顶面积，分散布置，满足受力要求及安装简便要求。</w:t>
      </w:r>
    </w:p>
    <w:p w:rsidR="00E63B0A" w:rsidRDefault="0030185E" w:rsidP="008D6FC4">
      <w:pPr>
        <w:pStyle w:val="10"/>
        <w:spacing w:afterLines="50" w:line="440" w:lineRule="exact"/>
        <w:ind w:firstLine="480"/>
        <w:rPr>
          <w:rFonts w:ascii="宋体" w:hAnsi="宋体" w:cs="宋体"/>
          <w:color w:val="000000"/>
          <w:sz w:val="24"/>
        </w:rPr>
      </w:pPr>
      <w:r>
        <w:rPr>
          <w:rFonts w:ascii="宋体" w:hAnsi="宋体" w:cs="宋体" w:hint="eastAsia"/>
          <w:color w:val="000000"/>
          <w:sz w:val="24"/>
        </w:rPr>
        <w:t>2）对现有墙面采用“中高频吸声结构+中低频吸声结构”相结合的声学音质设计，两种构造平均分布于墙体，控制室前后墙体（长边方向）增加中低频吸声结构，中低频吸声结构采用“吸声板+阻燃板（开长条口，100*400，各边间距100mm）+防火龙骨+玻纤布防挥发层+玻璃棉”；控制室左右墙体（短边方向）增加中高频吸声结构，中高频吸声结构采用“聚酯纤维吸声板+阻燃板（开长条口，100*400，各边间距100mm）+龙骨+玻纤吸声布防挥发层+玻璃棉”</w:t>
      </w:r>
    </w:p>
    <w:p w:rsidR="00E63B0A" w:rsidRDefault="0030185E">
      <w:pPr>
        <w:pStyle w:val="10"/>
        <w:numPr>
          <w:ilvl w:val="0"/>
          <w:numId w:val="1"/>
        </w:numPr>
        <w:spacing w:line="360" w:lineRule="auto"/>
        <w:ind w:left="0" w:firstLineChars="266" w:firstLine="64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技术标准</w:t>
      </w:r>
    </w:p>
    <w:p w:rsidR="00E63B0A" w:rsidRDefault="0030185E">
      <w:pPr>
        <w:spacing w:line="440" w:lineRule="exact"/>
        <w:ind w:firstLineChars="266" w:firstLine="638"/>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包括但不限于：</w:t>
      </w:r>
    </w:p>
    <w:p w:rsidR="00E63B0A" w:rsidRDefault="0030185E">
      <w:pPr>
        <w:pStyle w:val="10"/>
        <w:numPr>
          <w:ilvl w:val="255"/>
          <w:numId w:val="0"/>
        </w:numPr>
        <w:tabs>
          <w:tab w:val="left" w:pos="851"/>
        </w:tabs>
        <w:spacing w:line="440" w:lineRule="exact"/>
        <w:ind w:firstLineChars="200" w:firstLine="480"/>
        <w:rPr>
          <w:rFonts w:asciiTheme="minorEastAsia" w:eastAsiaTheme="minorEastAsia" w:hAnsiTheme="minorEastAsia"/>
          <w:bCs/>
          <w:color w:val="000000" w:themeColor="text1"/>
          <w:sz w:val="24"/>
        </w:rPr>
      </w:pPr>
      <w:bookmarkStart w:id="0" w:name="_Toc313281302"/>
      <w:bookmarkStart w:id="1" w:name="_Toc320179773"/>
      <w:bookmarkStart w:id="2" w:name="_Toc320179827"/>
      <w:bookmarkStart w:id="3" w:name="_Toc227634190"/>
      <w:bookmarkStart w:id="4" w:name="_Toc384719772"/>
      <w:bookmarkStart w:id="5" w:name="_Toc246961543"/>
      <w:r>
        <w:rPr>
          <w:rFonts w:asciiTheme="minorEastAsia" w:eastAsiaTheme="minorEastAsia" w:hAnsiTheme="minorEastAsia"/>
          <w:bCs/>
          <w:color w:val="000000" w:themeColor="text1"/>
          <w:sz w:val="24"/>
        </w:rPr>
        <w:t>《</w:t>
      </w:r>
      <w:r>
        <w:rPr>
          <w:rFonts w:asciiTheme="minorEastAsia" w:eastAsiaTheme="minorEastAsia" w:hAnsiTheme="minorEastAsia" w:hint="eastAsia"/>
          <w:bCs/>
          <w:color w:val="000000" w:themeColor="text1"/>
          <w:sz w:val="24"/>
        </w:rPr>
        <w:t>GB50016-2014 建筑设计防火规范</w:t>
      </w:r>
      <w:r>
        <w:rPr>
          <w:rFonts w:asciiTheme="minorEastAsia" w:eastAsiaTheme="minorEastAsia" w:hAnsiTheme="minorEastAsia"/>
          <w:bCs/>
          <w:color w:val="000000" w:themeColor="text1"/>
          <w:sz w:val="24"/>
        </w:rPr>
        <w:t>》</w:t>
      </w:r>
      <w:bookmarkEnd w:id="0"/>
      <w:bookmarkEnd w:id="1"/>
      <w:bookmarkEnd w:id="2"/>
      <w:bookmarkEnd w:id="3"/>
      <w:bookmarkEnd w:id="4"/>
      <w:bookmarkEnd w:id="5"/>
    </w:p>
    <w:p w:rsidR="00E63B0A" w:rsidRDefault="0030185E">
      <w:pPr>
        <w:pStyle w:val="10"/>
        <w:numPr>
          <w:ilvl w:val="255"/>
          <w:numId w:val="0"/>
        </w:numPr>
        <w:tabs>
          <w:tab w:val="left" w:pos="851"/>
        </w:tabs>
        <w:spacing w:line="440" w:lineRule="exact"/>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《GB/T-20247 声学 混响室吸声测量》</w:t>
      </w:r>
    </w:p>
    <w:p w:rsidR="00E63B0A" w:rsidRDefault="0030185E">
      <w:pPr>
        <w:pStyle w:val="10"/>
        <w:numPr>
          <w:ilvl w:val="255"/>
          <w:numId w:val="0"/>
        </w:numPr>
        <w:tabs>
          <w:tab w:val="left" w:pos="851"/>
        </w:tabs>
        <w:spacing w:line="440" w:lineRule="exact"/>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w:t>
      </w:r>
      <w:r>
        <w:rPr>
          <w:rFonts w:asciiTheme="minorEastAsia" w:eastAsiaTheme="minorEastAsia" w:hAnsiTheme="minorEastAsia" w:hint="eastAsia"/>
          <w:bCs/>
          <w:color w:val="000000" w:themeColor="text1"/>
          <w:sz w:val="24"/>
        </w:rPr>
        <w:t>08J931 建筑隔声与吸声构造</w:t>
      </w:r>
      <w:r>
        <w:rPr>
          <w:rFonts w:asciiTheme="minorEastAsia" w:eastAsiaTheme="minorEastAsia" w:hAnsiTheme="minorEastAsia"/>
          <w:bCs/>
          <w:color w:val="000000" w:themeColor="text1"/>
          <w:sz w:val="24"/>
        </w:rPr>
        <w:t>》</w:t>
      </w:r>
    </w:p>
    <w:p w:rsidR="00E63B0A" w:rsidRDefault="0030185E">
      <w:pPr>
        <w:pStyle w:val="10"/>
        <w:numPr>
          <w:ilvl w:val="255"/>
          <w:numId w:val="0"/>
        </w:numPr>
        <w:tabs>
          <w:tab w:val="left" w:pos="851"/>
        </w:tabs>
        <w:spacing w:line="440" w:lineRule="exact"/>
        <w:ind w:firstLineChars="200" w:firstLine="480"/>
        <w:rPr>
          <w:rFonts w:asciiTheme="minorEastAsia" w:eastAsiaTheme="minorEastAsia" w:hAnsiTheme="minorEastAsia"/>
          <w:bCs/>
          <w:color w:val="000000" w:themeColor="text1"/>
          <w:sz w:val="24"/>
        </w:rPr>
      </w:pPr>
      <w:bookmarkStart w:id="6" w:name="_Toc227634191"/>
      <w:bookmarkStart w:id="7" w:name="_Toc313281303"/>
      <w:bookmarkStart w:id="8" w:name="_Toc246961544"/>
      <w:bookmarkStart w:id="9" w:name="_Toc320179774"/>
      <w:bookmarkStart w:id="10" w:name="_Toc384719773"/>
      <w:bookmarkStart w:id="11" w:name="_Toc320179828"/>
      <w:r>
        <w:rPr>
          <w:rFonts w:asciiTheme="minorEastAsia" w:eastAsiaTheme="minorEastAsia" w:hAnsiTheme="minorEastAsia" w:hint="eastAsia"/>
          <w:bCs/>
          <w:color w:val="000000" w:themeColor="text1"/>
          <w:sz w:val="24"/>
        </w:rPr>
        <w:t>《GB/T 50356-2005剧场、电影院和多用途厅堂建筑声学设计规范》</w:t>
      </w:r>
      <w:bookmarkEnd w:id="6"/>
      <w:bookmarkEnd w:id="7"/>
      <w:bookmarkEnd w:id="8"/>
      <w:bookmarkEnd w:id="9"/>
      <w:bookmarkEnd w:id="10"/>
      <w:bookmarkEnd w:id="11"/>
    </w:p>
    <w:p w:rsidR="00E63B0A" w:rsidRDefault="0030185E">
      <w:pPr>
        <w:pStyle w:val="10"/>
        <w:numPr>
          <w:ilvl w:val="255"/>
          <w:numId w:val="0"/>
        </w:numPr>
        <w:tabs>
          <w:tab w:val="left" w:pos="851"/>
        </w:tabs>
        <w:spacing w:line="440" w:lineRule="exact"/>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《GB/T 19889.3-2005 声学 建筑和建筑构件隔声测量》</w:t>
      </w:r>
    </w:p>
    <w:p w:rsidR="00E63B0A" w:rsidRDefault="0030185E">
      <w:pPr>
        <w:pStyle w:val="10"/>
        <w:numPr>
          <w:ilvl w:val="255"/>
          <w:numId w:val="0"/>
        </w:numPr>
        <w:tabs>
          <w:tab w:val="left" w:pos="851"/>
        </w:tabs>
        <w:spacing w:line="440" w:lineRule="exact"/>
        <w:ind w:firstLineChars="200" w:firstLine="480"/>
        <w:rPr>
          <w:rFonts w:asciiTheme="minorEastAsia" w:eastAsiaTheme="minorEastAsia" w:hAnsiTheme="minorEastAsia"/>
          <w:bCs/>
          <w:color w:val="000000" w:themeColor="text1"/>
          <w:sz w:val="24"/>
        </w:rPr>
      </w:pPr>
      <w:bookmarkStart w:id="12" w:name="_Toc384719776"/>
      <w:bookmarkStart w:id="13" w:name="_Toc320179777"/>
      <w:bookmarkStart w:id="14" w:name="_Toc246961547"/>
      <w:bookmarkStart w:id="15" w:name="_Toc227634194"/>
      <w:bookmarkStart w:id="16" w:name="_Toc313281309"/>
      <w:bookmarkStart w:id="17" w:name="_Toc320179831"/>
      <w:r>
        <w:rPr>
          <w:rFonts w:asciiTheme="minorEastAsia" w:eastAsiaTheme="minorEastAsia" w:hAnsiTheme="minorEastAsia"/>
          <w:bCs/>
          <w:color w:val="000000" w:themeColor="text1"/>
          <w:sz w:val="24"/>
        </w:rPr>
        <w:t>《</w:t>
      </w:r>
      <w:r>
        <w:rPr>
          <w:rFonts w:asciiTheme="minorEastAsia" w:eastAsiaTheme="minorEastAsia" w:hAnsiTheme="minorEastAsia" w:hint="eastAsia"/>
          <w:bCs/>
          <w:color w:val="000000" w:themeColor="text1"/>
          <w:sz w:val="24"/>
        </w:rPr>
        <w:t>建筑声学材料与结构——设计和应用</w:t>
      </w:r>
      <w:r>
        <w:rPr>
          <w:rFonts w:asciiTheme="minorEastAsia" w:eastAsiaTheme="minorEastAsia" w:hAnsiTheme="minorEastAsia"/>
          <w:bCs/>
          <w:color w:val="000000" w:themeColor="text1"/>
          <w:sz w:val="24"/>
        </w:rPr>
        <w:t>》</w:t>
      </w:r>
    </w:p>
    <w:p w:rsidR="00E63B0A" w:rsidRDefault="0030185E">
      <w:pPr>
        <w:pStyle w:val="10"/>
        <w:numPr>
          <w:ilvl w:val="255"/>
          <w:numId w:val="0"/>
        </w:numPr>
        <w:tabs>
          <w:tab w:val="left" w:pos="851"/>
        </w:tabs>
        <w:spacing w:line="440" w:lineRule="exact"/>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lastRenderedPageBreak/>
        <w:t>《</w:t>
      </w:r>
      <w:r>
        <w:rPr>
          <w:rFonts w:asciiTheme="minorEastAsia" w:eastAsiaTheme="minorEastAsia" w:hAnsiTheme="minorEastAsia" w:hint="eastAsia"/>
          <w:bCs/>
          <w:color w:val="000000" w:themeColor="text1"/>
          <w:sz w:val="24"/>
        </w:rPr>
        <w:t>建筑吸声材料与隔声材料</w:t>
      </w:r>
      <w:r>
        <w:rPr>
          <w:rFonts w:asciiTheme="minorEastAsia" w:eastAsiaTheme="minorEastAsia" w:hAnsiTheme="minorEastAsia"/>
          <w:bCs/>
          <w:color w:val="000000" w:themeColor="text1"/>
          <w:sz w:val="24"/>
        </w:rPr>
        <w:t>》</w:t>
      </w:r>
    </w:p>
    <w:bookmarkEnd w:id="12"/>
    <w:bookmarkEnd w:id="13"/>
    <w:bookmarkEnd w:id="14"/>
    <w:bookmarkEnd w:id="15"/>
    <w:bookmarkEnd w:id="16"/>
    <w:bookmarkEnd w:id="17"/>
    <w:p w:rsidR="00E63B0A" w:rsidRDefault="0030185E" w:rsidP="008D6FC4">
      <w:pPr>
        <w:pStyle w:val="10"/>
        <w:numPr>
          <w:ilvl w:val="255"/>
          <w:numId w:val="0"/>
        </w:numPr>
        <w:tabs>
          <w:tab w:val="left" w:pos="851"/>
        </w:tabs>
        <w:spacing w:afterLines="50" w:line="440" w:lineRule="exact"/>
        <w:ind w:firstLineChars="250" w:firstLine="60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根据相关标准资料要求：该</w:t>
      </w:r>
      <w:r w:rsidR="00CB051D">
        <w:rPr>
          <w:rFonts w:asciiTheme="minorEastAsia" w:eastAsiaTheme="minorEastAsia" w:hAnsiTheme="minorEastAsia" w:hint="eastAsia"/>
          <w:bCs/>
          <w:color w:val="000000" w:themeColor="text1"/>
          <w:sz w:val="24"/>
        </w:rPr>
        <w:t>生产调度</w:t>
      </w:r>
      <w:r>
        <w:rPr>
          <w:rFonts w:asciiTheme="minorEastAsia" w:eastAsiaTheme="minorEastAsia" w:hAnsiTheme="minorEastAsia" w:hint="eastAsia"/>
          <w:bCs/>
          <w:color w:val="000000" w:themeColor="text1"/>
          <w:sz w:val="24"/>
        </w:rPr>
        <w:t>中心（容积约为1715.2m³）在500-1000Hz时满场的合适混响时间为：RT60≦0.7～0.9s之间，采用九宫</w:t>
      </w:r>
      <w:proofErr w:type="gramStart"/>
      <w:r>
        <w:rPr>
          <w:rFonts w:asciiTheme="minorEastAsia" w:eastAsiaTheme="minorEastAsia" w:hAnsiTheme="minorEastAsia" w:hint="eastAsia"/>
          <w:bCs/>
          <w:color w:val="000000" w:themeColor="text1"/>
          <w:sz w:val="24"/>
        </w:rPr>
        <w:t>格平均</w:t>
      </w:r>
      <w:proofErr w:type="gramEnd"/>
      <w:r>
        <w:rPr>
          <w:rFonts w:asciiTheme="minorEastAsia" w:eastAsiaTheme="minorEastAsia" w:hAnsiTheme="minorEastAsia" w:hint="eastAsia"/>
          <w:bCs/>
          <w:color w:val="000000" w:themeColor="text1"/>
          <w:sz w:val="24"/>
        </w:rPr>
        <w:t>测量法（共取9个测点），混响特性曲线整体平直。</w:t>
      </w:r>
    </w:p>
    <w:p w:rsidR="00E63B0A" w:rsidRDefault="0030185E">
      <w:pPr>
        <w:pStyle w:val="10"/>
        <w:numPr>
          <w:ilvl w:val="0"/>
          <w:numId w:val="1"/>
        </w:numPr>
        <w:spacing w:line="360" w:lineRule="auto"/>
        <w:ind w:left="0" w:firstLineChars="266" w:firstLine="64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报价要求</w:t>
      </w:r>
    </w:p>
    <w:p w:rsidR="00E63B0A" w:rsidRDefault="0030185E">
      <w:pPr>
        <w:spacing w:line="440" w:lineRule="exact"/>
        <w:ind w:firstLineChars="266" w:firstLine="638"/>
        <w:rPr>
          <w:rFonts w:asciiTheme="minorEastAsia" w:eastAsiaTheme="minorEastAsia" w:hAnsiTheme="minorEastAsia" w:cs="Tahoma"/>
          <w:color w:val="000000" w:themeColor="text1"/>
          <w:sz w:val="24"/>
        </w:rPr>
      </w:pPr>
      <w:r>
        <w:rPr>
          <w:rFonts w:asciiTheme="minorEastAsia" w:eastAsiaTheme="minorEastAsia" w:hAnsiTheme="minorEastAsia" w:cs="Tahoma" w:hint="eastAsia"/>
          <w:color w:val="000000" w:themeColor="text1"/>
          <w:sz w:val="24"/>
        </w:rPr>
        <w:t>3.1本项目</w:t>
      </w:r>
      <w:r w:rsidR="005735FE">
        <w:rPr>
          <w:rFonts w:asciiTheme="minorEastAsia" w:eastAsiaTheme="minorEastAsia" w:hAnsiTheme="minorEastAsia" w:cs="Tahoma" w:hint="eastAsia"/>
          <w:color w:val="000000" w:themeColor="text1"/>
          <w:sz w:val="24"/>
        </w:rPr>
        <w:t>固定总价包干</w:t>
      </w:r>
      <w:r>
        <w:rPr>
          <w:rFonts w:asciiTheme="minorEastAsia" w:eastAsiaTheme="minorEastAsia" w:hAnsiTheme="minorEastAsia" w:cs="Tahoma" w:hint="eastAsia"/>
          <w:color w:val="000000" w:themeColor="text1"/>
          <w:sz w:val="24"/>
        </w:rPr>
        <w:t>，</w:t>
      </w:r>
      <w:r>
        <w:rPr>
          <w:rFonts w:asciiTheme="minorEastAsia" w:eastAsiaTheme="minorEastAsia" w:hAnsiTheme="minorEastAsia" w:hint="eastAsia"/>
          <w:color w:val="000000" w:themeColor="text1"/>
          <w:sz w:val="24"/>
        </w:rPr>
        <w:t>投标人必须仔细审核以确认各有关设计方案及图纸、工程造价清单等可以满足该项目的所有要求，</w:t>
      </w:r>
      <w:r>
        <w:rPr>
          <w:rFonts w:asciiTheme="minorEastAsia" w:eastAsiaTheme="minorEastAsia" w:hAnsiTheme="minorEastAsia" w:cs="Tahoma" w:hint="eastAsia"/>
          <w:color w:val="000000" w:themeColor="text1"/>
          <w:sz w:val="24"/>
        </w:rPr>
        <w:t>具体实施的施工内容不得少于招标人统一提供的工程造价清单的工程量、不得少于设计方案的施工内容，有关设备、材料、辅材等供应和施工均不得低于各有关标准、要求。并且满足以下要求：</w:t>
      </w:r>
    </w:p>
    <w:p w:rsidR="00E63B0A" w:rsidRDefault="0030185E">
      <w:pPr>
        <w:spacing w:line="440" w:lineRule="exact"/>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3.1.1中标单位必须承诺</w:t>
      </w:r>
      <w:proofErr w:type="gramStart"/>
      <w:r>
        <w:rPr>
          <w:rFonts w:asciiTheme="minorEastAsia" w:eastAsiaTheme="minorEastAsia" w:hAnsiTheme="minorEastAsia" w:hint="eastAsia"/>
          <w:color w:val="000000" w:themeColor="text1"/>
          <w:sz w:val="24"/>
        </w:rPr>
        <w:t>所有用于</w:t>
      </w:r>
      <w:proofErr w:type="gramEnd"/>
      <w:r>
        <w:rPr>
          <w:rFonts w:asciiTheme="minorEastAsia" w:eastAsiaTheme="minorEastAsia" w:hAnsiTheme="minorEastAsia" w:hint="eastAsia"/>
          <w:color w:val="000000" w:themeColor="text1"/>
          <w:sz w:val="24"/>
        </w:rPr>
        <w:t>本项目工程的材料</w:t>
      </w:r>
      <w:proofErr w:type="gramStart"/>
      <w:r>
        <w:rPr>
          <w:rFonts w:asciiTheme="minorEastAsia" w:eastAsiaTheme="minorEastAsia" w:hAnsiTheme="minorEastAsia" w:hint="eastAsia"/>
          <w:color w:val="000000" w:themeColor="text1"/>
          <w:sz w:val="24"/>
        </w:rPr>
        <w:t>除达到</w:t>
      </w:r>
      <w:proofErr w:type="gramEnd"/>
      <w:r>
        <w:rPr>
          <w:rFonts w:asciiTheme="minorEastAsia" w:eastAsiaTheme="minorEastAsia" w:hAnsiTheme="minorEastAsia" w:hint="eastAsia"/>
          <w:color w:val="000000" w:themeColor="text1"/>
          <w:sz w:val="24"/>
        </w:rPr>
        <w:t>国家规定的环保要求外，还必须达到相关建筑材料、建筑行业的规范要求。同时，本工程的保修期以甲方</w:t>
      </w:r>
      <w:proofErr w:type="gramStart"/>
      <w:r>
        <w:rPr>
          <w:rFonts w:asciiTheme="minorEastAsia" w:eastAsiaTheme="minorEastAsia" w:hAnsiTheme="minorEastAsia" w:hint="eastAsia"/>
          <w:color w:val="000000" w:themeColor="text1"/>
          <w:sz w:val="24"/>
        </w:rPr>
        <w:t>验收日</w:t>
      </w:r>
      <w:proofErr w:type="gramEnd"/>
      <w:r>
        <w:rPr>
          <w:rFonts w:asciiTheme="minorEastAsia" w:eastAsiaTheme="minorEastAsia" w:hAnsiTheme="minorEastAsia" w:hint="eastAsia"/>
          <w:color w:val="000000" w:themeColor="text1"/>
          <w:sz w:val="24"/>
        </w:rPr>
        <w:t>为起始，并须按甲方要求无条件地进行所有质量缺陷的维护工作。</w:t>
      </w:r>
    </w:p>
    <w:p w:rsidR="00E63B0A" w:rsidRDefault="0030185E">
      <w:pPr>
        <w:spacing w:line="440" w:lineRule="exact"/>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3.1.2所有木质</w:t>
      </w:r>
      <w:proofErr w:type="gramStart"/>
      <w:r>
        <w:rPr>
          <w:rFonts w:asciiTheme="minorEastAsia" w:eastAsiaTheme="minorEastAsia" w:hAnsiTheme="minorEastAsia" w:hint="eastAsia"/>
          <w:color w:val="000000" w:themeColor="text1"/>
          <w:sz w:val="24"/>
        </w:rPr>
        <w:t>垫材及暗材均</w:t>
      </w:r>
      <w:proofErr w:type="gramEnd"/>
      <w:r>
        <w:rPr>
          <w:rFonts w:asciiTheme="minorEastAsia" w:eastAsiaTheme="minorEastAsia" w:hAnsiTheme="minorEastAsia" w:hint="eastAsia"/>
          <w:color w:val="000000" w:themeColor="text1"/>
          <w:sz w:val="24"/>
        </w:rPr>
        <w:t>需要做三层防火漆处理，或采用阻燃板，与结构或后砌墙接触的面须用环保防腐材料做防腐处理。</w:t>
      </w:r>
    </w:p>
    <w:p w:rsidR="00E63B0A" w:rsidRDefault="0030185E">
      <w:pPr>
        <w:spacing w:line="440" w:lineRule="exact"/>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3.2声学改造工程如附件设计方案所示</w:t>
      </w:r>
      <w:r w:rsidR="008B7531">
        <w:rPr>
          <w:rFonts w:asciiTheme="minorEastAsia" w:eastAsiaTheme="minorEastAsia" w:hAnsiTheme="minorEastAsia" w:hint="eastAsia"/>
          <w:color w:val="000000" w:themeColor="text1"/>
          <w:sz w:val="24"/>
        </w:rPr>
        <w:t>。</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sidR="00E53F72">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标人应按国家相关规定负责办理其施工现场人员的生命财产、现场各种施工用设施、设备、材料的保险，并支付相应的费用，费用已含在投标报价中。因投标人原因造成的任何事故(包括第三者人员在内)所发生的依法应该支付的损失、赔偿费、补偿费用等责任由投标人承担。</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sidR="00E53F72">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标人应设有专业负责人，负责安装过程的计划、协调、人力调配及工程质量管控、安全管理等工作。</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sidR="00E53F72">
        <w:rPr>
          <w:rFonts w:asciiTheme="minorEastAsia" w:eastAsiaTheme="minorEastAsia" w:hAnsiTheme="minorEastAsia" w:hint="eastAsia"/>
          <w:color w:val="000000" w:themeColor="text1"/>
          <w:sz w:val="24"/>
        </w:rPr>
        <w:t>5</w:t>
      </w:r>
      <w:r>
        <w:rPr>
          <w:rFonts w:asciiTheme="minorEastAsia" w:eastAsiaTheme="minorEastAsia" w:hAnsiTheme="minorEastAsia" w:hint="eastAsia"/>
          <w:color w:val="000000" w:themeColor="text1"/>
          <w:sz w:val="24"/>
        </w:rPr>
        <w:t>包方式：包工、包料、包质量、包工期、包安全、包文明施工。</w:t>
      </w:r>
    </w:p>
    <w:p w:rsidR="00E63B0A" w:rsidRDefault="0030185E">
      <w:pPr>
        <w:spacing w:line="360" w:lineRule="auto"/>
        <w:ind w:firstLineChars="266" w:firstLine="64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四、施工进度要求</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本工程工期为</w:t>
      </w:r>
      <w:r w:rsidR="00E53F72">
        <w:rPr>
          <w:rFonts w:asciiTheme="minorEastAsia" w:eastAsiaTheme="minorEastAsia" w:hAnsiTheme="minorEastAsia" w:hint="eastAsia"/>
          <w:color w:val="000000" w:themeColor="text1"/>
          <w:sz w:val="24"/>
        </w:rPr>
        <w:t>10</w:t>
      </w:r>
      <w:r>
        <w:rPr>
          <w:rFonts w:asciiTheme="minorEastAsia" w:eastAsiaTheme="minorEastAsia" w:hAnsiTheme="minorEastAsia" w:hint="eastAsia"/>
          <w:color w:val="000000" w:themeColor="text1"/>
          <w:sz w:val="24"/>
        </w:rPr>
        <w:t>日历天，施工进度需根据工程服务商安装进度进行声学改造工程施工。</w:t>
      </w:r>
    </w:p>
    <w:p w:rsidR="00E63B0A" w:rsidRDefault="0030185E">
      <w:pPr>
        <w:spacing w:line="360" w:lineRule="auto"/>
        <w:ind w:firstLineChars="266" w:firstLine="64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五、施工组织要求</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1、投标人应自行对工程现场进行踏勘，熟悉现场环境，了解一切可能影响施工和投标报价的因素，并对所获资料、信息的正确性承担全部责任，且所需的费用自理。投标报价中</w:t>
      </w:r>
      <w:proofErr w:type="gramStart"/>
      <w:r>
        <w:rPr>
          <w:rFonts w:asciiTheme="minorEastAsia" w:eastAsiaTheme="minorEastAsia" w:hAnsiTheme="minorEastAsia" w:hint="eastAsia"/>
          <w:color w:val="000000" w:themeColor="text1"/>
          <w:sz w:val="24"/>
        </w:rPr>
        <w:t>须包括</w:t>
      </w:r>
      <w:proofErr w:type="gramEnd"/>
      <w:r>
        <w:rPr>
          <w:rFonts w:asciiTheme="minorEastAsia" w:eastAsiaTheme="minorEastAsia" w:hAnsiTheme="minorEastAsia" w:hint="eastAsia"/>
          <w:color w:val="000000" w:themeColor="text1"/>
          <w:sz w:val="24"/>
        </w:rPr>
        <w:t>配合费、水电设施费、材料设备采保费、脚手架/吊篮/吊架等设施安装维护费、垃圾清运费、工程质量检测费等等。中标后，投标人不得以不完全了解施工现场或事先未考虑为由，提出额外索赔或延长工期。</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2、负责根据招标人要求和现场实际情况进行技术与成本比对，完成必要的节点、大样、方案细化，招标人确认后方可组织施工。</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投标人负责根据招标人提供图纸上的所有尺寸进行现场的实际勘测，如发现施工现场的尺寸与图纸不符之处应立即与招标人联系、确认，在招投标结束后的技术变更招标人视情况有权不予采用，因未提出问题而产生的费用与工期延误由投标人负责。</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4、招标人有权对材料、工序、工艺、做法等进行工程变更，或增减工程项目内容，投标人不得以价格未明、施工困难、准备不足等任何理由拖延或拒绝施工。</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应对工程图纸进行仔细审核，对设计图纸不规范、不合理方面提出优化意见，该项工作须在图纸会审前完成，并做好技术交底工作。非招标人设计方案调整而产生的技术变更费用，均考虑在合同投标报价范围内。投标人须对施工审图负责，作业前组织审核图纸与工程变更文件，将矛盾与错误在施工前查出，并报与招标人及时处理。如因审图疏漏造成损失，由投标人承担一切责任。</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6、在进场后须服从招标人的管理，包括现场的运输、材料存放、临时水电的安排、成品保护、施工垃圾清理等工作，同时做到现场安全生产、文明施工的各项要求，并对自身的成品及半成品保护负责。</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工程施工过程中，如招标人认为投标人的工程质量、施工进度、安全文明措施等与招标函中既定标准或目标存在较大差距，有权要求投标人增加或更换各项必要投入与措施（包括但不限于材料、设施、设备、人员等），投标人必须做到且不得以任何理由要求另行增加费用或工期签证。</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8、各种施工措施费（包括材料搬运、脚手架或吊篮）投标人报价时自行考虑，不再另行</w:t>
      </w:r>
      <w:r w:rsidR="008B7531">
        <w:rPr>
          <w:rFonts w:asciiTheme="minorEastAsia" w:eastAsiaTheme="minorEastAsia" w:hAnsiTheme="minorEastAsia" w:hint="eastAsia"/>
          <w:color w:val="000000" w:themeColor="text1"/>
          <w:sz w:val="24"/>
        </w:rPr>
        <w:t>计</w:t>
      </w:r>
      <w:r>
        <w:rPr>
          <w:rFonts w:asciiTheme="minorEastAsia" w:eastAsiaTheme="minorEastAsia" w:hAnsiTheme="minorEastAsia" w:hint="eastAsia"/>
          <w:color w:val="000000" w:themeColor="text1"/>
          <w:sz w:val="24"/>
        </w:rPr>
        <w:t>取。</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9、招标人根据现场情况，视条件决定是否提供材料堆场、加工场地。</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10、本工程竣工验收通过后，投标人应按招标人指令自行拆除施工临时设施，撤退施工机械设备并清理场地多余材料、垃圾，修复场内的交通道路，撤离所有施工人员，并将工完场清的施工场地移交给招标人或后续工程承包单位。如逾期仍未撤离完的，招标人有权采取强制手段清除现场，且无须征得投标人的许可，为此所发生的费用从未付工程款中扣除。</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11、投标人应理解和同意在有政府或招标人等限制要求的夜间施工、法定假期、及其它不影响工程质量的不符合相关标准的工作程序的施工，并承诺为招标人质量、进度、投资控制目标的达成做出最大努力。</w:t>
      </w:r>
    </w:p>
    <w:p w:rsidR="00E63B0A" w:rsidRDefault="0030185E">
      <w:pPr>
        <w:spacing w:line="360" w:lineRule="auto"/>
        <w:ind w:firstLineChars="266" w:firstLine="64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六、工程质量要求</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1、工程质量控制的依据为设计施工图、合同文件、现行相关施工验收规范、质量检验标准，同时为满足招标人对本工程产品的质量要求及期望。</w:t>
      </w:r>
    </w:p>
    <w:p w:rsidR="00E63B0A" w:rsidRDefault="0030185E">
      <w:pPr>
        <w:spacing w:line="360" w:lineRule="auto"/>
        <w:ind w:firstLineChars="175" w:firstLine="4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施工过程中须详细做好工程记录与隐蔽签认。投标人须承诺：对于隐蔽工程未经招标人或监理单位同意即进入下道工序，不论合格与否，所产生的检测费用均由投标人承担；如检测结果不合格，除无条件返工整改外，招标人对该分项工程的计量不予认可。</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3、必须严格按照设计图纸及招标人签发的工程指令进行施工，施工前应认真审图，现场核对尺寸、标高，组织图纸交底汇审，编制施工方案报监理审核，进行技术交底。</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4、工程完工且符合下列条件时，投标人可向招标人提供竣工报告，并要求验收：</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a、工程已按本合同约定、设计图纸、招标人指令要求全部建成，并通过各项工程检查、验收；</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b、按规定完成各种使用功能测试，且符合要求；</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c、竣工现场清理已符合招标人要求；</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d、法律、法规或地方规章规定的其他条件。</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质量达不到合格标准，投标人应负责返工，直至验收合格，投标人应负责返工所发生的所有费用，工期不得顺延，并赔偿招标人由此引起的一切损失。经返工或补救后通过验收合格但造成永久性缺陷的，如果招标人认为影响到使用功能的，应予以罚款，招标人视缺陷的程度确定罚款的数额，投标人不得有异议。</w:t>
      </w:r>
    </w:p>
    <w:p w:rsidR="00E63B0A" w:rsidRDefault="0030185E">
      <w:pPr>
        <w:spacing w:line="360" w:lineRule="auto"/>
        <w:ind w:firstLineChars="266" w:firstLine="64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七、成品保护与安全文明施工要求</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1、工程竣工验收未移交给招标人之前，投标人负责保护，保护期间发生损坏，投标人出资修复。工程竣工移交前，现场的卫生保洁须达到招标人要求。</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2、因投标人违反</w:t>
      </w:r>
      <w:r w:rsidR="00E42C08">
        <w:rPr>
          <w:rFonts w:asciiTheme="minorEastAsia" w:eastAsiaTheme="minorEastAsia" w:hAnsiTheme="minorEastAsia" w:hint="eastAsia"/>
          <w:color w:val="000000" w:themeColor="text1"/>
          <w:sz w:val="24"/>
        </w:rPr>
        <w:t>漳州</w:t>
      </w:r>
      <w:r>
        <w:rPr>
          <w:rFonts w:asciiTheme="minorEastAsia" w:eastAsiaTheme="minorEastAsia" w:hAnsiTheme="minorEastAsia" w:hint="eastAsia"/>
          <w:color w:val="000000" w:themeColor="text1"/>
          <w:sz w:val="24"/>
        </w:rPr>
        <w:t>市有关安全生产、文明施工和城市管理的规定而发生的费用由投标人承担。投标人应采取一切合理措施，保护工地及工地周围的环境，避免污染、噪音、排放或由于其施工方法的不当造成的对公共人员和财产等的危害或干扰，发生费用由投标人负担。</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投标人应按安全施工管理有关规定，配备安全管理机构，配备合格的安全管理人员，负责处理全体工作人员和劳务人员的安全保护和防止事故等问题。在工程施工过程中以及保修期内，由于投标人责任出现质量问题、安全事故或者其他原因，受到报纸、电视等媒体的曝光或政府有关主管部门的通报批评，均会给本工程的社会形象造成损失，每次由投标人向招标人支付1万元违约金，从投标人工程进度款或保修款中扣除。投标人支付该违约金不影响投标人对质量问题、安全事故等依法应承担的赔偿等责任。</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4、投标人必须有针对性地对现场施工的用电安全、机械伤害、消防、高楼物件坠落等较为常见的安全隐患采取相干安全防护措施。</w:t>
      </w:r>
    </w:p>
    <w:p w:rsidR="00E63B0A" w:rsidRDefault="0030185E">
      <w:pPr>
        <w:spacing w:line="360" w:lineRule="auto"/>
        <w:ind w:firstLineChars="266" w:firstLine="64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八、售后服务及质量保证、质保期</w:t>
      </w:r>
    </w:p>
    <w:p w:rsidR="00E63B0A" w:rsidRDefault="0030185E">
      <w:pPr>
        <w:spacing w:line="360" w:lineRule="auto"/>
        <w:ind w:firstLineChars="266" w:firstLine="63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程质量的保修期为壹年及以上，须按招标人要求无条件地进行所有质量缺陷的维护工作。对于在保修期内的质量问题，投标人必须无条件地按照招标人质量标准和要求的时间期限内完成整改。若投标人的整改标准或是整改时限被认为是无法达到招标人要求的，招标人有权利要求其它单位进行整改工作，而由此产生的费用由投标人承担。</w:t>
      </w:r>
    </w:p>
    <w:p w:rsidR="00E63B0A" w:rsidRDefault="00E63B0A">
      <w:pPr>
        <w:spacing w:line="360" w:lineRule="auto"/>
        <w:ind w:firstLineChars="266" w:firstLine="638"/>
        <w:jc w:val="right"/>
        <w:rPr>
          <w:rFonts w:asciiTheme="minorEastAsia" w:eastAsiaTheme="minorEastAsia" w:hAnsiTheme="minorEastAsia"/>
          <w:color w:val="000000" w:themeColor="text1"/>
          <w:sz w:val="24"/>
        </w:rPr>
      </w:pPr>
    </w:p>
    <w:p w:rsidR="00E63B0A" w:rsidRDefault="00E63B0A">
      <w:pPr>
        <w:spacing w:line="360" w:lineRule="auto"/>
        <w:ind w:firstLineChars="266" w:firstLine="638"/>
        <w:jc w:val="right"/>
        <w:rPr>
          <w:rFonts w:asciiTheme="minorEastAsia" w:eastAsiaTheme="minorEastAsia" w:hAnsiTheme="minorEastAsia"/>
          <w:color w:val="000000" w:themeColor="text1"/>
          <w:sz w:val="24"/>
        </w:rPr>
      </w:pPr>
    </w:p>
    <w:p w:rsidR="00E63B0A" w:rsidRDefault="00E63B0A">
      <w:pPr>
        <w:spacing w:line="360" w:lineRule="auto"/>
        <w:ind w:firstLineChars="266" w:firstLine="638"/>
        <w:jc w:val="right"/>
        <w:rPr>
          <w:rFonts w:asciiTheme="minorEastAsia" w:eastAsiaTheme="minorEastAsia" w:hAnsiTheme="minorEastAsia"/>
          <w:color w:val="000000" w:themeColor="text1"/>
          <w:sz w:val="24"/>
        </w:rPr>
      </w:pPr>
    </w:p>
    <w:p w:rsidR="00E63B0A" w:rsidRDefault="00E63B0A">
      <w:pPr>
        <w:spacing w:line="360" w:lineRule="auto"/>
        <w:ind w:firstLineChars="266" w:firstLine="638"/>
        <w:jc w:val="right"/>
        <w:rPr>
          <w:rFonts w:asciiTheme="minorEastAsia" w:eastAsiaTheme="minorEastAsia" w:hAnsiTheme="minorEastAsia"/>
          <w:color w:val="000000" w:themeColor="text1"/>
          <w:sz w:val="24"/>
        </w:rPr>
      </w:pPr>
    </w:p>
    <w:p w:rsidR="00E63B0A" w:rsidRDefault="0030185E">
      <w:pPr>
        <w:spacing w:line="360" w:lineRule="auto"/>
        <w:ind w:firstLineChars="266" w:firstLine="638"/>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福建福海创石油化工有限公司</w:t>
      </w:r>
    </w:p>
    <w:p w:rsidR="00E63B0A" w:rsidRDefault="0030185E">
      <w:pPr>
        <w:spacing w:line="360" w:lineRule="auto"/>
        <w:ind w:firstLineChars="266" w:firstLine="638"/>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年  月  日</w:t>
      </w:r>
      <w:bookmarkStart w:id="18" w:name="_GoBack"/>
      <w:bookmarkEnd w:id="18"/>
    </w:p>
    <w:sectPr w:rsidR="00E63B0A" w:rsidSect="00E63B0A">
      <w:pgSz w:w="11906" w:h="16838"/>
      <w:pgMar w:top="1440" w:right="1486" w:bottom="1440" w:left="16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30D" w:rsidRDefault="00EC030D" w:rsidP="00CB051D">
      <w:r>
        <w:separator/>
      </w:r>
    </w:p>
  </w:endnote>
  <w:endnote w:type="continuationSeparator" w:id="0">
    <w:p w:rsidR="00EC030D" w:rsidRDefault="00EC030D" w:rsidP="00CB0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30D" w:rsidRDefault="00EC030D" w:rsidP="00CB051D">
      <w:r>
        <w:separator/>
      </w:r>
    </w:p>
  </w:footnote>
  <w:footnote w:type="continuationSeparator" w:id="0">
    <w:p w:rsidR="00EC030D" w:rsidRDefault="00EC030D" w:rsidP="00CB0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8548D"/>
    <w:multiLevelType w:val="multilevel"/>
    <w:tmpl w:val="40D8548D"/>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547F5366"/>
    <w:multiLevelType w:val="multilevel"/>
    <w:tmpl w:val="547F5366"/>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5FF7428C"/>
    <w:multiLevelType w:val="multilevel"/>
    <w:tmpl w:val="5FF7428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饭饭">
    <w15:presenceInfo w15:providerId="WPS Office" w15:userId="21506814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B1158"/>
    <w:rsid w:val="00007D17"/>
    <w:rsid w:val="0004448B"/>
    <w:rsid w:val="00047732"/>
    <w:rsid w:val="00047E82"/>
    <w:rsid w:val="000566F6"/>
    <w:rsid w:val="00061954"/>
    <w:rsid w:val="00082B40"/>
    <w:rsid w:val="00085720"/>
    <w:rsid w:val="000B30C9"/>
    <w:rsid w:val="000C4272"/>
    <w:rsid w:val="000D4C30"/>
    <w:rsid w:val="000E6D3F"/>
    <w:rsid w:val="000F6A7D"/>
    <w:rsid w:val="00106E67"/>
    <w:rsid w:val="00135CAF"/>
    <w:rsid w:val="00140B9B"/>
    <w:rsid w:val="00144E3F"/>
    <w:rsid w:val="001472D8"/>
    <w:rsid w:val="001535D0"/>
    <w:rsid w:val="00161C18"/>
    <w:rsid w:val="00173C2C"/>
    <w:rsid w:val="001755DB"/>
    <w:rsid w:val="0019785B"/>
    <w:rsid w:val="001D22E2"/>
    <w:rsid w:val="002003B1"/>
    <w:rsid w:val="0020155D"/>
    <w:rsid w:val="00256C28"/>
    <w:rsid w:val="002730C0"/>
    <w:rsid w:val="002947E1"/>
    <w:rsid w:val="002947F0"/>
    <w:rsid w:val="00296C01"/>
    <w:rsid w:val="002A1AC0"/>
    <w:rsid w:val="0030185E"/>
    <w:rsid w:val="003037FC"/>
    <w:rsid w:val="00304B9A"/>
    <w:rsid w:val="00312352"/>
    <w:rsid w:val="0037575C"/>
    <w:rsid w:val="003844CF"/>
    <w:rsid w:val="003930E2"/>
    <w:rsid w:val="003A6B97"/>
    <w:rsid w:val="003B118C"/>
    <w:rsid w:val="003D34FB"/>
    <w:rsid w:val="003F5627"/>
    <w:rsid w:val="00401E7B"/>
    <w:rsid w:val="00410064"/>
    <w:rsid w:val="004355D9"/>
    <w:rsid w:val="004510C9"/>
    <w:rsid w:val="00463EFC"/>
    <w:rsid w:val="00486EE9"/>
    <w:rsid w:val="00521107"/>
    <w:rsid w:val="00537C83"/>
    <w:rsid w:val="00543A69"/>
    <w:rsid w:val="00555254"/>
    <w:rsid w:val="005570B2"/>
    <w:rsid w:val="00562946"/>
    <w:rsid w:val="005660E4"/>
    <w:rsid w:val="005672A3"/>
    <w:rsid w:val="005679BB"/>
    <w:rsid w:val="005735FE"/>
    <w:rsid w:val="00591584"/>
    <w:rsid w:val="00592BFE"/>
    <w:rsid w:val="005B0778"/>
    <w:rsid w:val="005C316B"/>
    <w:rsid w:val="005C3EFE"/>
    <w:rsid w:val="005C4386"/>
    <w:rsid w:val="005E2640"/>
    <w:rsid w:val="005F2BF4"/>
    <w:rsid w:val="005F5F98"/>
    <w:rsid w:val="00603B93"/>
    <w:rsid w:val="0060635F"/>
    <w:rsid w:val="00607771"/>
    <w:rsid w:val="0062032F"/>
    <w:rsid w:val="00632084"/>
    <w:rsid w:val="00637069"/>
    <w:rsid w:val="00673702"/>
    <w:rsid w:val="00691B3E"/>
    <w:rsid w:val="006A13AA"/>
    <w:rsid w:val="006B7F78"/>
    <w:rsid w:val="00704AEE"/>
    <w:rsid w:val="00714012"/>
    <w:rsid w:val="00714204"/>
    <w:rsid w:val="00737CFD"/>
    <w:rsid w:val="00740344"/>
    <w:rsid w:val="00744B3A"/>
    <w:rsid w:val="00750D13"/>
    <w:rsid w:val="00755B28"/>
    <w:rsid w:val="00756012"/>
    <w:rsid w:val="00757119"/>
    <w:rsid w:val="0075776B"/>
    <w:rsid w:val="00777AF2"/>
    <w:rsid w:val="007A7473"/>
    <w:rsid w:val="007B5792"/>
    <w:rsid w:val="007C22AF"/>
    <w:rsid w:val="007D0896"/>
    <w:rsid w:val="007D496B"/>
    <w:rsid w:val="007D67EA"/>
    <w:rsid w:val="007E1722"/>
    <w:rsid w:val="007F1F57"/>
    <w:rsid w:val="007F70C6"/>
    <w:rsid w:val="0081036F"/>
    <w:rsid w:val="0083033B"/>
    <w:rsid w:val="00830F79"/>
    <w:rsid w:val="0083158A"/>
    <w:rsid w:val="00851643"/>
    <w:rsid w:val="00860189"/>
    <w:rsid w:val="00863B91"/>
    <w:rsid w:val="00866966"/>
    <w:rsid w:val="008721CF"/>
    <w:rsid w:val="008829B4"/>
    <w:rsid w:val="00884728"/>
    <w:rsid w:val="0089318C"/>
    <w:rsid w:val="008B413F"/>
    <w:rsid w:val="008B7531"/>
    <w:rsid w:val="008B79E3"/>
    <w:rsid w:val="008C71C5"/>
    <w:rsid w:val="008D6FC4"/>
    <w:rsid w:val="008E3240"/>
    <w:rsid w:val="00901E3C"/>
    <w:rsid w:val="0091156A"/>
    <w:rsid w:val="009128B8"/>
    <w:rsid w:val="0092567C"/>
    <w:rsid w:val="009303A0"/>
    <w:rsid w:val="009427EF"/>
    <w:rsid w:val="00946997"/>
    <w:rsid w:val="00972039"/>
    <w:rsid w:val="00977146"/>
    <w:rsid w:val="0098496E"/>
    <w:rsid w:val="009A41D7"/>
    <w:rsid w:val="009B1158"/>
    <w:rsid w:val="009B48DE"/>
    <w:rsid w:val="009E2398"/>
    <w:rsid w:val="009E43C2"/>
    <w:rsid w:val="00A165D4"/>
    <w:rsid w:val="00A24383"/>
    <w:rsid w:val="00A558BF"/>
    <w:rsid w:val="00A9536C"/>
    <w:rsid w:val="00AA3D50"/>
    <w:rsid w:val="00AB0F40"/>
    <w:rsid w:val="00AC10BA"/>
    <w:rsid w:val="00AD24D7"/>
    <w:rsid w:val="00AE6715"/>
    <w:rsid w:val="00AF4116"/>
    <w:rsid w:val="00B16693"/>
    <w:rsid w:val="00B32AA2"/>
    <w:rsid w:val="00B4159D"/>
    <w:rsid w:val="00B536D9"/>
    <w:rsid w:val="00B5390F"/>
    <w:rsid w:val="00B60CFD"/>
    <w:rsid w:val="00B61EC0"/>
    <w:rsid w:val="00B70DDB"/>
    <w:rsid w:val="00B728FB"/>
    <w:rsid w:val="00B81D91"/>
    <w:rsid w:val="00BC5A93"/>
    <w:rsid w:val="00C047D6"/>
    <w:rsid w:val="00C11521"/>
    <w:rsid w:val="00C120F3"/>
    <w:rsid w:val="00C33D7B"/>
    <w:rsid w:val="00C4442B"/>
    <w:rsid w:val="00C45606"/>
    <w:rsid w:val="00C47B17"/>
    <w:rsid w:val="00C962BD"/>
    <w:rsid w:val="00CB051D"/>
    <w:rsid w:val="00CC370E"/>
    <w:rsid w:val="00CD514D"/>
    <w:rsid w:val="00CD6A05"/>
    <w:rsid w:val="00CD73EA"/>
    <w:rsid w:val="00D0599E"/>
    <w:rsid w:val="00D05CB1"/>
    <w:rsid w:val="00D1709C"/>
    <w:rsid w:val="00D44669"/>
    <w:rsid w:val="00D75051"/>
    <w:rsid w:val="00D8774C"/>
    <w:rsid w:val="00D920C0"/>
    <w:rsid w:val="00DB4B0D"/>
    <w:rsid w:val="00DC4DDD"/>
    <w:rsid w:val="00DD04BF"/>
    <w:rsid w:val="00DD42AD"/>
    <w:rsid w:val="00DF6869"/>
    <w:rsid w:val="00DF6AF9"/>
    <w:rsid w:val="00E12462"/>
    <w:rsid w:val="00E164F6"/>
    <w:rsid w:val="00E252C7"/>
    <w:rsid w:val="00E27221"/>
    <w:rsid w:val="00E37A62"/>
    <w:rsid w:val="00E41157"/>
    <w:rsid w:val="00E42C08"/>
    <w:rsid w:val="00E51449"/>
    <w:rsid w:val="00E53F72"/>
    <w:rsid w:val="00E5536A"/>
    <w:rsid w:val="00E63B0A"/>
    <w:rsid w:val="00E65E59"/>
    <w:rsid w:val="00E70C42"/>
    <w:rsid w:val="00EA7587"/>
    <w:rsid w:val="00EB15F8"/>
    <w:rsid w:val="00EC030D"/>
    <w:rsid w:val="00ED0DC4"/>
    <w:rsid w:val="00ED70CF"/>
    <w:rsid w:val="00ED7312"/>
    <w:rsid w:val="00EE45FD"/>
    <w:rsid w:val="00F07B56"/>
    <w:rsid w:val="00F376CA"/>
    <w:rsid w:val="00F402F7"/>
    <w:rsid w:val="00F5348B"/>
    <w:rsid w:val="00F63DCF"/>
    <w:rsid w:val="00F73F66"/>
    <w:rsid w:val="00F94136"/>
    <w:rsid w:val="00FA0984"/>
    <w:rsid w:val="00FC6601"/>
    <w:rsid w:val="042F025E"/>
    <w:rsid w:val="09CB5087"/>
    <w:rsid w:val="0A854CBB"/>
    <w:rsid w:val="0E945A78"/>
    <w:rsid w:val="19651B39"/>
    <w:rsid w:val="1BCA4827"/>
    <w:rsid w:val="1FB94299"/>
    <w:rsid w:val="202D3756"/>
    <w:rsid w:val="20802143"/>
    <w:rsid w:val="214F4B32"/>
    <w:rsid w:val="26B1130F"/>
    <w:rsid w:val="28323E81"/>
    <w:rsid w:val="2B1F57CD"/>
    <w:rsid w:val="2D4E3535"/>
    <w:rsid w:val="2EF64321"/>
    <w:rsid w:val="34725C8B"/>
    <w:rsid w:val="35CD0D44"/>
    <w:rsid w:val="3AED5139"/>
    <w:rsid w:val="40115DE2"/>
    <w:rsid w:val="40A73544"/>
    <w:rsid w:val="44AB1053"/>
    <w:rsid w:val="44AF6B10"/>
    <w:rsid w:val="48DB04A8"/>
    <w:rsid w:val="4AEF5300"/>
    <w:rsid w:val="51493173"/>
    <w:rsid w:val="52D45D22"/>
    <w:rsid w:val="569E53F1"/>
    <w:rsid w:val="584B43C4"/>
    <w:rsid w:val="5B137BF9"/>
    <w:rsid w:val="5E9033B3"/>
    <w:rsid w:val="60A66321"/>
    <w:rsid w:val="698779AC"/>
    <w:rsid w:val="6CB71AE7"/>
    <w:rsid w:val="6D14727F"/>
    <w:rsid w:val="7158576A"/>
    <w:rsid w:val="764B1E85"/>
    <w:rsid w:val="7BB43218"/>
    <w:rsid w:val="7BEC09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0A"/>
    <w:pPr>
      <w:widowControl w:val="0"/>
      <w:jc w:val="both"/>
    </w:pPr>
    <w:rPr>
      <w:kern w:val="2"/>
      <w:sz w:val="21"/>
      <w:szCs w:val="24"/>
    </w:rPr>
  </w:style>
  <w:style w:type="paragraph" w:styleId="1">
    <w:name w:val="heading 1"/>
    <w:basedOn w:val="a"/>
    <w:next w:val="a"/>
    <w:link w:val="1Char"/>
    <w:qFormat/>
    <w:rsid w:val="00E63B0A"/>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63B0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E63B0A"/>
    <w:pPr>
      <w:widowControl/>
      <w:spacing w:line="360" w:lineRule="auto"/>
    </w:pPr>
    <w:rPr>
      <w:rFonts w:asciiTheme="minorHAnsi" w:eastAsia="PMingLiU" w:hAnsiTheme="minorHAnsi" w:cstheme="minorBidi"/>
      <w:sz w:val="24"/>
      <w:szCs w:val="22"/>
      <w:lang w:eastAsia="zh-TW"/>
    </w:rPr>
  </w:style>
  <w:style w:type="paragraph" w:styleId="a4">
    <w:name w:val="Balloon Text"/>
    <w:basedOn w:val="a"/>
    <w:link w:val="Char"/>
    <w:uiPriority w:val="99"/>
    <w:unhideWhenUsed/>
    <w:qFormat/>
    <w:rsid w:val="00E63B0A"/>
    <w:rPr>
      <w:sz w:val="18"/>
      <w:szCs w:val="18"/>
    </w:rPr>
  </w:style>
  <w:style w:type="paragraph" w:styleId="a5">
    <w:name w:val="footer"/>
    <w:basedOn w:val="a"/>
    <w:link w:val="Char0"/>
    <w:uiPriority w:val="99"/>
    <w:unhideWhenUsed/>
    <w:qFormat/>
    <w:rsid w:val="00E63B0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63B0A"/>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unhideWhenUsed/>
    <w:qFormat/>
    <w:rsid w:val="00E63B0A"/>
    <w:rPr>
      <w:rFonts w:ascii="微软雅黑" w:eastAsia="微软雅黑" w:hAnsi="微软雅黑" w:cs="微软雅黑"/>
      <w:color w:val="333333"/>
      <w:sz w:val="18"/>
      <w:szCs w:val="18"/>
      <w:u w:val="none"/>
    </w:rPr>
  </w:style>
  <w:style w:type="character" w:styleId="a8">
    <w:name w:val="Hyperlink"/>
    <w:basedOn w:val="a0"/>
    <w:uiPriority w:val="99"/>
    <w:unhideWhenUsed/>
    <w:qFormat/>
    <w:rsid w:val="00E63B0A"/>
    <w:rPr>
      <w:rFonts w:ascii="微软雅黑" w:eastAsia="微软雅黑" w:hAnsi="微软雅黑" w:cs="微软雅黑" w:hint="eastAsia"/>
      <w:color w:val="333333"/>
      <w:sz w:val="18"/>
      <w:szCs w:val="18"/>
      <w:u w:val="none"/>
    </w:rPr>
  </w:style>
  <w:style w:type="table" w:styleId="a9">
    <w:name w:val="Table Grid"/>
    <w:basedOn w:val="a1"/>
    <w:uiPriority w:val="59"/>
    <w:qFormat/>
    <w:rsid w:val="00E63B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semiHidden/>
    <w:qFormat/>
    <w:rsid w:val="00E63B0A"/>
    <w:rPr>
      <w:sz w:val="18"/>
      <w:szCs w:val="18"/>
    </w:rPr>
  </w:style>
  <w:style w:type="character" w:customStyle="1" w:styleId="Char0">
    <w:name w:val="页脚 Char"/>
    <w:basedOn w:val="a0"/>
    <w:link w:val="a5"/>
    <w:uiPriority w:val="99"/>
    <w:semiHidden/>
    <w:qFormat/>
    <w:rsid w:val="00E63B0A"/>
    <w:rPr>
      <w:sz w:val="18"/>
      <w:szCs w:val="18"/>
    </w:rPr>
  </w:style>
  <w:style w:type="paragraph" w:customStyle="1" w:styleId="10">
    <w:name w:val="列出段落1"/>
    <w:basedOn w:val="a"/>
    <w:uiPriority w:val="34"/>
    <w:qFormat/>
    <w:rsid w:val="00E63B0A"/>
    <w:pPr>
      <w:ind w:firstLineChars="200" w:firstLine="420"/>
    </w:pPr>
  </w:style>
  <w:style w:type="character" w:customStyle="1" w:styleId="1Char">
    <w:name w:val="标题 1 Char"/>
    <w:basedOn w:val="a0"/>
    <w:link w:val="1"/>
    <w:qFormat/>
    <w:rsid w:val="00E63B0A"/>
    <w:rPr>
      <w:rFonts w:ascii="Times New Roman" w:eastAsia="宋体" w:hAnsi="Times New Roman" w:cs="Times New Roman"/>
      <w:b/>
      <w:bCs/>
      <w:kern w:val="44"/>
      <w:sz w:val="44"/>
      <w:szCs w:val="44"/>
    </w:rPr>
  </w:style>
  <w:style w:type="character" w:customStyle="1" w:styleId="2Char">
    <w:name w:val="标题 2 Char"/>
    <w:basedOn w:val="a0"/>
    <w:link w:val="2"/>
    <w:qFormat/>
    <w:rsid w:val="00E63B0A"/>
    <w:rPr>
      <w:rFonts w:ascii="Arial" w:eastAsia="黑体" w:hAnsi="Arial" w:cs="Times New Roman"/>
      <w:b/>
      <w:bCs/>
      <w:sz w:val="32"/>
      <w:szCs w:val="32"/>
    </w:rPr>
  </w:style>
  <w:style w:type="paragraph" w:customStyle="1" w:styleId="11">
    <w:name w:val="正文缩进1"/>
    <w:basedOn w:val="a"/>
    <w:qFormat/>
    <w:rsid w:val="00E63B0A"/>
    <w:pPr>
      <w:widowControl/>
      <w:ind w:left="425"/>
      <w:jc w:val="left"/>
    </w:pPr>
    <w:rPr>
      <w:kern w:val="0"/>
      <w:sz w:val="20"/>
      <w:szCs w:val="20"/>
      <w:lang w:eastAsia="en-US"/>
    </w:rPr>
  </w:style>
  <w:style w:type="character" w:customStyle="1" w:styleId="Char3">
    <w:name w:val="正文文本 Char"/>
    <w:basedOn w:val="a0"/>
    <w:qFormat/>
    <w:rsid w:val="00E63B0A"/>
    <w:rPr>
      <w:rFonts w:eastAsia="PMingLiU"/>
      <w:sz w:val="24"/>
      <w:lang w:eastAsia="zh-TW"/>
    </w:rPr>
  </w:style>
  <w:style w:type="character" w:customStyle="1" w:styleId="Char1">
    <w:name w:val="正文文本 Char1"/>
    <w:basedOn w:val="a0"/>
    <w:link w:val="a3"/>
    <w:uiPriority w:val="99"/>
    <w:semiHidden/>
    <w:qFormat/>
    <w:rsid w:val="00E63B0A"/>
    <w:rPr>
      <w:rFonts w:ascii="Times New Roman" w:eastAsia="宋体" w:hAnsi="Times New Roman" w:cs="Times New Roman"/>
      <w:szCs w:val="24"/>
    </w:rPr>
  </w:style>
  <w:style w:type="character" w:customStyle="1" w:styleId="Char">
    <w:name w:val="批注框文本 Char"/>
    <w:basedOn w:val="a0"/>
    <w:link w:val="a4"/>
    <w:uiPriority w:val="99"/>
    <w:semiHidden/>
    <w:qFormat/>
    <w:rsid w:val="00E63B0A"/>
    <w:rPr>
      <w:rFonts w:ascii="Times New Roman" w:eastAsia="宋体" w:hAnsi="Times New Roman" w:cs="Times New Roman"/>
      <w:sz w:val="18"/>
      <w:szCs w:val="18"/>
    </w:rPr>
  </w:style>
  <w:style w:type="character" w:customStyle="1" w:styleId="hover4">
    <w:name w:val="hover4"/>
    <w:basedOn w:val="a0"/>
    <w:qFormat/>
    <w:rsid w:val="00E63B0A"/>
    <w:rPr>
      <w:color w:val="E2853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578</Words>
  <Characters>3295</Characters>
  <Application>Microsoft Office Word</Application>
  <DocSecurity>0</DocSecurity>
  <Lines>27</Lines>
  <Paragraphs>7</Paragraphs>
  <ScaleCrop>false</ScaleCrop>
  <Company>Microsoft</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cp:revision>
  <cp:lastPrinted>2017-07-13T00:47:00Z</cp:lastPrinted>
  <dcterms:created xsi:type="dcterms:W3CDTF">2019-02-01T08:28:00Z</dcterms:created>
  <dcterms:modified xsi:type="dcterms:W3CDTF">2019-02-13T06:58:00Z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