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7115F042">
      <w:pPr>
        <w:pStyle w:val="5"/>
        <w:jc w:val="center"/>
        <w:rPr>
          <w:rFonts w:hint="eastAsia" w:ascii="宋体" w:hAnsi="宋体" w:eastAsia="宋体" w:cs="宋体"/>
          <w:b/>
          <w:color w:val="FF0000"/>
          <w:sz w:val="48"/>
          <w:szCs w:val="48"/>
          <w:u w:val="single"/>
          <w:lang w:eastAsia="zh-CN"/>
        </w:rPr>
      </w:pPr>
      <w:r>
        <w:rPr>
          <w:rFonts w:hint="eastAsia" w:cs="宋体"/>
          <w:b/>
          <w:color w:val="FF0000"/>
          <w:sz w:val="48"/>
          <w:szCs w:val="48"/>
          <w:u w:val="single"/>
          <w:lang w:eastAsia="zh-CN"/>
        </w:rPr>
        <w:t>32-E-102A/B换热器采购项目</w:t>
      </w:r>
    </w:p>
    <w:p w14:paraId="157BEC94">
      <w:pPr>
        <w:pStyle w:val="5"/>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QGD-3122-250924-0409</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29826393">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二〇二五年</w:t>
      </w:r>
      <w:r>
        <w:rPr>
          <w:rFonts w:hint="eastAsia" w:cs="宋体"/>
          <w:b/>
          <w:color w:val="FF0000"/>
          <w:w w:val="95"/>
          <w:sz w:val="32"/>
          <w:lang w:val="en-US" w:eastAsia="zh-CN"/>
        </w:rPr>
        <w:t>九</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5B867183">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1B58A6DB">
      <w:pPr>
        <w:jc w:val="center"/>
        <w:rPr>
          <w:rFonts w:hint="eastAsia" w:ascii="宋体" w:hAnsi="宋体" w:eastAsia="宋体" w:cs="宋体"/>
          <w:b/>
          <w:bCs/>
          <w:color w:val="FF0000"/>
          <w:sz w:val="32"/>
          <w:shd w:val="pct10" w:color="auto" w:fill="FFFFFF"/>
          <w:lang w:eastAsia="zh-CN"/>
        </w:rPr>
      </w:pPr>
      <w:r>
        <w:rPr>
          <w:rFonts w:hint="eastAsia" w:cs="宋体"/>
          <w:b/>
          <w:bCs/>
          <w:color w:val="FF0000"/>
          <w:sz w:val="32"/>
          <w:shd w:val="pct10" w:color="auto" w:fill="FFFFFF"/>
          <w:lang w:eastAsia="zh-CN"/>
        </w:rPr>
        <w:t>32-E-102A/B换热器采购项目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32-E-102A/B换热器采购项目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QGD-3122-250924-0409</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32-E-102A/B换热器采购项目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63E4E186">
      <w:pPr>
        <w:jc w:val="both"/>
        <w:rPr>
          <w:rFonts w:hint="eastAsia" w:cs="宋体"/>
          <w:sz w:val="28"/>
          <w:szCs w:val="28"/>
          <w:lang w:val="en-US" w:eastAsia="zh-CN"/>
        </w:rPr>
      </w:pPr>
      <w:r>
        <w:rPr>
          <w:rFonts w:hint="eastAsia" w:ascii="宋体" w:hAnsi="宋体" w:eastAsia="宋体" w:cs="宋体"/>
          <w:sz w:val="28"/>
          <w:szCs w:val="28"/>
          <w:lang w:val="en-US" w:eastAsia="zh-CN"/>
        </w:rPr>
        <w:t>（1）</w:t>
      </w:r>
      <w:r>
        <w:rPr>
          <w:rFonts w:hint="eastAsia" w:cs="宋体"/>
          <w:sz w:val="28"/>
          <w:szCs w:val="28"/>
          <w:lang w:val="en-US" w:eastAsia="zh-CN"/>
        </w:rPr>
        <w:t>32-E-102A/B换热器</w:t>
      </w:r>
      <w:r>
        <w:rPr>
          <w:rFonts w:hint="eastAsia" w:ascii="宋体" w:hAnsi="宋体" w:eastAsia="宋体" w:cs="宋体"/>
          <w:sz w:val="28"/>
          <w:szCs w:val="28"/>
          <w:lang w:val="en-US" w:eastAsia="zh-CN"/>
        </w:rPr>
        <w:t xml:space="preserve">  数量:</w:t>
      </w:r>
      <w:r>
        <w:rPr>
          <w:rFonts w:hint="eastAsia" w:cs="宋体"/>
          <w:sz w:val="28"/>
          <w:szCs w:val="28"/>
          <w:lang w:val="en-US" w:eastAsia="zh-CN"/>
        </w:rPr>
        <w:t>2台</w:t>
      </w:r>
      <w:r>
        <w:rPr>
          <w:rFonts w:hint="eastAsia" w:ascii="宋体" w:hAnsi="宋体" w:eastAsia="宋体" w:cs="宋体"/>
          <w:sz w:val="28"/>
          <w:szCs w:val="28"/>
          <w:lang w:val="en-US" w:eastAsia="zh-CN"/>
        </w:rPr>
        <w:t>， 规格型号</w:t>
      </w:r>
      <w:r>
        <w:rPr>
          <w:rFonts w:hint="eastAsia" w:cs="宋体"/>
          <w:sz w:val="28"/>
          <w:szCs w:val="28"/>
          <w:lang w:val="en-US" w:eastAsia="zh-CN"/>
        </w:rPr>
        <w:t>：32-E-102 / 规格：AJS -1750-1.2/0.93-787-6/19-4I</w:t>
      </w:r>
    </w:p>
    <w:p w14:paraId="523EDA27">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（2）询比控制价：</w:t>
      </w:r>
      <w:r>
        <w:rPr>
          <w:rFonts w:hint="eastAsia" w:cs="宋体"/>
          <w:sz w:val="28"/>
          <w:szCs w:val="28"/>
          <w:lang w:val="en-US" w:eastAsia="zh-CN"/>
        </w:rPr>
        <w:t>94.92</w:t>
      </w:r>
      <w:r>
        <w:rPr>
          <w:rFonts w:hint="eastAsia" w:ascii="宋体" w:hAnsi="宋体" w:eastAsia="宋体" w:cs="宋体"/>
          <w:sz w:val="28"/>
          <w:szCs w:val="28"/>
          <w:lang w:val="en-US" w:eastAsia="zh-CN"/>
        </w:rPr>
        <w:t>万元（13%含税总价）</w:t>
      </w:r>
    </w:p>
    <w:p w14:paraId="32B3808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3.交货期：</w:t>
      </w:r>
      <w:r>
        <w:rPr>
          <w:rFonts w:hint="eastAsia" w:cs="宋体"/>
          <w:sz w:val="28"/>
          <w:szCs w:val="28"/>
          <w:lang w:val="en-US" w:eastAsia="zh-CN"/>
        </w:rPr>
        <w:t>中选通知日</w:t>
      </w:r>
      <w:r>
        <w:rPr>
          <w:rFonts w:hint="eastAsia" w:ascii="宋体" w:hAnsi="宋体" w:eastAsia="宋体" w:cs="宋体"/>
          <w:sz w:val="28"/>
          <w:szCs w:val="28"/>
          <w:lang w:val="en-US" w:eastAsia="zh-CN"/>
        </w:rPr>
        <w:t>起≤</w:t>
      </w:r>
      <w:r>
        <w:rPr>
          <w:rFonts w:hint="eastAsia" w:cs="宋体"/>
          <w:sz w:val="28"/>
          <w:szCs w:val="28"/>
          <w:lang w:val="en-US" w:eastAsia="zh-CN"/>
        </w:rPr>
        <w:t>65</w:t>
      </w:r>
      <w:r>
        <w:rPr>
          <w:rFonts w:hint="eastAsia" w:ascii="宋体" w:hAnsi="宋体" w:eastAsia="宋体" w:cs="宋体"/>
          <w:sz w:val="28"/>
          <w:szCs w:val="28"/>
          <w:lang w:val="en-US" w:eastAsia="zh-CN"/>
        </w:rPr>
        <w:t>天。</w:t>
      </w:r>
      <w:bookmarkStart w:id="1" w:name="_GoBack"/>
      <w:bookmarkEnd w:id="1"/>
    </w:p>
    <w:p w14:paraId="6520554A">
      <w:pPr>
        <w:tabs>
          <w:tab w:val="left" w:pos="709"/>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二、参比人资格要求</w:t>
      </w:r>
    </w:p>
    <w:p w14:paraId="2D9C69A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1.参选人必须具备有效的企业法人营业执照，参选单位应是具备独立法人资格且有能力按我司需求提供换热器货物及服务的制造商</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5949E4B9">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3.参选单位应具备有效的国家质量监督部门颁发的《中华人民共和国特种设备制造许可证》（压力容器），具有A2级或以上压力容器设计和制造资质。</w:t>
      </w:r>
    </w:p>
    <w:p w14:paraId="7D6CF989">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4.参选单位必须有类似项目业绩:</w:t>
      </w:r>
      <w:r>
        <w:rPr>
          <w:rFonts w:hint="eastAsia" w:cs="宋体"/>
          <w:color w:val="000000" w:themeColor="text1"/>
          <w:sz w:val="28"/>
          <w:szCs w:val="28"/>
          <w:lang w:val="en-US" w:eastAsia="zh-CN" w:bidi="ar-SA"/>
          <w14:textFill>
            <w14:solidFill>
              <w14:schemeClr w14:val="tx1"/>
            </w14:solidFill>
          </w14:textFill>
        </w:rPr>
        <w:t>参选人</w:t>
      </w:r>
      <w:r>
        <w:rPr>
          <w:rFonts w:hint="eastAsia" w:ascii="宋体" w:hAnsi="宋体" w:eastAsia="宋体" w:cs="宋体"/>
          <w:color w:val="000000" w:themeColor="text1"/>
          <w:sz w:val="28"/>
          <w:szCs w:val="28"/>
          <w:lang w:val="en-US" w:eastAsia="zh-CN" w:bidi="ar-SA"/>
          <w14:textFill>
            <w14:solidFill>
              <w14:schemeClr w14:val="tx1"/>
            </w14:solidFill>
          </w14:textFill>
        </w:rPr>
        <w:t>近五年(招标公告发布之日向前推算)在中华人民共和国境内(不含港、澳、台地区)应具有5台及以上类似项目（钩圈浮头式换热器，直径≥1600mm ）制造并交付业绩（需要提供合同、供货清单、压力容器监检证书等证明文件）。</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1.报名时间：公示之日起至2025年</w:t>
      </w:r>
      <w:r>
        <w:rPr>
          <w:rFonts w:hint="eastAsia" w:cs="宋体"/>
          <w:color w:val="000000" w:themeColor="text1"/>
          <w:sz w:val="28"/>
          <w:szCs w:val="28"/>
          <w:lang w:val="en-US" w:eastAsia="zh-CN"/>
          <w14:textFill>
            <w14:solidFill>
              <w14:schemeClr w14:val="tx1"/>
            </w14:solidFill>
          </w14:textFill>
        </w:rPr>
        <w:t>10</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eastAsia="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上午11:00</w:t>
      </w:r>
      <w:r>
        <w:rPr>
          <w:rFonts w:hint="eastAsia"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1232D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4512EB0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3.获取参比文件：本项目参比文件请有意向参比人自行下载，不收取费用。（特别声明：未进行登记报名的参比人，其递交的参比文件将被拒收。）</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FF0000"/>
          <w:sz w:val="28"/>
          <w:szCs w:val="28"/>
          <w:lang w:val="en-US" w:eastAsia="zh-CN"/>
        </w:rPr>
        <w:t>另行通知</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18000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70238E0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32-E-102A/B换热器采购项目</w:t>
      </w:r>
    </w:p>
    <w:p w14:paraId="7ECBE6C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lang w:eastAsia="zh-CN"/>
        </w:rPr>
        <w:t>2025年</w:t>
      </w:r>
      <w:r>
        <w:rPr>
          <w:rFonts w:hint="eastAsia" w:cs="宋体"/>
          <w:color w:val="FF0000"/>
          <w:sz w:val="28"/>
          <w:szCs w:val="28"/>
          <w:lang w:val="en-US" w:eastAsia="zh-CN"/>
        </w:rPr>
        <w:t>9</w:t>
      </w:r>
      <w:r>
        <w:rPr>
          <w:rFonts w:hint="eastAsia" w:ascii="宋体" w:hAnsi="宋体" w:eastAsia="宋体" w:cs="宋体"/>
          <w:color w:val="FF0000"/>
          <w:sz w:val="28"/>
          <w:szCs w:val="28"/>
          <w:lang w:eastAsia="zh-CN"/>
        </w:rPr>
        <w:t>月</w:t>
      </w: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lang w:eastAsia="zh-CN"/>
        </w:rPr>
        <w:t>日</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5872A7CB">
      <w:pPr>
        <w:pStyle w:val="17"/>
        <w:rPr>
          <w:rFonts w:hint="eastAsia" w:ascii="宋体" w:hAnsi="宋体" w:eastAsia="宋体" w:cs="宋体"/>
          <w:lang w:eastAsia="zh-CN"/>
        </w:rPr>
      </w:pPr>
    </w:p>
    <w:p w14:paraId="4155A3A1">
      <w:pPr>
        <w:pStyle w:val="17"/>
        <w:rPr>
          <w:rFonts w:hint="eastAsia" w:ascii="宋体" w:hAnsi="宋体" w:eastAsia="宋体" w:cs="宋体"/>
          <w:lang w:eastAsia="zh-CN"/>
        </w:rPr>
      </w:pPr>
    </w:p>
    <w:p w14:paraId="2965CE01">
      <w:pPr>
        <w:pStyle w:val="17"/>
        <w:rPr>
          <w:rFonts w:hint="eastAsia" w:ascii="宋体" w:hAnsi="宋体" w:eastAsia="宋体" w:cs="宋体"/>
          <w:lang w:eastAsia="zh-CN"/>
        </w:rPr>
      </w:pPr>
    </w:p>
    <w:p w14:paraId="5CAD5879">
      <w:pPr>
        <w:pStyle w:val="17"/>
        <w:rPr>
          <w:rFonts w:hint="eastAsia" w:ascii="宋体" w:hAnsi="宋体" w:eastAsia="宋体" w:cs="宋体"/>
          <w:lang w:eastAsia="zh-CN"/>
        </w:rPr>
      </w:pPr>
    </w:p>
    <w:p w14:paraId="5313758F">
      <w:pPr>
        <w:pStyle w:val="17"/>
        <w:rPr>
          <w:rFonts w:hint="eastAsia" w:ascii="宋体" w:hAnsi="宋体" w:eastAsia="宋体" w:cs="宋体"/>
          <w:lang w:eastAsia="zh-CN"/>
        </w:rPr>
      </w:pPr>
    </w:p>
    <w:p w14:paraId="41309719">
      <w:pPr>
        <w:pStyle w:val="17"/>
        <w:rPr>
          <w:rFonts w:hint="eastAsia" w:ascii="宋体" w:hAnsi="宋体" w:eastAsia="宋体" w:cs="宋体"/>
          <w:lang w:eastAsia="zh-CN"/>
        </w:rPr>
      </w:pPr>
    </w:p>
    <w:p w14:paraId="02D0EB6A">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32-E-102A/B换热器采购项目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QGD-3122-250924-0409</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0327FFBD">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32-E-102A/B换热器采购项目</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PX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7A4EC90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技术联系人：苟随义 13850428031, sygou@fhcpec.com.cn</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213E8EC5">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1.参选人必须具备有效的企业法人营业执照，参选单位应是具备独立法人资格且有能力按我司需求提供换热器货物及服务的制造商</w:t>
      </w:r>
    </w:p>
    <w:p w14:paraId="33D9A66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59D092C5">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3.参选单位应具备有效的国家质量监督部门颁发的《中华人民共和国特种设备制造许可证》（压力容器），具有A2级或以上压力容器设计和制造资质。</w:t>
      </w:r>
    </w:p>
    <w:p w14:paraId="5DF1120F">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4.参选单位必须有类似项目业绩:</w:t>
      </w:r>
      <w:r>
        <w:rPr>
          <w:rFonts w:hint="eastAsia" w:cs="宋体"/>
          <w:color w:val="000000" w:themeColor="text1"/>
          <w:sz w:val="28"/>
          <w:szCs w:val="28"/>
          <w:lang w:val="en-US" w:eastAsia="zh-CN" w:bidi="ar-SA"/>
          <w14:textFill>
            <w14:solidFill>
              <w14:schemeClr w14:val="tx1"/>
            </w14:solidFill>
          </w14:textFill>
        </w:rPr>
        <w:t>参选人</w:t>
      </w:r>
      <w:r>
        <w:rPr>
          <w:rFonts w:hint="eastAsia" w:ascii="宋体" w:hAnsi="宋体" w:eastAsia="宋体" w:cs="宋体"/>
          <w:color w:val="000000" w:themeColor="text1"/>
          <w:sz w:val="28"/>
          <w:szCs w:val="28"/>
          <w:lang w:val="en-US" w:eastAsia="zh-CN" w:bidi="ar-SA"/>
          <w14:textFill>
            <w14:solidFill>
              <w14:schemeClr w14:val="tx1"/>
            </w14:solidFill>
          </w14:textFill>
        </w:rPr>
        <w:t>近五年(招标公告发布之日向前推算)在中华人民共和国境内(不含港、澳、台地区)应具有5台及以上类似项目（钩圈浮头式换热器，直径≥1600mm ）制造并交付业绩（需要提供合同、供货清单、压力容器监检证书等证明文件）。</w:t>
      </w:r>
    </w:p>
    <w:p w14:paraId="4E494E67">
      <w:pPr>
        <w:tabs>
          <w:tab w:val="left" w:pos="709"/>
        </w:tabs>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18000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F1D516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32-E-102A/B换热器采购项目</w:t>
      </w:r>
    </w:p>
    <w:p w14:paraId="0736B5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w:t>
      </w:r>
      <w:r>
        <w:rPr>
          <w:rFonts w:hint="eastAsia" w:cs="宋体"/>
          <w:sz w:val="28"/>
          <w:szCs w:val="28"/>
          <w:lang w:val="en-US" w:eastAsia="zh-CN"/>
        </w:rPr>
        <w:t>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497D28DC">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1.参比文件递交的截止时间</w:t>
      </w:r>
      <w:r>
        <w:rPr>
          <w:rFonts w:hint="eastAsia" w:ascii="宋体" w:hAnsi="宋体" w:eastAsia="宋体" w:cs="宋体"/>
          <w:color w:val="FF0000"/>
          <w:sz w:val="28"/>
          <w:szCs w:val="28"/>
          <w:lang w:eastAsia="zh-CN"/>
        </w:rPr>
        <w:t>：</w:t>
      </w:r>
      <w:r>
        <w:rPr>
          <w:rFonts w:hint="eastAsia" w:cs="宋体"/>
          <w:color w:val="FF0000"/>
          <w:sz w:val="28"/>
          <w:szCs w:val="28"/>
          <w:lang w:val="en-US" w:eastAsia="zh-CN"/>
        </w:rPr>
        <w:t>另行通知</w:t>
      </w:r>
      <w:r>
        <w:rPr>
          <w:rFonts w:hint="eastAsia" w:ascii="宋体" w:hAnsi="宋体" w:eastAsia="宋体" w:cs="宋体"/>
          <w:color w:val="FF0000"/>
          <w:sz w:val="28"/>
          <w:szCs w:val="28"/>
          <w:lang w:eastAsia="zh-CN"/>
        </w:rPr>
        <w:t>。</w:t>
      </w:r>
    </w:p>
    <w:p w14:paraId="2A44BAFB">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漳州市漳浦县杜浔镇杜昌路9号福海创办公楼三楼综合采购团队。收件人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7516654B">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71CF6892">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2"/>
        <w:tblW w:w="9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490"/>
        <w:gridCol w:w="665"/>
        <w:gridCol w:w="6783"/>
      </w:tblGrid>
      <w:tr w14:paraId="75C5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5116F1C0">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序号</w:t>
            </w:r>
          </w:p>
        </w:tc>
        <w:tc>
          <w:tcPr>
            <w:tcW w:w="1490" w:type="dxa"/>
            <w:tcBorders>
              <w:top w:val="single" w:color="auto" w:sz="6" w:space="0"/>
              <w:left w:val="single" w:color="auto" w:sz="6" w:space="0"/>
              <w:bottom w:val="single" w:color="auto" w:sz="6" w:space="0"/>
              <w:right w:val="single" w:color="auto" w:sz="6" w:space="0"/>
            </w:tcBorders>
            <w:noWrap w:val="0"/>
            <w:vAlign w:val="center"/>
          </w:tcPr>
          <w:p w14:paraId="0344D71A">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内容</w:t>
            </w:r>
          </w:p>
        </w:tc>
        <w:tc>
          <w:tcPr>
            <w:tcW w:w="665" w:type="dxa"/>
            <w:tcBorders>
              <w:top w:val="single" w:color="auto" w:sz="6" w:space="0"/>
              <w:left w:val="single" w:color="auto" w:sz="6" w:space="0"/>
              <w:bottom w:val="single" w:color="auto" w:sz="6" w:space="0"/>
              <w:right w:val="single" w:color="auto" w:sz="6" w:space="0"/>
            </w:tcBorders>
            <w:noWrap w:val="0"/>
            <w:vAlign w:val="center"/>
          </w:tcPr>
          <w:p w14:paraId="36176B7B">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en-US" w:eastAsia="zh-CN" w:bidi="ar-SA"/>
              </w:rPr>
              <w:t>分值</w:t>
            </w:r>
          </w:p>
        </w:tc>
        <w:tc>
          <w:tcPr>
            <w:tcW w:w="6783" w:type="dxa"/>
            <w:tcBorders>
              <w:top w:val="single" w:color="auto" w:sz="6" w:space="0"/>
              <w:left w:val="single" w:color="auto" w:sz="6" w:space="0"/>
              <w:bottom w:val="single" w:color="auto" w:sz="6" w:space="0"/>
              <w:right w:val="single" w:color="auto" w:sz="6" w:space="0"/>
            </w:tcBorders>
            <w:noWrap w:val="0"/>
            <w:vAlign w:val="center"/>
          </w:tcPr>
          <w:p w14:paraId="4D3A116A">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评分规则</w:t>
            </w:r>
          </w:p>
        </w:tc>
      </w:tr>
      <w:tr w14:paraId="65F97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43E4A33F">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一</w:t>
            </w:r>
          </w:p>
        </w:tc>
        <w:tc>
          <w:tcPr>
            <w:tcW w:w="8938" w:type="dxa"/>
            <w:gridSpan w:val="3"/>
            <w:tcBorders>
              <w:top w:val="single" w:color="auto" w:sz="6" w:space="0"/>
              <w:left w:val="single" w:color="auto" w:sz="6" w:space="0"/>
              <w:bottom w:val="single" w:color="auto" w:sz="6" w:space="0"/>
              <w:right w:val="single" w:color="auto" w:sz="6" w:space="0"/>
            </w:tcBorders>
            <w:noWrap w:val="0"/>
            <w:vAlign w:val="center"/>
          </w:tcPr>
          <w:p w14:paraId="77A341CB">
            <w:pPr>
              <w:autoSpaceDE w:val="0"/>
              <w:autoSpaceDN w:val="0"/>
              <w:spacing w:line="460" w:lineRule="exact"/>
              <w:jc w:val="center"/>
              <w:rPr>
                <w:rFonts w:hint="eastAsia" w:ascii="宋体" w:hAnsi="宋体" w:eastAsia="宋体" w:cs="宋体"/>
                <w:sz w:val="28"/>
                <w:szCs w:val="28"/>
                <w:lang w:val="zh-CN" w:eastAsia="zh-CN" w:bidi="ar-SA"/>
              </w:rPr>
            </w:pPr>
            <w:r>
              <w:rPr>
                <w:rFonts w:hint="eastAsia" w:ascii="宋体" w:hAnsi="宋体" w:eastAsia="宋体" w:cs="宋体"/>
                <w:sz w:val="28"/>
                <w:szCs w:val="28"/>
                <w:lang w:val="zh-CN" w:eastAsia="zh-CN" w:bidi="ar-SA"/>
              </w:rPr>
              <w:t>技术</w:t>
            </w:r>
            <w:r>
              <w:rPr>
                <w:rFonts w:hint="eastAsia" w:cs="宋体"/>
                <w:sz w:val="28"/>
                <w:szCs w:val="28"/>
                <w:lang w:val="en-US" w:eastAsia="zh-CN" w:bidi="ar-SA"/>
              </w:rPr>
              <w:t>分</w:t>
            </w:r>
            <w:r>
              <w:rPr>
                <w:rFonts w:hint="eastAsia" w:ascii="宋体" w:hAnsi="宋体" w:eastAsia="宋体" w:cs="宋体"/>
                <w:sz w:val="28"/>
                <w:szCs w:val="28"/>
                <w:lang w:val="zh-CN" w:eastAsia="zh-CN" w:bidi="ar-SA"/>
              </w:rPr>
              <w:t>（</w:t>
            </w:r>
            <w:r>
              <w:rPr>
                <w:rFonts w:hint="eastAsia" w:cs="宋体"/>
                <w:sz w:val="28"/>
                <w:szCs w:val="28"/>
                <w:lang w:val="en-US" w:eastAsia="zh-CN" w:bidi="ar-SA"/>
              </w:rPr>
              <w:t>3</w:t>
            </w:r>
            <w:r>
              <w:rPr>
                <w:rFonts w:hint="eastAsia" w:ascii="宋体" w:hAnsi="宋体" w:eastAsia="宋体" w:cs="宋体"/>
                <w:sz w:val="28"/>
                <w:szCs w:val="28"/>
                <w:lang w:val="zh-CN" w:eastAsia="zh-CN" w:bidi="ar-SA"/>
              </w:rPr>
              <w:t>0分）</w:t>
            </w:r>
          </w:p>
        </w:tc>
      </w:tr>
      <w:tr w14:paraId="112F8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835" w:type="dxa"/>
            <w:tcBorders>
              <w:top w:val="single" w:color="auto" w:sz="4" w:space="0"/>
              <w:left w:val="single" w:color="auto" w:sz="6" w:space="0"/>
              <w:right w:val="single" w:color="auto" w:sz="6" w:space="0"/>
            </w:tcBorders>
            <w:noWrap w:val="0"/>
            <w:vAlign w:val="center"/>
          </w:tcPr>
          <w:p w14:paraId="3F12CACD">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w:t>
            </w:r>
          </w:p>
        </w:tc>
        <w:tc>
          <w:tcPr>
            <w:tcW w:w="1490" w:type="dxa"/>
            <w:tcBorders>
              <w:top w:val="single" w:color="auto" w:sz="4" w:space="0"/>
              <w:left w:val="single" w:color="auto" w:sz="6" w:space="0"/>
              <w:right w:val="single" w:color="auto" w:sz="6" w:space="0"/>
            </w:tcBorders>
            <w:noWrap w:val="0"/>
            <w:vAlign w:val="center"/>
          </w:tcPr>
          <w:p w14:paraId="7A95E428">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zh-CN" w:eastAsia="zh-CN" w:bidi="ar-SA"/>
              </w:rPr>
              <w:t>综合实力</w:t>
            </w:r>
          </w:p>
        </w:tc>
        <w:tc>
          <w:tcPr>
            <w:tcW w:w="665" w:type="dxa"/>
            <w:tcBorders>
              <w:top w:val="single" w:color="auto" w:sz="4" w:space="0"/>
              <w:left w:val="single" w:color="auto" w:sz="6" w:space="0"/>
              <w:right w:val="single" w:color="auto" w:sz="6" w:space="0"/>
            </w:tcBorders>
            <w:noWrap w:val="0"/>
            <w:vAlign w:val="center"/>
          </w:tcPr>
          <w:p w14:paraId="15B54BCA">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54E0C54F">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1、根据</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企业规模、企业优势、企业的专业性、企业资质、近年(2023年～2025年)企业获奖情况等方面情况，在0-2分之间进行评分。</w:t>
            </w:r>
          </w:p>
          <w:p w14:paraId="0086F036">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近几年(2023年～2025年)财务报表状况、银行资信、 企业信誉(主要是履约信誉),在0-1分之间进行评分。</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应在投标文件中附上相关证明材料(如资信证书、重合同守信用证书等)并加盖</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单位公章。</w:t>
            </w:r>
          </w:p>
        </w:tc>
      </w:tr>
      <w:tr w14:paraId="146E2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8" w:hRule="atLeast"/>
          <w:jc w:val="center"/>
        </w:trPr>
        <w:tc>
          <w:tcPr>
            <w:tcW w:w="835" w:type="dxa"/>
            <w:tcBorders>
              <w:top w:val="single" w:color="auto" w:sz="4" w:space="0"/>
              <w:left w:val="single" w:color="auto" w:sz="6" w:space="0"/>
              <w:right w:val="single" w:color="auto" w:sz="6" w:space="0"/>
            </w:tcBorders>
            <w:noWrap w:val="0"/>
            <w:vAlign w:val="center"/>
          </w:tcPr>
          <w:p w14:paraId="54C1EA6E">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p>
        </w:tc>
        <w:tc>
          <w:tcPr>
            <w:tcW w:w="1490" w:type="dxa"/>
            <w:tcBorders>
              <w:top w:val="single" w:color="auto" w:sz="4" w:space="0"/>
              <w:left w:val="single" w:color="auto" w:sz="6" w:space="0"/>
              <w:right w:val="single" w:color="auto" w:sz="6" w:space="0"/>
            </w:tcBorders>
            <w:noWrap w:val="0"/>
            <w:vAlign w:val="center"/>
          </w:tcPr>
          <w:p w14:paraId="4610AB8D">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投标文件质量</w:t>
            </w:r>
          </w:p>
        </w:tc>
        <w:tc>
          <w:tcPr>
            <w:tcW w:w="665" w:type="dxa"/>
            <w:tcBorders>
              <w:top w:val="single" w:color="auto" w:sz="4" w:space="0"/>
              <w:left w:val="single" w:color="auto" w:sz="6" w:space="0"/>
              <w:right w:val="single" w:color="auto" w:sz="6" w:space="0"/>
            </w:tcBorders>
            <w:noWrap w:val="0"/>
            <w:vAlign w:val="center"/>
          </w:tcPr>
          <w:p w14:paraId="26EC5009">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4A353410">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根据</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提供的投标文件的质量，内容编制是否规范合理，响应文件编制是否完整,查阅是否便利，对本项目设计及制造方面的针对性等方面情况，在0-2分之间评分。</w:t>
            </w:r>
          </w:p>
        </w:tc>
      </w:tr>
      <w:tr w14:paraId="27D5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835" w:type="dxa"/>
            <w:tcBorders>
              <w:top w:val="single" w:color="auto" w:sz="4" w:space="0"/>
              <w:left w:val="single" w:color="auto" w:sz="6" w:space="0"/>
              <w:right w:val="single" w:color="auto" w:sz="6" w:space="0"/>
            </w:tcBorders>
            <w:noWrap w:val="0"/>
            <w:vAlign w:val="center"/>
          </w:tcPr>
          <w:p w14:paraId="20D8C92B">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w:t>
            </w:r>
          </w:p>
        </w:tc>
        <w:tc>
          <w:tcPr>
            <w:tcW w:w="1490" w:type="dxa"/>
            <w:tcBorders>
              <w:top w:val="single" w:color="auto" w:sz="4" w:space="0"/>
              <w:left w:val="single" w:color="auto" w:sz="6" w:space="0"/>
              <w:right w:val="single" w:color="auto" w:sz="6" w:space="0"/>
            </w:tcBorders>
            <w:noWrap w:val="0"/>
            <w:vAlign w:val="center"/>
          </w:tcPr>
          <w:p w14:paraId="6E2D3A45">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机械装备配置能力及行业经验能力</w:t>
            </w:r>
          </w:p>
        </w:tc>
        <w:tc>
          <w:tcPr>
            <w:tcW w:w="665" w:type="dxa"/>
            <w:tcBorders>
              <w:top w:val="single" w:color="auto" w:sz="4" w:space="0"/>
              <w:left w:val="single" w:color="auto" w:sz="6" w:space="0"/>
              <w:right w:val="single" w:color="auto" w:sz="6" w:space="0"/>
            </w:tcBorders>
            <w:noWrap w:val="0"/>
            <w:vAlign w:val="center"/>
          </w:tcPr>
          <w:p w14:paraId="53025A20">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8分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1BC01547">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1、根据</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提供的制造本案设备的机械装备齐全性及性能品牌，满足招标文件要求的程度，在0-6分之间评分。</w:t>
            </w:r>
          </w:p>
          <w:p w14:paraId="32FD12A5">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A 换热器制造相关设备：大型机加工切削设备及自动化程度、管板自动焊机、胀管设备、试压工装等</w:t>
            </w:r>
          </w:p>
          <w:p w14:paraId="31C11337">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B其他设备能力：起重设备、卷板设备、热处理设备、无损检测及理化分析设备等</w:t>
            </w:r>
          </w:p>
          <w:p w14:paraId="570B0590">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根据自身经验，针对本招标项目在设计、制造及使用维护方面提出的可行性建议及优化方案，根据可行性建议及优化方案的合理性及可行性在0-2分之间评分。</w:t>
            </w:r>
          </w:p>
          <w:p w14:paraId="3D6F4A17">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备注：</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应在投标文件中进行阐述，并附上相关证明材料。</w:t>
            </w:r>
          </w:p>
        </w:tc>
      </w:tr>
      <w:tr w14:paraId="1870D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50B8DF8E">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w:t>
            </w:r>
          </w:p>
        </w:tc>
        <w:tc>
          <w:tcPr>
            <w:tcW w:w="1490" w:type="dxa"/>
            <w:tcBorders>
              <w:top w:val="single" w:color="auto" w:sz="4" w:space="0"/>
              <w:left w:val="single" w:color="auto" w:sz="6" w:space="0"/>
              <w:bottom w:val="single" w:color="auto" w:sz="4" w:space="0"/>
              <w:right w:val="single" w:color="auto" w:sz="6" w:space="0"/>
            </w:tcBorders>
            <w:noWrap w:val="0"/>
            <w:vAlign w:val="center"/>
          </w:tcPr>
          <w:p w14:paraId="4B5473C4">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质量控制管理评审</w:t>
            </w:r>
          </w:p>
        </w:tc>
        <w:tc>
          <w:tcPr>
            <w:tcW w:w="665" w:type="dxa"/>
            <w:tcBorders>
              <w:top w:val="single" w:color="auto" w:sz="4" w:space="0"/>
              <w:left w:val="single" w:color="auto" w:sz="6" w:space="0"/>
              <w:bottom w:val="single" w:color="auto" w:sz="4" w:space="0"/>
              <w:right w:val="single" w:color="auto" w:sz="6" w:space="0"/>
            </w:tcBorders>
            <w:noWrap w:val="0"/>
            <w:vAlign w:val="center"/>
          </w:tcPr>
          <w:p w14:paraId="7FF25DE2">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7分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1C063FC2">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具备有效的质量管理、环境管理、职业健康安全管理三大体系认证资质，评分0-1分。</w:t>
            </w:r>
          </w:p>
          <w:p w14:paraId="36C8C042">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根据本项目制定专项的质量控制方案，包括从原材料采购到产品出厂的全流程控制，评分0-6分。</w:t>
            </w:r>
          </w:p>
          <w:p w14:paraId="2DA44A79">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A、无专项方案0分；</w:t>
            </w:r>
          </w:p>
          <w:p w14:paraId="12C9DDF3">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B、根据方案的完整性、可操作性和符合实际性进行评审，评分1-4分；</w:t>
            </w:r>
          </w:p>
          <w:p w14:paraId="6D474702">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C、根据</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提供的服务承诺及协调沟通方案，承诺在原设计文件或相关规范未有明确要求，但有利于设备制造质量控制的方案或措施，评分1-2分。</w:t>
            </w:r>
          </w:p>
        </w:tc>
      </w:tr>
      <w:tr w14:paraId="0A02C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273C5847">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5</w:t>
            </w:r>
          </w:p>
        </w:tc>
        <w:tc>
          <w:tcPr>
            <w:tcW w:w="1490" w:type="dxa"/>
            <w:tcBorders>
              <w:top w:val="single" w:color="auto" w:sz="4" w:space="0"/>
              <w:left w:val="single" w:color="auto" w:sz="6" w:space="0"/>
              <w:bottom w:val="single" w:color="auto" w:sz="4" w:space="0"/>
              <w:right w:val="single" w:color="auto" w:sz="6" w:space="0"/>
            </w:tcBorders>
            <w:noWrap w:val="0"/>
            <w:vAlign w:val="center"/>
          </w:tcPr>
          <w:p w14:paraId="1FD15DF1">
            <w:pPr>
              <w:autoSpaceDE w:val="0"/>
              <w:autoSpaceDN w:val="0"/>
              <w:spacing w:line="460" w:lineRule="exact"/>
              <w:rPr>
                <w:rFonts w:hint="eastAsia" w:ascii="宋体" w:hAnsi="宋体" w:eastAsia="宋体" w:cs="宋体"/>
                <w:sz w:val="28"/>
                <w:szCs w:val="28"/>
                <w:lang w:val="en-US" w:eastAsia="zh-CN" w:bidi="ar-SA"/>
              </w:rPr>
            </w:pPr>
            <w:r>
              <w:rPr>
                <w:rFonts w:hint="eastAsia" w:cs="宋体"/>
                <w:sz w:val="28"/>
                <w:szCs w:val="28"/>
                <w:lang w:val="en-US" w:eastAsia="zh-CN" w:bidi="ar-SA"/>
              </w:rPr>
              <w:t>参选人</w:t>
            </w:r>
            <w:r>
              <w:rPr>
                <w:rFonts w:hint="eastAsia" w:ascii="宋体" w:hAnsi="宋体" w:eastAsia="宋体" w:cs="宋体"/>
                <w:sz w:val="28"/>
                <w:szCs w:val="28"/>
                <w:lang w:val="en-US" w:eastAsia="zh-CN" w:bidi="ar-SA"/>
              </w:rPr>
              <w:t>类似项目业绩</w:t>
            </w:r>
          </w:p>
        </w:tc>
        <w:tc>
          <w:tcPr>
            <w:tcW w:w="665" w:type="dxa"/>
            <w:tcBorders>
              <w:top w:val="single" w:color="auto" w:sz="4" w:space="0"/>
              <w:left w:val="single" w:color="auto" w:sz="6" w:space="0"/>
              <w:bottom w:val="single" w:color="auto" w:sz="4" w:space="0"/>
              <w:right w:val="single" w:color="auto" w:sz="6" w:space="0"/>
            </w:tcBorders>
            <w:noWrap w:val="0"/>
            <w:vAlign w:val="center"/>
          </w:tcPr>
          <w:p w14:paraId="02524E73">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7BB4F07D">
            <w:pPr>
              <w:autoSpaceDE w:val="0"/>
              <w:autoSpaceDN w:val="0"/>
              <w:spacing w:line="460" w:lineRule="exact"/>
              <w:rPr>
                <w:rFonts w:hint="eastAsia" w:ascii="宋体" w:hAnsi="宋体" w:eastAsia="宋体" w:cs="宋体"/>
                <w:sz w:val="28"/>
                <w:szCs w:val="28"/>
                <w:lang w:val="en-US" w:eastAsia="zh-CN" w:bidi="ar-SA"/>
              </w:rPr>
            </w:pPr>
            <w:r>
              <w:rPr>
                <w:rFonts w:hint="eastAsia" w:cs="宋体"/>
                <w:sz w:val="28"/>
                <w:szCs w:val="28"/>
                <w:lang w:val="en-US" w:eastAsia="zh-CN" w:bidi="ar-SA"/>
              </w:rPr>
              <w:t>参选人</w:t>
            </w:r>
            <w:r>
              <w:rPr>
                <w:rFonts w:hint="eastAsia" w:ascii="宋体" w:hAnsi="宋体" w:eastAsia="宋体" w:cs="宋体"/>
                <w:sz w:val="28"/>
                <w:szCs w:val="28"/>
                <w:lang w:val="en-US" w:eastAsia="zh-CN" w:bidi="ar-SA"/>
              </w:rPr>
              <w:t>近五年(招标公告发布之日向前推算)在中华人民共和国境内(不含港、澳、台地区)具有的与本次招标项目的类似业绩（管壳式换热器，直径≥1600mm ）的换热器设备的制造并交付业绩,在满足资格要求基础上，每增加一台业绩加0.5分，满分4分。</w:t>
            </w:r>
          </w:p>
          <w:p w14:paraId="15E437DD">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注:</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需提供业绩合同、供货清单、压力容器监检证书等证明文件，若所报业绩的合同文件未体现类似业绩要求的项目特征(如换热器规格、材质等)的，应补充提交其他佐证资料(如技术协议或图纸或数据表等)复印件加盖</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单位公章。</w:t>
            </w:r>
          </w:p>
        </w:tc>
      </w:tr>
      <w:tr w14:paraId="7C332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6D94BFE9">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6</w:t>
            </w:r>
          </w:p>
        </w:tc>
        <w:tc>
          <w:tcPr>
            <w:tcW w:w="1490" w:type="dxa"/>
            <w:tcBorders>
              <w:top w:val="single" w:color="auto" w:sz="4" w:space="0"/>
              <w:left w:val="single" w:color="auto" w:sz="6" w:space="0"/>
              <w:bottom w:val="single" w:color="auto" w:sz="4" w:space="0"/>
              <w:right w:val="single" w:color="auto" w:sz="6" w:space="0"/>
            </w:tcBorders>
            <w:noWrap w:val="0"/>
            <w:vAlign w:val="center"/>
          </w:tcPr>
          <w:p w14:paraId="20674237">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供货周期</w:t>
            </w:r>
          </w:p>
        </w:tc>
        <w:tc>
          <w:tcPr>
            <w:tcW w:w="665" w:type="dxa"/>
            <w:tcBorders>
              <w:top w:val="single" w:color="auto" w:sz="4" w:space="0"/>
              <w:left w:val="single" w:color="auto" w:sz="6" w:space="0"/>
              <w:bottom w:val="single" w:color="auto" w:sz="4" w:space="0"/>
              <w:right w:val="single" w:color="auto" w:sz="6" w:space="0"/>
            </w:tcBorders>
            <w:noWrap w:val="0"/>
            <w:vAlign w:val="center"/>
          </w:tcPr>
          <w:p w14:paraId="55CDD594">
            <w:pPr>
              <w:autoSpaceDE w:val="0"/>
              <w:autoSpaceDN w:val="0"/>
              <w:spacing w:line="460" w:lineRule="exact"/>
              <w:rPr>
                <w:rFonts w:hint="default" w:ascii="宋体" w:hAnsi="宋体" w:eastAsia="宋体" w:cs="宋体"/>
                <w:sz w:val="28"/>
                <w:szCs w:val="28"/>
                <w:lang w:val="en-US" w:eastAsia="zh-CN" w:bidi="ar-SA"/>
              </w:rPr>
            </w:pPr>
            <w:r>
              <w:rPr>
                <w:rFonts w:hint="eastAsia" w:cs="宋体"/>
                <w:sz w:val="28"/>
                <w:szCs w:val="28"/>
                <w:lang w:val="en-US" w:eastAsia="zh-CN" w:bidi="ar-SA"/>
              </w:rPr>
              <w:t>6</w:t>
            </w:r>
            <w:r>
              <w:rPr>
                <w:rFonts w:hint="eastAsia" w:ascii="宋体" w:hAnsi="宋体" w:eastAsia="宋体" w:cs="宋体"/>
                <w:sz w:val="28"/>
                <w:szCs w:val="28"/>
                <w:lang w:val="en-US" w:eastAsia="zh-CN" w:bidi="ar-SA"/>
              </w:rPr>
              <w:t>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4DCB9E60">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供货期55天得满分6分，每增加一天扣0.6分，即56天得5.4分，57天得4.8分，依此类推，63天得1.2分，64天得0.6分，65天得0分。</w:t>
            </w:r>
          </w:p>
        </w:tc>
      </w:tr>
      <w:tr w14:paraId="4A8E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1C0A43F8">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二</w:t>
            </w:r>
          </w:p>
        </w:tc>
        <w:tc>
          <w:tcPr>
            <w:tcW w:w="8938" w:type="dxa"/>
            <w:gridSpan w:val="3"/>
            <w:tcBorders>
              <w:top w:val="single" w:color="auto" w:sz="4" w:space="0"/>
              <w:left w:val="single" w:color="auto" w:sz="6" w:space="0"/>
              <w:bottom w:val="single" w:color="auto" w:sz="4" w:space="0"/>
              <w:right w:val="single" w:color="auto" w:sz="6" w:space="0"/>
            </w:tcBorders>
            <w:noWrap w:val="0"/>
            <w:vAlign w:val="center"/>
          </w:tcPr>
          <w:p w14:paraId="3B99BBBC">
            <w:pPr>
              <w:pStyle w:val="21"/>
              <w:adjustRightInd w:val="0"/>
              <w:snapToGrid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商务标（70分）</w:t>
            </w:r>
          </w:p>
        </w:tc>
      </w:tr>
      <w:tr w14:paraId="32707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7F85A6C9">
            <w:pPr>
              <w:autoSpaceDE w:val="0"/>
              <w:autoSpaceDN w:val="0"/>
              <w:spacing w:line="46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w:t>
            </w:r>
          </w:p>
        </w:tc>
        <w:tc>
          <w:tcPr>
            <w:tcW w:w="1490" w:type="dxa"/>
            <w:tcBorders>
              <w:top w:val="single" w:color="auto" w:sz="4" w:space="0"/>
              <w:left w:val="single" w:color="auto" w:sz="6" w:space="0"/>
              <w:bottom w:val="single" w:color="auto" w:sz="4" w:space="0"/>
              <w:right w:val="single" w:color="auto" w:sz="6" w:space="0"/>
            </w:tcBorders>
            <w:noWrap w:val="0"/>
            <w:vAlign w:val="center"/>
          </w:tcPr>
          <w:p w14:paraId="0D62C199">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商务报价</w:t>
            </w:r>
          </w:p>
        </w:tc>
        <w:tc>
          <w:tcPr>
            <w:tcW w:w="665" w:type="dxa"/>
            <w:tcBorders>
              <w:top w:val="single" w:color="auto" w:sz="4" w:space="0"/>
              <w:left w:val="single" w:color="auto" w:sz="6" w:space="0"/>
              <w:bottom w:val="single" w:color="auto" w:sz="4" w:space="0"/>
              <w:right w:val="single" w:color="auto" w:sz="6" w:space="0"/>
            </w:tcBorders>
            <w:noWrap w:val="0"/>
            <w:vAlign w:val="center"/>
          </w:tcPr>
          <w:p w14:paraId="2AB8E40A">
            <w:pPr>
              <w:autoSpaceDE w:val="0"/>
              <w:autoSpaceDN w:val="0"/>
              <w:spacing w:line="460" w:lineRule="exact"/>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70分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5052FA51">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投标价格得分=(F低/Fn)*70</w:t>
            </w:r>
          </w:p>
          <w:p w14:paraId="65DE2EFF">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式中：①F低为评标基准价=进入报价部分评分的各合格</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中最低的报价评标价。</w:t>
            </w:r>
          </w:p>
          <w:p w14:paraId="57FAEA6A">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②Fn为进入报价部分评分的各合格</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的报价评标价。</w:t>
            </w:r>
          </w:p>
          <w:p w14:paraId="02AFBA48">
            <w:pPr>
              <w:autoSpaceDE w:val="0"/>
              <w:autoSpaceDN w:val="0"/>
              <w:spacing w:line="4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投标报价得分小数点后保留两</w:t>
            </w:r>
            <w:r>
              <w:rPr>
                <w:rFonts w:hint="eastAsia" w:cs="宋体"/>
                <w:sz w:val="28"/>
                <w:szCs w:val="28"/>
                <w:lang w:val="en-US" w:eastAsia="zh-CN" w:bidi="ar-SA"/>
              </w:rPr>
              <w:t>位</w:t>
            </w:r>
            <w:r>
              <w:rPr>
                <w:rFonts w:hint="eastAsia" w:ascii="宋体" w:hAnsi="宋体" w:eastAsia="宋体" w:cs="宋体"/>
                <w:sz w:val="28"/>
                <w:szCs w:val="28"/>
                <w:lang w:val="en-US" w:eastAsia="zh-CN" w:bidi="ar-SA"/>
              </w:rPr>
              <w:t>，第三位“四舍五入”，第四位及以后不计。</w:t>
            </w:r>
          </w:p>
        </w:tc>
      </w:tr>
    </w:tbl>
    <w:p w14:paraId="0BA5F4D7">
      <w:pPr>
        <w:pStyle w:val="5"/>
        <w:numPr>
          <w:ilvl w:val="0"/>
          <w:numId w:val="0"/>
        </w:numPr>
        <w:spacing w:line="360" w:lineRule="auto"/>
        <w:ind w:right="121" w:rightChars="0"/>
        <w:jc w:val="both"/>
        <w:rPr>
          <w:rFonts w:hint="eastAsia" w:ascii="宋体" w:hAnsi="宋体" w:eastAsia="宋体" w:cs="宋体"/>
          <w:sz w:val="28"/>
          <w:szCs w:val="28"/>
          <w:lang w:eastAsia="zh-CN"/>
        </w:rPr>
      </w:pPr>
      <w:r>
        <w:rPr>
          <w:rFonts w:hint="eastAsia" w:cs="宋体"/>
          <w:sz w:val="28"/>
          <w:szCs w:val="28"/>
          <w:lang w:val="en-US" w:eastAsia="zh-CN"/>
        </w:rPr>
        <w:t>2.</w:t>
      </w:r>
      <w:r>
        <w:rPr>
          <w:rFonts w:hint="eastAsia" w:ascii="宋体" w:hAnsi="宋体" w:eastAsia="宋体" w:cs="宋体"/>
          <w:sz w:val="28"/>
          <w:szCs w:val="28"/>
          <w:lang w:eastAsia="zh-CN"/>
        </w:rPr>
        <w:t>报价评分：</w:t>
      </w:r>
    </w:p>
    <w:p w14:paraId="56246A8A">
      <w:pPr>
        <w:autoSpaceDE w:val="0"/>
        <w:autoSpaceDN w:val="0"/>
        <w:spacing w:line="460" w:lineRule="exact"/>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投标价格得分=(F低/Fn)*70</w:t>
      </w:r>
    </w:p>
    <w:p w14:paraId="365FFB63">
      <w:pPr>
        <w:autoSpaceDE w:val="0"/>
        <w:autoSpaceDN w:val="0"/>
        <w:spacing w:line="460" w:lineRule="exact"/>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式中：</w:t>
      </w:r>
    </w:p>
    <w:p w14:paraId="5F447DBD">
      <w:pPr>
        <w:autoSpaceDE w:val="0"/>
        <w:autoSpaceDN w:val="0"/>
        <w:spacing w:line="460" w:lineRule="exact"/>
        <w:ind w:firstLine="280" w:firstLineChars="1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①F低为评标基准价=进入报价部分评分的各合格</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中最低的报价评标价。</w:t>
      </w:r>
    </w:p>
    <w:p w14:paraId="371DD125">
      <w:pPr>
        <w:autoSpaceDE w:val="0"/>
        <w:autoSpaceDN w:val="0"/>
        <w:spacing w:line="460" w:lineRule="exact"/>
        <w:ind w:firstLine="280" w:firstLineChars="1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②Fn为进入报价部分评分的各合格</w:t>
      </w:r>
      <w:r>
        <w:rPr>
          <w:rFonts w:hint="eastAsia" w:cs="宋体"/>
          <w:sz w:val="28"/>
          <w:szCs w:val="28"/>
          <w:lang w:val="en-US" w:eastAsia="zh-CN" w:bidi="ar-SA"/>
        </w:rPr>
        <w:t>参选人</w:t>
      </w:r>
      <w:r>
        <w:rPr>
          <w:rFonts w:hint="eastAsia" w:ascii="宋体" w:hAnsi="宋体" w:eastAsia="宋体" w:cs="宋体"/>
          <w:sz w:val="28"/>
          <w:szCs w:val="28"/>
          <w:lang w:val="en-US" w:eastAsia="zh-CN" w:bidi="ar-SA"/>
        </w:rPr>
        <w:t>的报价评标价。</w:t>
      </w:r>
    </w:p>
    <w:p w14:paraId="469DAAF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bidi="ar-SA"/>
        </w:rPr>
        <w:t>投标报价得分小数点后保留两</w:t>
      </w:r>
      <w:r>
        <w:rPr>
          <w:rFonts w:hint="eastAsia" w:cs="宋体"/>
          <w:sz w:val="28"/>
          <w:szCs w:val="28"/>
          <w:lang w:val="en-US" w:eastAsia="zh-CN" w:bidi="ar-SA"/>
        </w:rPr>
        <w:t>位</w:t>
      </w:r>
      <w:r>
        <w:rPr>
          <w:rFonts w:hint="eastAsia" w:ascii="宋体" w:hAnsi="宋体" w:eastAsia="宋体" w:cs="宋体"/>
          <w:sz w:val="28"/>
          <w:szCs w:val="28"/>
          <w:lang w:val="en-US" w:eastAsia="zh-CN" w:bidi="ar-SA"/>
        </w:rPr>
        <w:t>，第三位“四舍五入”，第四位及以后不计。</w:t>
      </w:r>
    </w:p>
    <w:p w14:paraId="0EEE548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cs="宋体"/>
          <w:sz w:val="28"/>
          <w:szCs w:val="28"/>
          <w:lang w:val="en-US" w:eastAsia="zh-CN"/>
        </w:rPr>
        <w:t>94.92</w:t>
      </w:r>
      <w:r>
        <w:rPr>
          <w:rFonts w:hint="eastAsia" w:ascii="宋体" w:hAnsi="宋体" w:eastAsia="宋体" w:cs="宋体"/>
          <w:sz w:val="28"/>
          <w:szCs w:val="28"/>
          <w:lang w:eastAsia="zh-CN"/>
        </w:rPr>
        <w:t>万元整（含税包干总价）。参选人所填报的报价高于本项目最高限价的</w:t>
      </w:r>
      <w:r>
        <w:rPr>
          <w:rFonts w:hint="eastAsia" w:cs="宋体"/>
          <w:sz w:val="28"/>
          <w:szCs w:val="28"/>
          <w:lang w:val="en-US" w:eastAsia="zh-CN"/>
        </w:rPr>
        <w:t>为废选</w:t>
      </w:r>
      <w:r>
        <w:rPr>
          <w:rFonts w:hint="eastAsia" w:ascii="宋体" w:hAnsi="宋体" w:eastAsia="宋体" w:cs="宋体"/>
          <w:sz w:val="28"/>
          <w:szCs w:val="28"/>
          <w:lang w:eastAsia="zh-CN"/>
        </w:rPr>
        <w:t>。</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12219DD2">
      <w:pPr>
        <w:rPr>
          <w:rFonts w:hint="eastAsia" w:ascii="宋体" w:hAnsi="宋体" w:eastAsia="宋体" w:cs="宋体"/>
          <w:lang w:eastAsia="zh-CN"/>
        </w:rPr>
      </w:pPr>
    </w:p>
    <w:p w14:paraId="15AC15A7">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Fonts w:hint="eastAsia" w:ascii="宋体" w:hAnsi="宋体" w:eastAsia="宋体" w:cs="宋体"/>
          <w:color w:val="FF0000"/>
          <w:sz w:val="28"/>
          <w:szCs w:val="28"/>
          <w:lang w:eastAsia="zh-CN"/>
        </w:rPr>
        <w:t>福建福海创石油化工有限公司指定由其权属子公司“</w:t>
      </w:r>
      <w:r>
        <w:rPr>
          <w:rFonts w:hint="eastAsia" w:ascii="宋体" w:hAnsi="宋体" w:eastAsia="宋体" w:cs="宋体"/>
          <w:color w:val="FF0000"/>
          <w:sz w:val="28"/>
          <w:szCs w:val="28"/>
          <w:lang w:val="en-US" w:eastAsia="zh-CN"/>
        </w:rPr>
        <w:t>腾龙芳烃</w:t>
      </w:r>
      <w:r>
        <w:rPr>
          <w:rFonts w:hint="eastAsia" w:ascii="宋体" w:hAnsi="宋体" w:eastAsia="宋体" w:cs="宋体"/>
          <w:color w:val="FF0000"/>
          <w:sz w:val="28"/>
          <w:szCs w:val="28"/>
          <w:lang w:eastAsia="zh-CN"/>
        </w:rPr>
        <w:t>（漳州）有限公司”作为本合同执行主体，将于中选结果公示流程结束之日起</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lang w:eastAsia="zh-CN"/>
        </w:rPr>
        <w:t>0日内与中选人完成合同签订事宜。</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0DFD16C4">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7150C1FD">
      <w:pPr>
        <w:spacing w:line="360" w:lineRule="auto"/>
        <w:ind w:left="1446" w:hanging="1044" w:hangingChars="200"/>
        <w:jc w:val="center"/>
        <w:rPr>
          <w:rFonts w:hint="eastAsia" w:ascii="宋体" w:hAnsi="宋体" w:eastAsia="宋体" w:cs="宋体"/>
          <w:b/>
          <w:sz w:val="52"/>
          <w:szCs w:val="52"/>
          <w:lang w:val="en-US" w:eastAsia="zh-CN"/>
        </w:rPr>
      </w:pPr>
      <w:r>
        <w:rPr>
          <w:rFonts w:hint="eastAsia" w:ascii="宋体" w:hAnsi="宋体" w:eastAsia="宋体" w:cs="宋体"/>
          <w:b/>
          <w:sz w:val="52"/>
          <w:szCs w:val="52"/>
          <w:lang w:eastAsia="zh-CN"/>
        </w:rPr>
        <w:t>32-E-102A/B换热器采购项目</w:t>
      </w:r>
    </w:p>
    <w:p w14:paraId="6ED00C2C">
      <w:pPr>
        <w:spacing w:line="360" w:lineRule="auto"/>
        <w:ind w:left="883" w:hanging="883" w:hangingChars="200"/>
        <w:jc w:val="center"/>
        <w:rPr>
          <w:b/>
          <w:sz w:val="44"/>
          <w:szCs w:val="44"/>
          <w:lang w:eastAsia="zh-CN"/>
        </w:rPr>
      </w:pP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78E93F42">
      <w:pPr>
        <w:spacing w:line="360" w:lineRule="auto"/>
        <w:ind w:left="643" w:hanging="643" w:hangingChars="200"/>
        <w:rPr>
          <w:rFonts w:hint="default"/>
          <w:b/>
          <w:sz w:val="32"/>
          <w:szCs w:val="32"/>
          <w:lang w:val="en-US" w:eastAsia="zh-CN"/>
        </w:rPr>
      </w:pPr>
      <w:r>
        <w:rPr>
          <w:rFonts w:hint="eastAsia"/>
          <w:b/>
          <w:sz w:val="32"/>
          <w:szCs w:val="32"/>
          <w:lang w:eastAsia="zh-CN"/>
        </w:rPr>
        <w:t xml:space="preserve">          甲方：</w:t>
      </w:r>
      <w:r>
        <w:rPr>
          <w:rFonts w:hint="eastAsia"/>
          <w:b/>
          <w:sz w:val="32"/>
          <w:szCs w:val="32"/>
          <w:lang w:val="en-US" w:eastAsia="zh-CN"/>
        </w:rPr>
        <w:t>福建福海创石油化工有限公司</w:t>
      </w: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4404F136">
      <w:pPr>
        <w:snapToGrid w:val="0"/>
        <w:spacing w:line="360" w:lineRule="auto"/>
        <w:jc w:val="center"/>
        <w:rPr>
          <w:b/>
          <w:szCs w:val="21"/>
          <w:lang w:eastAsia="zh-CN"/>
        </w:rPr>
      </w:pPr>
      <w:r>
        <w:rPr>
          <w:rFonts w:hint="eastAsia"/>
          <w:b/>
          <w:szCs w:val="21"/>
          <w:lang w:eastAsia="zh-CN"/>
        </w:rPr>
        <w:t>一、总则</w:t>
      </w:r>
    </w:p>
    <w:p w14:paraId="3C37A352">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1.1 甲方委托乙方承担</w:t>
      </w:r>
      <w:r>
        <w:rPr>
          <w:rFonts w:hint="eastAsia" w:ascii="宋体" w:hAnsi="宋体" w:eastAsia="宋体" w:cs="宋体"/>
          <w:szCs w:val="21"/>
          <w:u w:val="single"/>
          <w:lang w:eastAsia="zh-CN"/>
        </w:rPr>
        <w:t xml:space="preserve">            </w:t>
      </w:r>
      <w:r>
        <w:rPr>
          <w:rFonts w:hint="eastAsia" w:ascii="宋体" w:hAnsi="宋体" w:eastAsia="宋体" w:cs="宋体"/>
          <w:szCs w:val="21"/>
          <w:lang w:eastAsia="zh-CN"/>
        </w:rPr>
        <w:t xml:space="preserve">制造工作。乙方接受甲方的委托，双方根据《中华人民共和国民法典》的规定，经过协商，达成一致意见，签订本合同。 </w:t>
      </w:r>
    </w:p>
    <w:p w14:paraId="31BDAC77">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3A554CE3">
      <w:pPr>
        <w:snapToGrid w:val="0"/>
        <w:spacing w:line="360" w:lineRule="auto"/>
        <w:rPr>
          <w:szCs w:val="21"/>
          <w:lang w:eastAsia="zh-CN"/>
        </w:rPr>
      </w:pPr>
      <w:r>
        <w:rPr>
          <w:rFonts w:hint="eastAsia"/>
          <w:szCs w:val="21"/>
          <w:lang w:eastAsia="zh-CN"/>
        </w:rPr>
        <w:t>1.2 委托制造的货物名称、型号、规格、数量详见《技术规格书》或《技术协议》。</w:t>
      </w:r>
    </w:p>
    <w:p w14:paraId="1D4F0FA4">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14:paraId="1C347805">
      <w:pPr>
        <w:snapToGrid w:val="0"/>
        <w:spacing w:line="360" w:lineRule="auto"/>
        <w:rPr>
          <w:szCs w:val="21"/>
          <w:lang w:eastAsia="zh-CN"/>
        </w:rPr>
      </w:pPr>
      <w:r>
        <w:rPr>
          <w:rFonts w:hint="eastAsia"/>
          <w:szCs w:val="21"/>
          <w:lang w:eastAsia="zh-CN"/>
        </w:rPr>
        <w:t>1.4</w:t>
      </w:r>
      <w:r>
        <w:rPr>
          <w:szCs w:val="21"/>
          <w:lang w:eastAsia="zh-CN"/>
        </w:rPr>
        <w:t>乙方</w:t>
      </w:r>
      <w:r>
        <w:rPr>
          <w:rFonts w:hint="eastAsia"/>
          <w:szCs w:val="21"/>
          <w:lang w:eastAsia="zh-CN"/>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5D922356">
      <w:pPr>
        <w:snapToGrid w:val="0"/>
        <w:spacing w:line="360" w:lineRule="auto"/>
        <w:jc w:val="center"/>
        <w:rPr>
          <w:b/>
          <w:szCs w:val="21"/>
          <w:lang w:eastAsia="zh-CN"/>
        </w:rPr>
      </w:pPr>
      <w:r>
        <w:rPr>
          <w:rFonts w:hint="eastAsia"/>
          <w:b/>
          <w:szCs w:val="21"/>
          <w:lang w:eastAsia="zh-CN"/>
        </w:rPr>
        <w:t>二、价格</w:t>
      </w:r>
    </w:p>
    <w:p w14:paraId="7E842996">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rFonts w:hint="eastAsia"/>
          <w:szCs w:val="21"/>
          <w:lang w:eastAsia="zh-CN"/>
        </w:rPr>
        <w:t>%税率）</w:t>
      </w:r>
    </w:p>
    <w:p w14:paraId="0755E631">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14:paraId="5BFCE071">
      <w:pPr>
        <w:snapToGrid w:val="0"/>
        <w:spacing w:line="360" w:lineRule="auto"/>
        <w:rPr>
          <w:szCs w:val="21"/>
          <w:lang w:eastAsia="zh-CN"/>
        </w:rPr>
      </w:pPr>
      <w:r>
        <w:rPr>
          <w:rFonts w:hint="eastAsia"/>
          <w:szCs w:val="21"/>
          <w:lang w:eastAsia="zh-CN"/>
        </w:rPr>
        <w:t>2.3 合同总价为一次不变价。以上总价为货到甲方现场指定地点车板交货价。现场交货前一切风险和费用由乙方承担。</w:t>
      </w:r>
    </w:p>
    <w:p w14:paraId="7D2639E5">
      <w:pPr>
        <w:snapToGrid w:val="0"/>
        <w:spacing w:line="360" w:lineRule="auto"/>
        <w:jc w:val="center"/>
        <w:rPr>
          <w:b/>
          <w:szCs w:val="21"/>
          <w:lang w:eastAsia="zh-CN"/>
        </w:rPr>
      </w:pPr>
      <w:r>
        <w:rPr>
          <w:rFonts w:hint="eastAsia"/>
          <w:b/>
          <w:szCs w:val="21"/>
          <w:lang w:eastAsia="zh-CN"/>
        </w:rPr>
        <w:t>三、支付条款</w:t>
      </w:r>
    </w:p>
    <w:p w14:paraId="2358980A">
      <w:pPr>
        <w:spacing w:line="360" w:lineRule="auto"/>
        <w:rPr>
          <w:lang w:eastAsia="zh-CN"/>
        </w:rPr>
      </w:pPr>
      <w:r>
        <w:rPr>
          <w:rFonts w:hint="eastAsia"/>
          <w:lang w:eastAsia="zh-CN"/>
        </w:rPr>
        <w:t>3.1.合同签订后乙方向甲方提交投标保证金</w:t>
      </w:r>
      <w:r>
        <w:rPr>
          <w:rFonts w:hint="eastAsia"/>
          <w:u w:val="single"/>
          <w:lang w:val="en-US" w:eastAsia="zh-CN"/>
        </w:rPr>
        <w:t xml:space="preserve">      </w:t>
      </w:r>
      <w:r>
        <w:rPr>
          <w:rFonts w:hint="eastAsia"/>
          <w:u w:val="none"/>
          <w:lang w:val="en-US" w:eastAsia="zh-CN"/>
        </w:rPr>
        <w:t xml:space="preserve"> 元</w:t>
      </w:r>
      <w:r>
        <w:rPr>
          <w:rFonts w:hint="eastAsia"/>
          <w:lang w:eastAsia="zh-CN"/>
        </w:rPr>
        <w:t>自动转为履约保证金。合同到期且卖方无违约扣款行为的，保证金将于合同履约完毕后15个工作日内，买方无息退还履约保证金。</w:t>
      </w:r>
    </w:p>
    <w:p w14:paraId="72B1E479">
      <w:pPr>
        <w:snapToGrid w:val="0"/>
        <w:spacing w:line="360" w:lineRule="auto"/>
        <w:rPr>
          <w:lang w:eastAsia="zh-CN"/>
        </w:rPr>
      </w:pPr>
      <w:r>
        <w:rPr>
          <w:rFonts w:hint="eastAsia"/>
          <w:lang w:eastAsia="zh-CN"/>
        </w:rPr>
        <w:t>3.2 设备到货开箱验收合格,且甲方收到乙方提供合同总价的  %等额增值税专用发票后的60（六十）个日历天内支付合同总价的</w:t>
      </w:r>
      <w:r>
        <w:rPr>
          <w:rFonts w:hint="eastAsia"/>
          <w:u w:val="single"/>
          <w:lang w:eastAsia="zh-CN"/>
        </w:rPr>
        <w:t xml:space="preserve"> 60</w:t>
      </w:r>
      <w:r>
        <w:rPr>
          <w:rFonts w:hint="eastAsia"/>
          <w:lang w:eastAsia="zh-CN"/>
        </w:rPr>
        <w:t>%合同款，即人民币￥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rFonts w:hint="eastAsia"/>
          <w:lang w:eastAsia="zh-CN"/>
        </w:rPr>
        <w:t>元整）。</w:t>
      </w:r>
    </w:p>
    <w:p w14:paraId="72202D72">
      <w:pPr>
        <w:snapToGrid w:val="0"/>
        <w:spacing w:line="360" w:lineRule="auto"/>
        <w:rPr>
          <w:lang w:eastAsia="zh-CN"/>
        </w:rPr>
      </w:pPr>
      <w:r>
        <w:rPr>
          <w:rFonts w:hint="eastAsia"/>
          <w:lang w:eastAsia="zh-CN"/>
        </w:rPr>
        <w:t>3.3 质保金：本项目质保金为合同总价的10%，即为人民币￥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u w:val="single"/>
          <w:lang w:eastAsia="zh-CN"/>
        </w:rPr>
        <w:t xml:space="preserve">     </w:t>
      </w:r>
      <w:r>
        <w:rPr>
          <w:rFonts w:hint="eastAsia"/>
          <w:lang w:eastAsia="zh-CN"/>
        </w:rPr>
        <w:t>元整）。质量保证期结束后且乙方没有违反保证的情形下，甲方在质保期满的60（六十）个日历天内，一次性付清。</w:t>
      </w:r>
    </w:p>
    <w:p w14:paraId="451E0CBE">
      <w:pPr>
        <w:snapToGrid w:val="0"/>
        <w:spacing w:line="360" w:lineRule="auto"/>
        <w:rPr>
          <w:lang w:eastAsia="zh-CN"/>
        </w:rPr>
      </w:pPr>
      <w:r>
        <w:rPr>
          <w:rFonts w:hint="eastAsia"/>
          <w:lang w:eastAsia="zh-CN"/>
        </w:rPr>
        <w:t>3.4 甲方的付款并不限制甲方在随后时间对已开具发票的费用提出争议或对合同中不满意的服务、不符合要求的产品进行索赔的权利。</w:t>
      </w:r>
    </w:p>
    <w:p w14:paraId="104BF738">
      <w:pPr>
        <w:snapToGrid w:val="0"/>
        <w:spacing w:line="360" w:lineRule="auto"/>
        <w:rPr>
          <w:lang w:eastAsia="zh-CN"/>
        </w:rPr>
      </w:pPr>
      <w:r>
        <w:rPr>
          <w:rFonts w:hint="eastAsia"/>
          <w:lang w:eastAsia="zh-CN"/>
        </w:rPr>
        <w:t>3.5 甲方有权从应付乙方的款项中抵扣乙方按本合同应支付给甲方的费用，包括但不限于违约金、赔偿金、乙方造成的一切损失、债务。</w:t>
      </w:r>
    </w:p>
    <w:p w14:paraId="4895F9A9">
      <w:pPr>
        <w:snapToGrid w:val="0"/>
        <w:spacing w:line="360" w:lineRule="auto"/>
        <w:jc w:val="center"/>
        <w:rPr>
          <w:b/>
          <w:szCs w:val="21"/>
          <w:lang w:eastAsia="zh-CN"/>
        </w:rPr>
      </w:pPr>
      <w:r>
        <w:rPr>
          <w:rFonts w:hint="eastAsia"/>
          <w:b/>
          <w:szCs w:val="21"/>
          <w:lang w:eastAsia="zh-CN"/>
        </w:rPr>
        <w:t>四、交货</w:t>
      </w:r>
    </w:p>
    <w:p w14:paraId="23B60BC6">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14:paraId="6C878469">
      <w:pPr>
        <w:snapToGrid w:val="0"/>
        <w:spacing w:line="360" w:lineRule="auto"/>
        <w:rPr>
          <w:szCs w:val="21"/>
          <w:lang w:eastAsia="zh-CN"/>
        </w:rPr>
      </w:pPr>
      <w:r>
        <w:rPr>
          <w:rFonts w:hint="eastAsia"/>
          <w:szCs w:val="21"/>
          <w:lang w:eastAsia="zh-CN"/>
        </w:rPr>
        <w:t>4.2 收货人：</w:t>
      </w:r>
    </w:p>
    <w:p w14:paraId="09CCD8F1">
      <w:pPr>
        <w:snapToGrid w:val="0"/>
        <w:spacing w:line="360" w:lineRule="auto"/>
        <w:rPr>
          <w:szCs w:val="21"/>
          <w:lang w:eastAsia="zh-CN"/>
        </w:rPr>
      </w:pPr>
      <w:r>
        <w:rPr>
          <w:rFonts w:hint="eastAsia"/>
          <w:szCs w:val="21"/>
          <w:lang w:eastAsia="zh-CN"/>
        </w:rPr>
        <w:t>交货地点：甲方指定的地点</w:t>
      </w:r>
    </w:p>
    <w:p w14:paraId="6FDB02DA">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14:paraId="71454EDD">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14:paraId="44857827">
      <w:pPr>
        <w:snapToGrid w:val="0"/>
        <w:spacing w:line="360" w:lineRule="auto"/>
        <w:rPr>
          <w:szCs w:val="21"/>
          <w:lang w:eastAsia="zh-CN"/>
        </w:rPr>
      </w:pPr>
      <w:r>
        <w:rPr>
          <w:rFonts w:hint="eastAsia"/>
          <w:szCs w:val="21"/>
          <w:lang w:eastAsia="zh-CN"/>
        </w:rPr>
        <w:t>4.5交货设备铭牌的内容至少应包括下列内容：</w:t>
      </w:r>
    </w:p>
    <w:p w14:paraId="2CE05920">
      <w:pPr>
        <w:snapToGrid w:val="0"/>
        <w:spacing w:line="360" w:lineRule="auto"/>
        <w:rPr>
          <w:szCs w:val="21"/>
          <w:lang w:eastAsia="zh-CN"/>
        </w:rPr>
      </w:pPr>
      <w:r>
        <w:rPr>
          <w:rFonts w:hint="eastAsia"/>
          <w:szCs w:val="21"/>
          <w:lang w:eastAsia="zh-CN"/>
        </w:rPr>
        <w:t xml:space="preserve">   1.制造厂名称和制造许可证号；</w:t>
      </w:r>
    </w:p>
    <w:p w14:paraId="5DB61ABF">
      <w:pPr>
        <w:snapToGrid w:val="0"/>
        <w:spacing w:line="360" w:lineRule="auto"/>
        <w:rPr>
          <w:szCs w:val="21"/>
          <w:lang w:eastAsia="zh-CN"/>
        </w:rPr>
      </w:pPr>
      <w:r>
        <w:rPr>
          <w:rFonts w:hint="eastAsia"/>
          <w:szCs w:val="21"/>
          <w:lang w:eastAsia="zh-CN"/>
        </w:rPr>
        <w:t xml:space="preserve">   2.产品编号和制造日期；</w:t>
      </w:r>
    </w:p>
    <w:p w14:paraId="32AB73F9">
      <w:pPr>
        <w:snapToGrid w:val="0"/>
        <w:spacing w:line="360" w:lineRule="auto"/>
        <w:rPr>
          <w:szCs w:val="21"/>
          <w:lang w:eastAsia="zh-CN"/>
        </w:rPr>
      </w:pPr>
      <w:r>
        <w:rPr>
          <w:rFonts w:hint="eastAsia"/>
          <w:szCs w:val="21"/>
          <w:lang w:eastAsia="zh-CN"/>
        </w:rPr>
        <w:t xml:space="preserve">   3.设备位号和名称；</w:t>
      </w:r>
    </w:p>
    <w:p w14:paraId="59969681">
      <w:pPr>
        <w:snapToGrid w:val="0"/>
        <w:spacing w:line="360" w:lineRule="auto"/>
        <w:rPr>
          <w:szCs w:val="21"/>
          <w:lang w:eastAsia="zh-CN"/>
        </w:rPr>
      </w:pPr>
      <w:r>
        <w:rPr>
          <w:rFonts w:hint="eastAsia"/>
          <w:szCs w:val="21"/>
          <w:lang w:eastAsia="zh-CN"/>
        </w:rPr>
        <w:t xml:space="preserve">   4.设备规格，包括设计/试验温度/压力、材质、重量等。</w:t>
      </w:r>
    </w:p>
    <w:p w14:paraId="71D45C4C">
      <w:pPr>
        <w:snapToGrid w:val="0"/>
        <w:spacing w:line="360" w:lineRule="auto"/>
        <w:rPr>
          <w:szCs w:val="21"/>
          <w:lang w:eastAsia="zh-CN"/>
        </w:rPr>
      </w:pPr>
      <w:r>
        <w:rPr>
          <w:rFonts w:hint="eastAsia"/>
          <w:szCs w:val="21"/>
          <w:lang w:eastAsia="zh-CN"/>
        </w:rPr>
        <w:t>4.6设备交货时乙方需要提供的文字资料包括：</w:t>
      </w:r>
    </w:p>
    <w:p w14:paraId="38BC79E0">
      <w:pPr>
        <w:snapToGrid w:val="0"/>
        <w:spacing w:line="360" w:lineRule="auto"/>
        <w:rPr>
          <w:szCs w:val="21"/>
          <w:lang w:eastAsia="zh-CN"/>
        </w:rPr>
      </w:pPr>
      <w:r>
        <w:rPr>
          <w:rFonts w:hint="eastAsia"/>
          <w:szCs w:val="21"/>
          <w:lang w:eastAsia="zh-CN"/>
        </w:rPr>
        <w:t xml:space="preserve">   1.供货清单、文件和图纸目录清单；</w:t>
      </w:r>
    </w:p>
    <w:p w14:paraId="052D922A">
      <w:pPr>
        <w:snapToGrid w:val="0"/>
        <w:spacing w:line="360" w:lineRule="auto"/>
        <w:rPr>
          <w:szCs w:val="21"/>
          <w:lang w:eastAsia="zh-CN"/>
        </w:rPr>
      </w:pPr>
      <w:r>
        <w:rPr>
          <w:rFonts w:hint="eastAsia"/>
          <w:szCs w:val="21"/>
          <w:lang w:eastAsia="zh-CN"/>
        </w:rPr>
        <w:t xml:space="preserve">   2.材质证明文件；</w:t>
      </w:r>
    </w:p>
    <w:p w14:paraId="0C8E044D">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14:paraId="2981FB3B">
      <w:pPr>
        <w:snapToGrid w:val="0"/>
        <w:spacing w:line="360" w:lineRule="auto"/>
        <w:rPr>
          <w:szCs w:val="21"/>
          <w:lang w:eastAsia="zh-CN"/>
        </w:rPr>
      </w:pPr>
      <w:r>
        <w:rPr>
          <w:rFonts w:hint="eastAsia"/>
          <w:szCs w:val="21"/>
          <w:lang w:eastAsia="zh-CN"/>
        </w:rPr>
        <w:t xml:space="preserve">   4.与实物相符的设备竣工图；</w:t>
      </w:r>
    </w:p>
    <w:p w14:paraId="6FD5F1F9">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14:paraId="41BB9C62">
      <w:pPr>
        <w:snapToGrid w:val="0"/>
        <w:spacing w:line="360" w:lineRule="auto"/>
        <w:rPr>
          <w:szCs w:val="21"/>
          <w:lang w:eastAsia="zh-CN"/>
        </w:rPr>
      </w:pPr>
      <w:r>
        <w:rPr>
          <w:rFonts w:hint="eastAsia"/>
          <w:szCs w:val="21"/>
          <w:lang w:eastAsia="zh-CN"/>
        </w:rPr>
        <w:t xml:space="preserve">   6.备品配件清单；</w:t>
      </w:r>
    </w:p>
    <w:p w14:paraId="64C6A843">
      <w:pPr>
        <w:snapToGrid w:val="0"/>
        <w:spacing w:line="360" w:lineRule="auto"/>
        <w:rPr>
          <w:szCs w:val="21"/>
          <w:lang w:eastAsia="zh-CN"/>
        </w:rPr>
      </w:pPr>
      <w:r>
        <w:rPr>
          <w:rFonts w:hint="eastAsia"/>
          <w:szCs w:val="21"/>
          <w:lang w:eastAsia="zh-CN"/>
        </w:rPr>
        <w:t xml:space="preserve">   7.产品合格证及质量证明书；</w:t>
      </w:r>
    </w:p>
    <w:p w14:paraId="7BD22175">
      <w:pPr>
        <w:snapToGrid w:val="0"/>
        <w:spacing w:line="360" w:lineRule="auto"/>
        <w:rPr>
          <w:szCs w:val="21"/>
          <w:lang w:eastAsia="zh-CN"/>
        </w:rPr>
      </w:pPr>
      <w:r>
        <w:rPr>
          <w:rFonts w:hint="eastAsia"/>
          <w:szCs w:val="21"/>
          <w:lang w:eastAsia="zh-CN"/>
        </w:rPr>
        <w:t xml:space="preserve">   8.安装调试的技术条件；</w:t>
      </w:r>
    </w:p>
    <w:p w14:paraId="7452C948">
      <w:pPr>
        <w:snapToGrid w:val="0"/>
        <w:spacing w:line="360" w:lineRule="auto"/>
        <w:rPr>
          <w:szCs w:val="21"/>
          <w:lang w:eastAsia="zh-CN"/>
        </w:rPr>
      </w:pPr>
      <w:r>
        <w:rPr>
          <w:rFonts w:hint="eastAsia"/>
          <w:szCs w:val="21"/>
          <w:lang w:eastAsia="zh-CN"/>
        </w:rPr>
        <w:t xml:space="preserve">   9.按规定所应提供的其它资料。</w:t>
      </w:r>
    </w:p>
    <w:p w14:paraId="3C24C66D">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7E42EA41">
      <w:pPr>
        <w:snapToGrid w:val="0"/>
        <w:spacing w:line="360" w:lineRule="auto"/>
        <w:jc w:val="center"/>
        <w:rPr>
          <w:b/>
          <w:szCs w:val="21"/>
          <w:lang w:eastAsia="zh-CN"/>
        </w:rPr>
      </w:pPr>
      <w:r>
        <w:rPr>
          <w:rFonts w:hint="eastAsia"/>
          <w:b/>
          <w:szCs w:val="21"/>
          <w:lang w:eastAsia="zh-CN"/>
        </w:rPr>
        <w:t>五、包装与运输</w:t>
      </w:r>
    </w:p>
    <w:p w14:paraId="11D9807C">
      <w:pPr>
        <w:snapToGrid w:val="0"/>
        <w:spacing w:line="360" w:lineRule="auto"/>
        <w:rPr>
          <w:szCs w:val="21"/>
          <w:lang w:eastAsia="zh-CN"/>
        </w:rPr>
      </w:pPr>
      <w:r>
        <w:rPr>
          <w:rFonts w:hint="eastAsia"/>
          <w:szCs w:val="21"/>
          <w:lang w:eastAsia="zh-CN"/>
        </w:rPr>
        <w:t>5.1设备整体包装发运，按JB2536－80标准执行。</w:t>
      </w:r>
    </w:p>
    <w:p w14:paraId="5819157D">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14:paraId="4751A159">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0B97CF9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14:paraId="74E84E8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14:paraId="0555DC8D">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14:paraId="66171F23">
      <w:pPr>
        <w:snapToGrid w:val="0"/>
        <w:spacing w:line="360" w:lineRule="auto"/>
        <w:jc w:val="center"/>
        <w:rPr>
          <w:b/>
          <w:szCs w:val="21"/>
          <w:lang w:eastAsia="zh-CN"/>
        </w:rPr>
      </w:pPr>
      <w:r>
        <w:rPr>
          <w:rFonts w:hint="eastAsia"/>
          <w:b/>
          <w:szCs w:val="21"/>
          <w:lang w:eastAsia="zh-CN"/>
        </w:rPr>
        <w:t>六、保证与索赔</w:t>
      </w:r>
    </w:p>
    <w:p w14:paraId="6056AA64">
      <w:pPr>
        <w:spacing w:line="360" w:lineRule="auto"/>
        <w:rPr>
          <w:szCs w:val="21"/>
          <w:lang w:eastAsia="zh-CN"/>
        </w:rPr>
      </w:pPr>
      <w:r>
        <w:rPr>
          <w:rFonts w:hint="eastAsia"/>
          <w:szCs w:val="21"/>
          <w:lang w:eastAsia="zh-CN"/>
        </w:rPr>
        <w:t>6.1质保期为设备安装、调试试车合格后12个月或设备运达甲方现场18个月，以先到为准。  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4182B0E1">
      <w:pPr>
        <w:spacing w:line="360" w:lineRule="auto"/>
        <w:rPr>
          <w:szCs w:val="21"/>
          <w:lang w:eastAsia="zh-CN"/>
        </w:rPr>
      </w:pPr>
      <w:r>
        <w:rPr>
          <w:rFonts w:hint="eastAsia"/>
          <w:szCs w:val="21"/>
          <w:lang w:eastAsia="zh-CN"/>
        </w:rPr>
        <w:t>6.3</w:t>
      </w:r>
      <w:r>
        <w:rPr>
          <w:szCs w:val="21"/>
          <w:lang w:eastAsia="zh-CN"/>
        </w:rPr>
        <w:t>在产品质量保证期内，如因产品质量问题给</w:t>
      </w:r>
      <w:r>
        <w:rPr>
          <w:rFonts w:hint="eastAsia"/>
          <w:szCs w:val="21"/>
          <w:lang w:eastAsia="zh-CN"/>
        </w:rPr>
        <w:t>甲方</w:t>
      </w:r>
      <w:r>
        <w:rPr>
          <w:szCs w:val="21"/>
          <w:lang w:eastAsia="zh-CN"/>
        </w:rPr>
        <w:t>造成损失的，</w:t>
      </w:r>
      <w:r>
        <w:rPr>
          <w:rFonts w:hint="eastAsia"/>
          <w:szCs w:val="21"/>
          <w:lang w:eastAsia="zh-CN"/>
        </w:rPr>
        <w:t>乙方</w:t>
      </w:r>
      <w:r>
        <w:rPr>
          <w:szCs w:val="21"/>
          <w:lang w:eastAsia="zh-CN"/>
        </w:rPr>
        <w:t>还应赔偿</w:t>
      </w:r>
      <w:r>
        <w:rPr>
          <w:rFonts w:hint="eastAsia"/>
          <w:szCs w:val="21"/>
          <w:lang w:eastAsia="zh-CN"/>
        </w:rPr>
        <w:t>甲方由此</w:t>
      </w:r>
      <w:r>
        <w:rPr>
          <w:szCs w:val="21"/>
          <w:lang w:eastAsia="zh-CN"/>
        </w:rPr>
        <w:t>遭受的损失</w:t>
      </w:r>
      <w:r>
        <w:rPr>
          <w:rFonts w:hint="eastAsia"/>
          <w:szCs w:val="21"/>
          <w:lang w:eastAsia="zh-CN"/>
        </w:rPr>
        <w:t>及相关费用</w:t>
      </w:r>
      <w:r>
        <w:rPr>
          <w:szCs w:val="21"/>
          <w:lang w:eastAsia="zh-CN"/>
        </w:rPr>
        <w:t>。</w:t>
      </w:r>
    </w:p>
    <w:p w14:paraId="2B742F38">
      <w:pPr>
        <w:spacing w:line="360" w:lineRule="auto"/>
        <w:rPr>
          <w:szCs w:val="21"/>
          <w:lang w:eastAsia="zh-CN"/>
        </w:rPr>
      </w:pPr>
      <w:r>
        <w:rPr>
          <w:rFonts w:hint="eastAsia"/>
          <w:szCs w:val="21"/>
          <w:lang w:eastAsia="zh-CN"/>
        </w:rPr>
        <w:t>6.4</w:t>
      </w:r>
      <w:r>
        <w:rPr>
          <w:szCs w:val="21"/>
          <w:lang w:eastAsia="zh-CN"/>
        </w:rPr>
        <w:t>.</w:t>
      </w:r>
      <w:r>
        <w:rPr>
          <w:rFonts w:hint="eastAsia"/>
          <w:szCs w:val="21"/>
          <w:lang w:eastAsia="zh-CN"/>
        </w:rPr>
        <w:t>质量保证期的顺延：</w:t>
      </w:r>
      <w:r>
        <w:rPr>
          <w:szCs w:val="21"/>
          <w:lang w:eastAsia="zh-CN"/>
        </w:rPr>
        <w:t>在质量保证期内，</w:t>
      </w:r>
      <w:r>
        <w:rPr>
          <w:rFonts w:hint="eastAsia"/>
          <w:szCs w:val="21"/>
          <w:lang w:eastAsia="zh-CN"/>
        </w:rPr>
        <w:t>因需要修理有缺陷的设备，而使合同设备停运或推迟安装时，则保证期应按实际修理所延误的时间做相应的延长。非因甲方</w:t>
      </w:r>
      <w:r>
        <w:rPr>
          <w:szCs w:val="21"/>
          <w:lang w:eastAsia="zh-CN"/>
        </w:rPr>
        <w:t>原因导致全部货物或零部件更换时，则所更换部件/货物的质量保证期为自更换并验收合格之日起重新计算。</w:t>
      </w:r>
    </w:p>
    <w:p w14:paraId="64606CC3">
      <w:pPr>
        <w:spacing w:line="360" w:lineRule="auto"/>
        <w:rPr>
          <w:szCs w:val="21"/>
          <w:lang w:eastAsia="zh-CN"/>
        </w:rPr>
      </w:pPr>
      <w:r>
        <w:rPr>
          <w:rFonts w:hint="eastAsia"/>
          <w:szCs w:val="21"/>
          <w:lang w:eastAsia="zh-CN"/>
        </w:rPr>
        <w:t>6.5产品质量缺陷责任：</w:t>
      </w:r>
      <w:r>
        <w:rPr>
          <w:szCs w:val="21"/>
          <w:lang w:eastAsia="zh-CN"/>
        </w:rPr>
        <w:t>在质量保证期过后</w:t>
      </w:r>
      <w:r>
        <w:rPr>
          <w:rFonts w:hint="eastAsia"/>
          <w:szCs w:val="21"/>
          <w:lang w:eastAsia="zh-CN"/>
        </w:rPr>
        <w:t>甲方</w:t>
      </w:r>
      <w:r>
        <w:rPr>
          <w:szCs w:val="21"/>
          <w:lang w:eastAsia="zh-CN"/>
        </w:rPr>
        <w:t>发现的比如材质错误等原则性</w:t>
      </w:r>
      <w:r>
        <w:rPr>
          <w:rFonts w:hint="eastAsia"/>
          <w:szCs w:val="21"/>
          <w:lang w:eastAsia="zh-CN"/>
        </w:rPr>
        <w:t>产品质量缺陷</w:t>
      </w:r>
      <w:r>
        <w:rPr>
          <w:szCs w:val="21"/>
          <w:lang w:eastAsia="zh-CN"/>
        </w:rPr>
        <w:t>问题，仍属于</w:t>
      </w:r>
      <w:r>
        <w:rPr>
          <w:rFonts w:hint="eastAsia"/>
          <w:szCs w:val="21"/>
          <w:lang w:eastAsia="zh-CN"/>
        </w:rPr>
        <w:t>乙方</w:t>
      </w:r>
      <w:r>
        <w:rPr>
          <w:szCs w:val="21"/>
          <w:lang w:eastAsia="zh-CN"/>
        </w:rPr>
        <w:t>的</w:t>
      </w:r>
      <w:r>
        <w:rPr>
          <w:rFonts w:hint="eastAsia"/>
          <w:szCs w:val="21"/>
          <w:lang w:eastAsia="zh-CN"/>
        </w:rPr>
        <w:t>质量</w:t>
      </w:r>
      <w:r>
        <w:rPr>
          <w:szCs w:val="21"/>
          <w:lang w:eastAsia="zh-CN"/>
        </w:rPr>
        <w:t>责任，</w:t>
      </w:r>
      <w:r>
        <w:rPr>
          <w:rFonts w:hint="eastAsia"/>
          <w:szCs w:val="21"/>
          <w:lang w:eastAsia="zh-CN"/>
        </w:rPr>
        <w:t>乙方</w:t>
      </w:r>
      <w:r>
        <w:rPr>
          <w:szCs w:val="21"/>
          <w:lang w:eastAsia="zh-CN"/>
        </w:rPr>
        <w:t>仍需承担</w:t>
      </w:r>
      <w:r>
        <w:rPr>
          <w:rFonts w:hint="eastAsia"/>
          <w:szCs w:val="21"/>
          <w:lang w:eastAsia="zh-CN"/>
        </w:rPr>
        <w:t>相应责任</w:t>
      </w:r>
      <w:r>
        <w:rPr>
          <w:szCs w:val="21"/>
          <w:lang w:eastAsia="zh-CN"/>
        </w:rPr>
        <w:t>，如该货物给</w:t>
      </w:r>
      <w:r>
        <w:rPr>
          <w:rFonts w:hint="eastAsia"/>
          <w:szCs w:val="21"/>
          <w:lang w:eastAsia="zh-CN"/>
        </w:rPr>
        <w:t>甲方</w:t>
      </w:r>
      <w:r>
        <w:rPr>
          <w:szCs w:val="21"/>
          <w:lang w:eastAsia="zh-CN"/>
        </w:rPr>
        <w:t>或第三方造成损失的，</w:t>
      </w:r>
      <w:r>
        <w:rPr>
          <w:rFonts w:hint="eastAsia"/>
          <w:szCs w:val="21"/>
          <w:lang w:eastAsia="zh-CN"/>
        </w:rPr>
        <w:t>乙方</w:t>
      </w:r>
      <w:r>
        <w:rPr>
          <w:szCs w:val="21"/>
          <w:lang w:eastAsia="zh-CN"/>
        </w:rPr>
        <w:t>还应承担赔偿责任。</w:t>
      </w:r>
    </w:p>
    <w:p w14:paraId="1181C428">
      <w:pPr>
        <w:snapToGrid w:val="0"/>
        <w:spacing w:line="360" w:lineRule="auto"/>
        <w:jc w:val="center"/>
        <w:rPr>
          <w:b/>
          <w:szCs w:val="21"/>
          <w:lang w:eastAsia="zh-CN"/>
        </w:rPr>
      </w:pPr>
      <w:r>
        <w:rPr>
          <w:rFonts w:hint="eastAsia"/>
          <w:b/>
          <w:szCs w:val="21"/>
          <w:lang w:eastAsia="zh-CN"/>
        </w:rPr>
        <w:t>七、 保密义务</w:t>
      </w:r>
    </w:p>
    <w:p w14:paraId="7EA279BA">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14:paraId="33380EAC">
      <w:pPr>
        <w:snapToGrid w:val="0"/>
        <w:spacing w:line="360" w:lineRule="auto"/>
        <w:jc w:val="center"/>
        <w:rPr>
          <w:b/>
          <w:szCs w:val="21"/>
          <w:lang w:eastAsia="zh-CN"/>
        </w:rPr>
      </w:pPr>
      <w:r>
        <w:rPr>
          <w:rFonts w:hint="eastAsia"/>
          <w:b/>
          <w:szCs w:val="21"/>
          <w:lang w:eastAsia="zh-CN"/>
        </w:rPr>
        <w:t>八、违约责任</w:t>
      </w:r>
    </w:p>
    <w:p w14:paraId="51630AB5">
      <w:pPr>
        <w:snapToGrid w:val="0"/>
        <w:spacing w:line="360" w:lineRule="auto"/>
        <w:rPr>
          <w:szCs w:val="21"/>
          <w:lang w:eastAsia="zh-CN"/>
        </w:rPr>
      </w:pPr>
      <w:r>
        <w:rPr>
          <w:rFonts w:hint="eastAsia"/>
          <w:szCs w:val="21"/>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602E41">
      <w:pPr>
        <w:spacing w:line="360" w:lineRule="auto"/>
        <w:rPr>
          <w:szCs w:val="21"/>
          <w:lang w:eastAsia="zh-CN"/>
        </w:rPr>
      </w:pPr>
      <w:r>
        <w:rPr>
          <w:rFonts w:hint="eastAsia"/>
          <w:szCs w:val="21"/>
          <w:lang w:eastAsia="zh-CN"/>
        </w:rPr>
        <w:t>乙方逾期交货的，每日按照合同总额的</w:t>
      </w:r>
      <w:r>
        <w:rPr>
          <w:color w:val="FF0000"/>
          <w:szCs w:val="21"/>
          <w:u w:val="single"/>
          <w:lang w:eastAsia="zh-CN"/>
        </w:rPr>
        <w:t xml:space="preserve"> </w:t>
      </w:r>
      <w:r>
        <w:rPr>
          <w:rFonts w:hint="eastAsia"/>
          <w:color w:val="FF0000"/>
          <w:szCs w:val="21"/>
          <w:u w:val="single"/>
          <w:lang w:eastAsia="zh-CN"/>
        </w:rPr>
        <w:t>0.1</w:t>
      </w:r>
      <w:r>
        <w:rPr>
          <w:rFonts w:hint="eastAsia"/>
          <w:szCs w:val="21"/>
          <w:lang w:eastAsia="zh-CN"/>
        </w:rPr>
        <w:t>%向甲方支付违约金，逾期超过</w:t>
      </w:r>
      <w:r>
        <w:rPr>
          <w:rFonts w:hint="eastAsia"/>
          <w:szCs w:val="21"/>
          <w:u w:val="single"/>
          <w:lang w:eastAsia="zh-CN"/>
        </w:rPr>
        <w:t>30</w:t>
      </w:r>
      <w:r>
        <w:rPr>
          <w:rFonts w:hint="eastAsia"/>
          <w:szCs w:val="21"/>
          <w:lang w:eastAsia="zh-CN"/>
        </w:rPr>
        <w:t>日的，甲方有权解除合同，并要求乙方一次性支付合同总额</w:t>
      </w:r>
      <w:r>
        <w:rPr>
          <w:rFonts w:hint="eastAsia"/>
          <w:szCs w:val="21"/>
          <w:u w:val="single"/>
          <w:lang w:eastAsia="zh-CN"/>
        </w:rPr>
        <w:t>10</w:t>
      </w:r>
      <w:r>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92BAA5B">
      <w:pPr>
        <w:snapToGrid w:val="0"/>
        <w:spacing w:line="360" w:lineRule="auto"/>
        <w:rPr>
          <w:szCs w:val="21"/>
          <w:lang w:eastAsia="zh-CN"/>
        </w:rPr>
      </w:pPr>
      <w:r>
        <w:rPr>
          <w:rFonts w:hint="eastAsia"/>
          <w:szCs w:val="21"/>
          <w:lang w:eastAsia="zh-CN"/>
        </w:rPr>
        <w:t>8.2如果由于乙方提供技术服务的延误，造成执行合同延误，每延误工期一日，乙方应向甲方支付合同总价0.1%的违约金。</w:t>
      </w:r>
    </w:p>
    <w:p w14:paraId="33E7B671">
      <w:pPr>
        <w:snapToGrid w:val="0"/>
        <w:spacing w:line="360" w:lineRule="auto"/>
        <w:rPr>
          <w:szCs w:val="21"/>
          <w:lang w:eastAsia="zh-CN"/>
        </w:rPr>
      </w:pPr>
      <w:r>
        <w:rPr>
          <w:rFonts w:hint="eastAsia"/>
          <w:szCs w:val="21"/>
          <w:lang w:eastAsia="zh-CN"/>
        </w:rPr>
        <w:t>8.3乙方交付的产品经甲方验收不合格的，应根据甲方要求进行修理、更换或退货。如甲方选择退货，即解除或部分解除合同的</w:t>
      </w:r>
      <w:r>
        <w:rPr>
          <w:rFonts w:hint="eastAsia"/>
          <w:b/>
          <w:szCs w:val="21"/>
          <w:lang w:eastAsia="zh-CN"/>
        </w:rPr>
        <w:t>，</w:t>
      </w:r>
      <w:r>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468AD81">
      <w:pPr>
        <w:spacing w:line="360" w:lineRule="auto"/>
        <w:rPr>
          <w:szCs w:val="21"/>
          <w:lang w:eastAsia="zh-CN"/>
        </w:rPr>
      </w:pPr>
      <w:r>
        <w:rPr>
          <w:rFonts w:hint="eastAsia"/>
          <w:szCs w:val="21"/>
          <w:lang w:eastAsia="zh-CN"/>
        </w:rPr>
        <w:t>8.4 甲方无故逾期付款的，按照全国银行间同业拆借中心公布的贷款市场报价利率支付利息。</w:t>
      </w:r>
    </w:p>
    <w:p w14:paraId="0EB7AC9A">
      <w:pPr>
        <w:spacing w:line="360" w:lineRule="auto"/>
        <w:rPr>
          <w:szCs w:val="21"/>
          <w:lang w:eastAsia="zh-CN"/>
        </w:rPr>
      </w:pPr>
      <w:r>
        <w:rPr>
          <w:rFonts w:hint="eastAsia"/>
          <w:szCs w:val="21"/>
          <w:lang w:eastAsia="zh-CN"/>
        </w:rPr>
        <w:t>8.5一方的违约行为给对方造成的损失超过本合同约定的违约金数额的，超出部分，违约方应予以赔偿。</w:t>
      </w:r>
    </w:p>
    <w:p w14:paraId="41DDC395">
      <w:pPr>
        <w:snapToGrid w:val="0"/>
        <w:spacing w:line="360" w:lineRule="auto"/>
        <w:jc w:val="center"/>
        <w:rPr>
          <w:b/>
          <w:szCs w:val="21"/>
          <w:lang w:eastAsia="zh-CN"/>
        </w:rPr>
      </w:pPr>
      <w:r>
        <w:rPr>
          <w:rFonts w:hint="eastAsia"/>
          <w:b/>
          <w:szCs w:val="21"/>
          <w:lang w:eastAsia="zh-CN"/>
        </w:rPr>
        <w:t>九、纠纷解决</w:t>
      </w:r>
    </w:p>
    <w:p w14:paraId="11827347">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14:paraId="1A49C0DC">
      <w:pPr>
        <w:snapToGrid w:val="0"/>
        <w:spacing w:line="360" w:lineRule="auto"/>
        <w:jc w:val="center"/>
        <w:rPr>
          <w:b/>
          <w:szCs w:val="21"/>
          <w:lang w:eastAsia="zh-CN"/>
        </w:rPr>
      </w:pPr>
      <w:r>
        <w:rPr>
          <w:rFonts w:hint="eastAsia"/>
          <w:b/>
          <w:szCs w:val="21"/>
          <w:lang w:eastAsia="zh-CN"/>
        </w:rPr>
        <w:t>十、其它</w:t>
      </w:r>
    </w:p>
    <w:p w14:paraId="2712DBB2">
      <w:pPr>
        <w:snapToGrid w:val="0"/>
        <w:spacing w:line="360" w:lineRule="auto"/>
        <w:rPr>
          <w:szCs w:val="21"/>
          <w:lang w:eastAsia="zh-CN"/>
        </w:rPr>
      </w:pPr>
      <w:r>
        <w:rPr>
          <w:rFonts w:hint="eastAsia"/>
          <w:szCs w:val="21"/>
          <w:lang w:eastAsia="zh-CN"/>
        </w:rPr>
        <w:t>10.1本合同未尽事宜，合同各方应本着实事求是友好协商的原则解决。</w:t>
      </w:r>
    </w:p>
    <w:p w14:paraId="74FCABF2">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14:paraId="44F38187">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10.3技术规格书、技术要求同为本合同组成要件，具有法律效力。当各文件的内容发生抵触时，以时间在后文件的表述为准。</w:t>
      </w:r>
    </w:p>
    <w:p w14:paraId="26CA9008">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14:paraId="4524D8B1">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491ABD5">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Style w:val="12"/>
        <w:tblW w:w="8900" w:type="dxa"/>
        <w:tblInd w:w="89" w:type="dxa"/>
        <w:tblLayout w:type="autofit"/>
        <w:tblCellMar>
          <w:top w:w="0" w:type="dxa"/>
          <w:left w:w="108" w:type="dxa"/>
          <w:bottom w:w="0" w:type="dxa"/>
          <w:right w:w="108" w:type="dxa"/>
        </w:tblCellMar>
      </w:tblPr>
      <w:tblGrid>
        <w:gridCol w:w="4357"/>
        <w:gridCol w:w="4543"/>
      </w:tblGrid>
      <w:tr w14:paraId="5604EA87">
        <w:tblPrEx>
          <w:tblCellMar>
            <w:top w:w="0" w:type="dxa"/>
            <w:left w:w="108" w:type="dxa"/>
            <w:bottom w:w="0" w:type="dxa"/>
            <w:right w:w="108" w:type="dxa"/>
          </w:tblCellMar>
        </w:tblPrEx>
        <w:trPr>
          <w:trHeight w:val="510" w:hRule="atLeast"/>
        </w:trPr>
        <w:tc>
          <w:tcPr>
            <w:tcW w:w="4357" w:type="dxa"/>
            <w:noWrap/>
            <w:vAlign w:val="center"/>
          </w:tcPr>
          <w:p w14:paraId="19368B11">
            <w:pPr>
              <w:widowControl/>
              <w:rPr>
                <w:rFonts w:hint="default"/>
                <w:szCs w:val="21"/>
                <w:lang w:val="en-US" w:eastAsia="zh-CN"/>
              </w:rPr>
            </w:pPr>
            <w:r>
              <w:rPr>
                <w:rFonts w:hint="eastAsia"/>
                <w:szCs w:val="21"/>
                <w:lang w:eastAsia="zh-CN"/>
              </w:rPr>
              <w:t>甲方：</w:t>
            </w:r>
            <w:r>
              <w:rPr>
                <w:rFonts w:hint="eastAsia"/>
                <w:szCs w:val="21"/>
                <w:lang w:val="en-US" w:eastAsia="zh-CN"/>
              </w:rPr>
              <w:t>福建福海创石油化工有限公司</w:t>
            </w:r>
          </w:p>
        </w:tc>
        <w:tc>
          <w:tcPr>
            <w:tcW w:w="4543" w:type="dxa"/>
            <w:vAlign w:val="center"/>
          </w:tcPr>
          <w:p w14:paraId="2A1CE85A">
            <w:pPr>
              <w:ind w:left="248"/>
              <w:rPr>
                <w:szCs w:val="21"/>
              </w:rPr>
            </w:pPr>
            <w:r>
              <w:rPr>
                <w:rFonts w:hint="eastAsia"/>
                <w:szCs w:val="21"/>
              </w:rPr>
              <w:t xml:space="preserve">乙方： </w:t>
            </w:r>
          </w:p>
        </w:tc>
      </w:tr>
      <w:tr w14:paraId="1CBBA528">
        <w:tblPrEx>
          <w:tblCellMar>
            <w:top w:w="0" w:type="dxa"/>
            <w:left w:w="108" w:type="dxa"/>
            <w:bottom w:w="0" w:type="dxa"/>
            <w:right w:w="108" w:type="dxa"/>
          </w:tblCellMar>
        </w:tblPrEx>
        <w:trPr>
          <w:trHeight w:val="510" w:hRule="atLeast"/>
        </w:trPr>
        <w:tc>
          <w:tcPr>
            <w:tcW w:w="4357" w:type="dxa"/>
            <w:noWrap/>
            <w:vAlign w:val="center"/>
          </w:tcPr>
          <w:p w14:paraId="43985D02">
            <w:pPr>
              <w:widowControl/>
              <w:rPr>
                <w:szCs w:val="21"/>
              </w:rPr>
            </w:pPr>
            <w:r>
              <w:rPr>
                <w:rFonts w:hint="eastAsia"/>
                <w:szCs w:val="21"/>
              </w:rPr>
              <w:t>（公章）</w:t>
            </w:r>
          </w:p>
        </w:tc>
        <w:tc>
          <w:tcPr>
            <w:tcW w:w="4543" w:type="dxa"/>
            <w:vAlign w:val="center"/>
          </w:tcPr>
          <w:p w14:paraId="4B7A85A6">
            <w:pPr>
              <w:ind w:left="248"/>
              <w:rPr>
                <w:szCs w:val="21"/>
              </w:rPr>
            </w:pPr>
            <w:r>
              <w:rPr>
                <w:rFonts w:hint="eastAsia"/>
                <w:szCs w:val="21"/>
              </w:rPr>
              <w:t xml:space="preserve">（公章）      </w:t>
            </w:r>
          </w:p>
        </w:tc>
      </w:tr>
      <w:tr w14:paraId="4B8D38A2">
        <w:tblPrEx>
          <w:tblCellMar>
            <w:top w:w="0" w:type="dxa"/>
            <w:left w:w="108" w:type="dxa"/>
            <w:bottom w:w="0" w:type="dxa"/>
            <w:right w:w="108" w:type="dxa"/>
          </w:tblCellMar>
        </w:tblPrEx>
        <w:trPr>
          <w:trHeight w:val="510" w:hRule="atLeast"/>
        </w:trPr>
        <w:tc>
          <w:tcPr>
            <w:tcW w:w="4357" w:type="dxa"/>
            <w:noWrap/>
            <w:vAlign w:val="center"/>
          </w:tcPr>
          <w:p w14:paraId="3E2986AD">
            <w:pPr>
              <w:widowControl/>
              <w:rPr>
                <w:szCs w:val="21"/>
              </w:rPr>
            </w:pPr>
            <w:r>
              <w:rPr>
                <w:rFonts w:hint="eastAsia"/>
                <w:szCs w:val="21"/>
              </w:rPr>
              <w:t>地     址:</w:t>
            </w:r>
          </w:p>
        </w:tc>
        <w:tc>
          <w:tcPr>
            <w:tcW w:w="4543" w:type="dxa"/>
            <w:vAlign w:val="center"/>
          </w:tcPr>
          <w:p w14:paraId="62CFDBE2">
            <w:pPr>
              <w:ind w:left="248"/>
              <w:rPr>
                <w:szCs w:val="21"/>
              </w:rPr>
            </w:pPr>
            <w:r>
              <w:rPr>
                <w:rFonts w:hint="eastAsia"/>
                <w:szCs w:val="21"/>
              </w:rPr>
              <w:t xml:space="preserve">地     址：       </w:t>
            </w:r>
          </w:p>
        </w:tc>
      </w:tr>
      <w:tr w14:paraId="6D9A4248">
        <w:tblPrEx>
          <w:tblCellMar>
            <w:top w:w="0" w:type="dxa"/>
            <w:left w:w="108" w:type="dxa"/>
            <w:bottom w:w="0" w:type="dxa"/>
            <w:right w:w="108" w:type="dxa"/>
          </w:tblCellMar>
        </w:tblPrEx>
        <w:trPr>
          <w:trHeight w:val="510" w:hRule="atLeast"/>
        </w:trPr>
        <w:tc>
          <w:tcPr>
            <w:tcW w:w="4357" w:type="dxa"/>
            <w:noWrap/>
            <w:vAlign w:val="center"/>
          </w:tcPr>
          <w:p w14:paraId="3D01BD1A">
            <w:pPr>
              <w:widowControl/>
              <w:rPr>
                <w:szCs w:val="21"/>
              </w:rPr>
            </w:pPr>
            <w:r>
              <w:rPr>
                <w:rFonts w:hint="eastAsia"/>
                <w:szCs w:val="21"/>
              </w:rPr>
              <w:t xml:space="preserve">法定代表人：      </w:t>
            </w:r>
          </w:p>
        </w:tc>
        <w:tc>
          <w:tcPr>
            <w:tcW w:w="4543" w:type="dxa"/>
            <w:vAlign w:val="center"/>
          </w:tcPr>
          <w:p w14:paraId="48A51BBD">
            <w:pPr>
              <w:ind w:left="248"/>
              <w:rPr>
                <w:szCs w:val="21"/>
              </w:rPr>
            </w:pPr>
            <w:r>
              <w:rPr>
                <w:rFonts w:hint="eastAsia"/>
                <w:szCs w:val="21"/>
              </w:rPr>
              <w:t xml:space="preserve">法定代表人：           </w:t>
            </w:r>
          </w:p>
        </w:tc>
      </w:tr>
      <w:tr w14:paraId="28F63D11">
        <w:tblPrEx>
          <w:tblCellMar>
            <w:top w:w="0" w:type="dxa"/>
            <w:left w:w="108" w:type="dxa"/>
            <w:bottom w:w="0" w:type="dxa"/>
            <w:right w:w="108" w:type="dxa"/>
          </w:tblCellMar>
        </w:tblPrEx>
        <w:trPr>
          <w:trHeight w:val="510" w:hRule="atLeast"/>
        </w:trPr>
        <w:tc>
          <w:tcPr>
            <w:tcW w:w="4357" w:type="dxa"/>
            <w:noWrap/>
            <w:vAlign w:val="center"/>
          </w:tcPr>
          <w:p w14:paraId="35981026">
            <w:pPr>
              <w:widowControl/>
              <w:rPr>
                <w:szCs w:val="21"/>
              </w:rPr>
            </w:pPr>
            <w:r>
              <w:rPr>
                <w:rFonts w:hint="eastAsia"/>
                <w:szCs w:val="21"/>
              </w:rPr>
              <w:t xml:space="preserve">委托代表人：      </w:t>
            </w:r>
          </w:p>
        </w:tc>
        <w:tc>
          <w:tcPr>
            <w:tcW w:w="4543" w:type="dxa"/>
            <w:vAlign w:val="center"/>
          </w:tcPr>
          <w:p w14:paraId="6BAA6D93">
            <w:pPr>
              <w:ind w:left="248"/>
              <w:rPr>
                <w:szCs w:val="21"/>
              </w:rPr>
            </w:pPr>
            <w:r>
              <w:rPr>
                <w:rFonts w:hint="eastAsia"/>
                <w:szCs w:val="21"/>
              </w:rPr>
              <w:t xml:space="preserve">委托代表人：           </w:t>
            </w:r>
          </w:p>
        </w:tc>
      </w:tr>
      <w:tr w14:paraId="475066AE">
        <w:tblPrEx>
          <w:tblCellMar>
            <w:top w:w="0" w:type="dxa"/>
            <w:left w:w="108" w:type="dxa"/>
            <w:bottom w:w="0" w:type="dxa"/>
            <w:right w:w="108" w:type="dxa"/>
          </w:tblCellMar>
        </w:tblPrEx>
        <w:trPr>
          <w:trHeight w:val="510" w:hRule="atLeast"/>
        </w:trPr>
        <w:tc>
          <w:tcPr>
            <w:tcW w:w="4357" w:type="dxa"/>
            <w:noWrap/>
            <w:vAlign w:val="center"/>
          </w:tcPr>
          <w:p w14:paraId="0E0BE8C3">
            <w:pPr>
              <w:widowControl/>
              <w:rPr>
                <w:szCs w:val="21"/>
              </w:rPr>
            </w:pPr>
            <w:r>
              <w:rPr>
                <w:rFonts w:hint="eastAsia"/>
                <w:szCs w:val="21"/>
              </w:rPr>
              <w:t xml:space="preserve">电     话：       </w:t>
            </w:r>
          </w:p>
        </w:tc>
        <w:tc>
          <w:tcPr>
            <w:tcW w:w="4543" w:type="dxa"/>
            <w:vAlign w:val="center"/>
          </w:tcPr>
          <w:p w14:paraId="7BD4BCEC">
            <w:pPr>
              <w:ind w:left="248"/>
              <w:rPr>
                <w:szCs w:val="21"/>
              </w:rPr>
            </w:pPr>
            <w:r>
              <w:rPr>
                <w:rFonts w:hint="eastAsia"/>
                <w:szCs w:val="21"/>
              </w:rPr>
              <w:t xml:space="preserve">电     话：      </w:t>
            </w:r>
          </w:p>
        </w:tc>
      </w:tr>
      <w:tr w14:paraId="4A523148">
        <w:tblPrEx>
          <w:tblCellMar>
            <w:top w:w="0" w:type="dxa"/>
            <w:left w:w="108" w:type="dxa"/>
            <w:bottom w:w="0" w:type="dxa"/>
            <w:right w:w="108" w:type="dxa"/>
          </w:tblCellMar>
        </w:tblPrEx>
        <w:trPr>
          <w:trHeight w:val="510" w:hRule="atLeast"/>
        </w:trPr>
        <w:tc>
          <w:tcPr>
            <w:tcW w:w="4357" w:type="dxa"/>
            <w:noWrap/>
            <w:vAlign w:val="center"/>
          </w:tcPr>
          <w:p w14:paraId="2561C11D">
            <w:pPr>
              <w:widowControl/>
              <w:rPr>
                <w:szCs w:val="21"/>
              </w:rPr>
            </w:pPr>
            <w:r>
              <w:rPr>
                <w:rFonts w:hint="eastAsia"/>
                <w:szCs w:val="21"/>
              </w:rPr>
              <w:t xml:space="preserve">传     真：     </w:t>
            </w:r>
          </w:p>
        </w:tc>
        <w:tc>
          <w:tcPr>
            <w:tcW w:w="4543" w:type="dxa"/>
            <w:vAlign w:val="center"/>
          </w:tcPr>
          <w:p w14:paraId="4D14A30B">
            <w:pPr>
              <w:ind w:left="248"/>
              <w:rPr>
                <w:szCs w:val="21"/>
              </w:rPr>
            </w:pPr>
            <w:r>
              <w:rPr>
                <w:rFonts w:hint="eastAsia"/>
                <w:szCs w:val="21"/>
              </w:rPr>
              <w:t xml:space="preserve">传     真：      </w:t>
            </w:r>
          </w:p>
        </w:tc>
      </w:tr>
      <w:tr w14:paraId="4AB4EA63">
        <w:tblPrEx>
          <w:tblCellMar>
            <w:top w:w="0" w:type="dxa"/>
            <w:left w:w="108" w:type="dxa"/>
            <w:bottom w:w="0" w:type="dxa"/>
            <w:right w:w="108" w:type="dxa"/>
          </w:tblCellMar>
        </w:tblPrEx>
        <w:trPr>
          <w:trHeight w:val="510" w:hRule="atLeast"/>
        </w:trPr>
        <w:tc>
          <w:tcPr>
            <w:tcW w:w="4357" w:type="dxa"/>
            <w:noWrap/>
            <w:vAlign w:val="center"/>
          </w:tcPr>
          <w:p w14:paraId="5DAA3F6A">
            <w:pPr>
              <w:widowControl/>
              <w:rPr>
                <w:szCs w:val="21"/>
              </w:rPr>
            </w:pPr>
            <w:r>
              <w:rPr>
                <w:rFonts w:hint="eastAsia"/>
                <w:szCs w:val="21"/>
              </w:rPr>
              <w:t>纳税人识别号</w:t>
            </w:r>
            <w:r>
              <w:rPr>
                <w:rFonts w:hint="eastAsia"/>
                <w:szCs w:val="21"/>
                <w:u w:val="single"/>
              </w:rPr>
              <w:t>:</w:t>
            </w:r>
          </w:p>
        </w:tc>
        <w:tc>
          <w:tcPr>
            <w:tcW w:w="4543" w:type="dxa"/>
            <w:vAlign w:val="center"/>
          </w:tcPr>
          <w:p w14:paraId="1F3D4802">
            <w:pPr>
              <w:ind w:left="248"/>
              <w:rPr>
                <w:szCs w:val="21"/>
              </w:rPr>
            </w:pPr>
            <w:r>
              <w:rPr>
                <w:rFonts w:hint="eastAsia"/>
                <w:szCs w:val="21"/>
              </w:rPr>
              <w:t>纳税人识别号</w:t>
            </w:r>
            <w:r>
              <w:rPr>
                <w:rFonts w:hint="eastAsia"/>
                <w:szCs w:val="21"/>
                <w:u w:val="single"/>
              </w:rPr>
              <w:t>:</w:t>
            </w:r>
          </w:p>
        </w:tc>
      </w:tr>
      <w:tr w14:paraId="7F8CA3C8">
        <w:tblPrEx>
          <w:tblCellMar>
            <w:top w:w="0" w:type="dxa"/>
            <w:left w:w="108" w:type="dxa"/>
            <w:bottom w:w="0" w:type="dxa"/>
            <w:right w:w="108" w:type="dxa"/>
          </w:tblCellMar>
        </w:tblPrEx>
        <w:trPr>
          <w:trHeight w:val="510" w:hRule="atLeast"/>
        </w:trPr>
        <w:tc>
          <w:tcPr>
            <w:tcW w:w="4357" w:type="dxa"/>
            <w:noWrap/>
            <w:vAlign w:val="center"/>
          </w:tcPr>
          <w:p w14:paraId="6326445C">
            <w:pPr>
              <w:widowControl/>
              <w:rPr>
                <w:szCs w:val="21"/>
              </w:rPr>
            </w:pPr>
            <w:r>
              <w:rPr>
                <w:rFonts w:hint="eastAsia"/>
                <w:szCs w:val="21"/>
              </w:rPr>
              <w:t>开户银行：</w:t>
            </w:r>
          </w:p>
        </w:tc>
        <w:tc>
          <w:tcPr>
            <w:tcW w:w="4543" w:type="dxa"/>
            <w:vAlign w:val="center"/>
          </w:tcPr>
          <w:p w14:paraId="2CFF2540">
            <w:pPr>
              <w:ind w:left="248"/>
              <w:rPr>
                <w:szCs w:val="21"/>
              </w:rPr>
            </w:pPr>
            <w:r>
              <w:rPr>
                <w:rFonts w:hint="eastAsia"/>
                <w:szCs w:val="21"/>
              </w:rPr>
              <w:t xml:space="preserve">开户银行： </w:t>
            </w:r>
          </w:p>
        </w:tc>
      </w:tr>
      <w:tr w14:paraId="45485DE8">
        <w:tblPrEx>
          <w:tblCellMar>
            <w:top w:w="0" w:type="dxa"/>
            <w:left w:w="108" w:type="dxa"/>
            <w:bottom w:w="0" w:type="dxa"/>
            <w:right w:w="108" w:type="dxa"/>
          </w:tblCellMar>
        </w:tblPrEx>
        <w:trPr>
          <w:trHeight w:val="510" w:hRule="atLeast"/>
        </w:trPr>
        <w:tc>
          <w:tcPr>
            <w:tcW w:w="4357" w:type="dxa"/>
            <w:noWrap/>
            <w:vAlign w:val="center"/>
          </w:tcPr>
          <w:p w14:paraId="5DEA9782">
            <w:pPr>
              <w:widowControl/>
              <w:rPr>
                <w:szCs w:val="21"/>
              </w:rPr>
            </w:pPr>
            <w:r>
              <w:rPr>
                <w:rFonts w:hint="eastAsia"/>
                <w:szCs w:val="21"/>
              </w:rPr>
              <w:t>帐     号：</w:t>
            </w:r>
          </w:p>
        </w:tc>
        <w:tc>
          <w:tcPr>
            <w:tcW w:w="4543" w:type="dxa"/>
            <w:vAlign w:val="center"/>
          </w:tcPr>
          <w:p w14:paraId="553EA016">
            <w:pPr>
              <w:ind w:left="248"/>
              <w:rPr>
                <w:szCs w:val="21"/>
              </w:rPr>
            </w:pPr>
            <w:r>
              <w:rPr>
                <w:rFonts w:hint="eastAsia"/>
                <w:szCs w:val="21"/>
              </w:rPr>
              <w:t>帐    号：</w:t>
            </w:r>
          </w:p>
        </w:tc>
      </w:tr>
      <w:tr w14:paraId="4106AD47">
        <w:tblPrEx>
          <w:tblCellMar>
            <w:top w:w="0" w:type="dxa"/>
            <w:left w:w="108" w:type="dxa"/>
            <w:bottom w:w="0" w:type="dxa"/>
            <w:right w:w="108" w:type="dxa"/>
          </w:tblCellMar>
        </w:tblPrEx>
        <w:trPr>
          <w:trHeight w:val="510" w:hRule="atLeast"/>
        </w:trPr>
        <w:tc>
          <w:tcPr>
            <w:tcW w:w="4357" w:type="dxa"/>
            <w:noWrap/>
            <w:vAlign w:val="center"/>
          </w:tcPr>
          <w:p w14:paraId="59A1B9E2">
            <w:pPr>
              <w:widowControl/>
              <w:rPr>
                <w:szCs w:val="21"/>
              </w:rPr>
            </w:pPr>
            <w:r>
              <w:rPr>
                <w:rFonts w:hint="eastAsia"/>
                <w:szCs w:val="21"/>
              </w:rPr>
              <w:t>邮政编码：</w:t>
            </w:r>
          </w:p>
        </w:tc>
        <w:tc>
          <w:tcPr>
            <w:tcW w:w="4543" w:type="dxa"/>
            <w:vAlign w:val="center"/>
          </w:tcPr>
          <w:p w14:paraId="1882BBFF">
            <w:pPr>
              <w:ind w:left="248"/>
              <w:rPr>
                <w:szCs w:val="21"/>
              </w:rPr>
            </w:pPr>
            <w:r>
              <w:rPr>
                <w:rFonts w:hint="eastAsia"/>
                <w:szCs w:val="21"/>
              </w:rPr>
              <w:t>邮政编码：</w:t>
            </w:r>
          </w:p>
        </w:tc>
      </w:tr>
    </w:tbl>
    <w:p w14:paraId="492F9D8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1E4348D8">
      <w:pPr>
        <w:pStyle w:val="17"/>
        <w:rPr>
          <w:rFonts w:hint="eastAsia" w:ascii="宋体" w:hAnsi="宋体" w:eastAsia="宋体" w:cs="宋体"/>
          <w:b/>
          <w:sz w:val="30"/>
          <w:szCs w:val="30"/>
          <w:lang w:val="en-US" w:eastAsia="zh-CN" w:bidi="ar-SA"/>
        </w:rPr>
      </w:pPr>
    </w:p>
    <w:p w14:paraId="23490B9B">
      <w:pPr>
        <w:pStyle w:val="17"/>
        <w:rPr>
          <w:rFonts w:hint="eastAsia" w:ascii="宋体" w:hAnsi="宋体" w:eastAsia="宋体" w:cs="宋体"/>
          <w:b/>
          <w:sz w:val="30"/>
          <w:szCs w:val="30"/>
          <w:lang w:val="en-US" w:eastAsia="zh-CN" w:bidi="ar-SA"/>
        </w:rPr>
      </w:pPr>
    </w:p>
    <w:p w14:paraId="5462DDB7">
      <w:pPr>
        <w:pStyle w:val="17"/>
        <w:rPr>
          <w:rFonts w:hint="eastAsia" w:ascii="宋体" w:hAnsi="宋体" w:eastAsia="宋体" w:cs="宋体"/>
          <w:b/>
          <w:sz w:val="30"/>
          <w:szCs w:val="30"/>
          <w:lang w:val="en-US" w:eastAsia="zh-CN" w:bidi="ar-SA"/>
        </w:rPr>
      </w:pPr>
    </w:p>
    <w:p w14:paraId="037A5C84">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32-E-102A/B换热器采购项目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2025年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2025年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32-E-102A/B换热器采购项目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8"/>
          <w:szCs w:val="28"/>
          <w:lang w:val="en-US" w:eastAsia="zh-CN"/>
        </w:rPr>
        <w:t>32-E-102A/B换热器采购项目</w:t>
      </w:r>
      <w:r>
        <w:rPr>
          <w:rFonts w:hint="eastAsia"/>
          <w:b/>
          <w:bCs/>
          <w:sz w:val="28"/>
          <w:szCs w:val="28"/>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1085"/>
        <w:gridCol w:w="1151"/>
        <w:gridCol w:w="1485"/>
        <w:gridCol w:w="2010"/>
        <w:gridCol w:w="585"/>
        <w:gridCol w:w="510"/>
        <w:gridCol w:w="1215"/>
        <w:gridCol w:w="1215"/>
      </w:tblGrid>
      <w:tr w14:paraId="77A84EDC">
        <w:tblPrEx>
          <w:tblCellMar>
            <w:top w:w="15" w:type="dxa"/>
            <w:left w:w="15" w:type="dxa"/>
            <w:bottom w:w="15" w:type="dxa"/>
            <w:right w:w="15" w:type="dxa"/>
          </w:tblCellMar>
        </w:tblPrEx>
        <w:trPr>
          <w:trHeight w:val="876"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br w:type="textWrapping"/>
            </w:r>
            <w:r>
              <w:rPr>
                <w:rFonts w:hint="eastAsia" w:cs="宋体"/>
                <w:color w:val="000000"/>
                <w:sz w:val="24"/>
                <w:szCs w:val="24"/>
                <w:lang w:eastAsia="zh-CN" w:bidi="ar"/>
              </w:rPr>
              <w:t>QGD-3122-250924-0409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B181">
            <w:pPr>
              <w:widowControl/>
              <w:jc w:val="center"/>
              <w:textAlignment w:val="center"/>
              <w:rPr>
                <w:rFonts w:hint="default" w:ascii="宋体" w:hAnsi="宋体" w:eastAsia="宋体" w:cs="宋体"/>
                <w:color w:val="000000"/>
                <w:sz w:val="24"/>
                <w:szCs w:val="24"/>
                <w:lang w:val="en-US" w:eastAsia="zh-CN" w:bidi="ar"/>
              </w:rPr>
            </w:pPr>
            <w:r>
              <w:rPr>
                <w:rFonts w:hint="default" w:ascii="宋体" w:hAnsi="宋体" w:eastAsia="宋体" w:cs="宋体"/>
                <w:color w:val="000000"/>
                <w:sz w:val="24"/>
                <w:szCs w:val="24"/>
                <w:lang w:val="en-US" w:eastAsia="zh-CN" w:bidi="ar"/>
              </w:rPr>
              <w:t>10269009</w:t>
            </w:r>
          </w:p>
          <w:p w14:paraId="171C2FEB">
            <w:pPr>
              <w:widowControl/>
              <w:jc w:val="center"/>
              <w:textAlignment w:val="center"/>
              <w:rPr>
                <w:rFonts w:hint="default" w:ascii="宋体" w:hAnsi="宋体" w:eastAsia="宋体" w:cs="宋体"/>
                <w:color w:val="000000"/>
                <w:sz w:val="24"/>
                <w:szCs w:val="24"/>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default" w:ascii="宋体" w:hAnsi="宋体" w:eastAsia="宋体" w:cs="宋体"/>
                <w:color w:val="000000"/>
                <w:sz w:val="24"/>
                <w:szCs w:val="24"/>
                <w:lang w:val="en-US" w:eastAsia="zh-CN" w:bidi="ar"/>
              </w:rPr>
              <w:fldChar w:fldCharType="begin"/>
            </w:r>
            <w:r>
              <w:rPr>
                <w:rFonts w:hint="default" w:ascii="宋体" w:hAnsi="宋体" w:eastAsia="宋体" w:cs="宋体"/>
                <w:color w:val="000000"/>
                <w:sz w:val="24"/>
                <w:szCs w:val="24"/>
                <w:lang w:val="en-US" w:eastAsia="zh-CN" w:bidi="ar"/>
              </w:rPr>
              <w:instrText xml:space="preserve"> HYPERLINK "https://erp.fjnhjt.com/mdf-node/busiobj/pc.product.Product?id=2364886440286355498" </w:instrText>
            </w:r>
            <w:r>
              <w:rPr>
                <w:rFonts w:hint="default" w:ascii="宋体" w:hAnsi="宋体" w:eastAsia="宋体" w:cs="宋体"/>
                <w:color w:val="000000"/>
                <w:sz w:val="24"/>
                <w:szCs w:val="24"/>
                <w:lang w:val="en-US" w:eastAsia="zh-CN" w:bidi="ar"/>
              </w:rPr>
              <w:fldChar w:fldCharType="separate"/>
            </w:r>
            <w:r>
              <w:rPr>
                <w:rFonts w:hint="eastAsia" w:ascii="宋体" w:hAnsi="宋体" w:eastAsia="宋体" w:cs="宋体"/>
                <w:color w:val="000000"/>
                <w:sz w:val="24"/>
                <w:szCs w:val="24"/>
                <w:lang w:val="en-US" w:eastAsia="zh-CN" w:bidi="ar"/>
              </w:rPr>
              <w:t>重整反应产物冷却器管束（含浮头盖及钩圈）</w:t>
            </w:r>
            <w:r>
              <w:rPr>
                <w:rFonts w:hint="eastAsia" w:ascii="宋体" w:hAnsi="宋体" w:eastAsia="宋体" w:cs="宋体"/>
                <w:color w:val="000000"/>
                <w:sz w:val="24"/>
                <w:szCs w:val="24"/>
                <w:lang w:val="en-US" w:eastAsia="zh-CN" w:bidi="ar"/>
              </w:rPr>
              <w:fldChar w:fldCharType="end"/>
            </w:r>
          </w:p>
        </w:tc>
        <w:tc>
          <w:tcPr>
            <w:tcW w:w="201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r>
              <w:rPr>
                <w:rFonts w:hint="default" w:ascii="宋体" w:hAnsi="宋体" w:eastAsia="宋体" w:cs="宋体"/>
                <w:color w:val="000000"/>
                <w:sz w:val="24"/>
                <w:szCs w:val="24"/>
                <w:lang w:val="en-US" w:eastAsia="zh-CN" w:bidi="ar"/>
              </w:rPr>
              <w:t>32-E-102 / 规格：AJS -1750-1.2/0.93-787-6/19-4I</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jc w:val="center"/>
              <w:rPr>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jc w:val="center"/>
              <w:rPr>
                <w:color w:val="000000"/>
                <w:sz w:val="24"/>
                <w:szCs w:val="24"/>
              </w:rPr>
            </w:pPr>
          </w:p>
        </w:tc>
      </w:tr>
      <w:tr w14:paraId="2FF492BE">
        <w:tblPrEx>
          <w:tblCellMar>
            <w:top w:w="15" w:type="dxa"/>
            <w:left w:w="15" w:type="dxa"/>
            <w:bottom w:w="15" w:type="dxa"/>
            <w:right w:w="15" w:type="dxa"/>
          </w:tblCellMar>
        </w:tblPrEx>
        <w:trPr>
          <w:trHeight w:val="117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9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cs="宋体"/>
                <w:b/>
                <w:bCs/>
                <w:sz w:val="24"/>
                <w:szCs w:val="24"/>
                <w:lang w:val="en-US" w:eastAsia="zh-CN"/>
              </w:rPr>
              <w:t>32-E-102A/B换热器采购项目</w:t>
            </w:r>
            <w:r>
              <w:rPr>
                <w:rFonts w:hint="eastAsia"/>
                <w:b/>
                <w:bCs/>
              </w:rPr>
              <w:t>”技术协议：</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ascii="Arial" w:hAnsi="Arial" w:cs="Arial"/>
                <w:color w:val="111111"/>
              </w:rPr>
              <w:t>具体事宜</w:t>
            </w:r>
            <w:r>
              <w:rPr>
                <w:rFonts w:hint="eastAsia" w:ascii="Arial" w:hAnsi="Arial" w:cs="Arial"/>
                <w:color w:val="111111"/>
              </w:rPr>
              <w:t>以</w:t>
            </w:r>
            <w:r>
              <w:rPr>
                <w:rFonts w:ascii="Arial" w:hAnsi="Arial" w:cs="Arial"/>
                <w:color w:val="111111"/>
              </w:rPr>
              <w:t>请购规格型号</w:t>
            </w:r>
            <w:r>
              <w:rPr>
                <w:rFonts w:hint="eastAsia" w:ascii="Arial" w:hAnsi="Arial" w:cs="Arial"/>
                <w:color w:val="111111"/>
              </w:rPr>
              <w:t>和双方签订的</w:t>
            </w:r>
            <w:r>
              <w:rPr>
                <w:rFonts w:ascii="Arial" w:hAnsi="Arial" w:cs="Arial"/>
                <w:color w:val="111111"/>
              </w:rPr>
              <w:t>技术协议</w:t>
            </w:r>
            <w:r>
              <w:rPr>
                <w:rFonts w:hint="eastAsia" w:ascii="Arial" w:hAnsi="Arial" w:cs="Arial"/>
                <w:color w:val="111111"/>
              </w:rPr>
              <w:t>为准</w:t>
            </w:r>
            <w:r>
              <w:rPr>
                <w:rFonts w:ascii="Arial" w:hAnsi="Arial" w:cs="Arial"/>
                <w:color w:val="111111"/>
              </w:rPr>
              <w:t>。</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b/>
                <w:bCs/>
                <w:sz w:val="24"/>
                <w:lang w:eastAsia="zh-CN"/>
              </w:rPr>
            </w:pPr>
            <w:r>
              <w:rPr>
                <w:rFonts w:hint="eastAsia"/>
                <w:b/>
                <w:bCs/>
                <w:sz w:val="24"/>
                <w:lang w:eastAsia="zh-CN"/>
              </w:rPr>
              <w:t>C、付款方式：全部货款均以现汇方式支付，无预付货到验收合格后付90%,留10%质保金（质保期以货到验收合格后12个月或货到现场18个月，以先到为准）</w:t>
            </w:r>
            <w:r>
              <w:rPr>
                <w:b/>
                <w:bCs/>
                <w:sz w:val="24"/>
                <w:lang w:eastAsia="zh-CN"/>
              </w:rPr>
              <w:t>。</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18B614E5">
      <w:pPr>
        <w:pStyle w:val="17"/>
        <w:spacing w:line="360" w:lineRule="auto"/>
        <w:jc w:val="center"/>
        <w:rPr>
          <w:rFonts w:hint="eastAsia" w:ascii="宋体" w:hAnsi="宋体" w:eastAsia="宋体" w:cs="宋体"/>
          <w:b/>
          <w:sz w:val="36"/>
          <w:szCs w:val="36"/>
        </w:rPr>
      </w:pPr>
    </w:p>
    <w:p w14:paraId="581C3140">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9B96D4E"/>
    <w:rsid w:val="0CDE6C33"/>
    <w:rsid w:val="145F4C75"/>
    <w:rsid w:val="1DC41D06"/>
    <w:rsid w:val="1ECF2269"/>
    <w:rsid w:val="249471B2"/>
    <w:rsid w:val="2B9065EA"/>
    <w:rsid w:val="2C3614AA"/>
    <w:rsid w:val="2C566E48"/>
    <w:rsid w:val="2D144DDE"/>
    <w:rsid w:val="2E092DE3"/>
    <w:rsid w:val="34921CE4"/>
    <w:rsid w:val="38E7731C"/>
    <w:rsid w:val="3CBB5B89"/>
    <w:rsid w:val="40A14897"/>
    <w:rsid w:val="4D50309A"/>
    <w:rsid w:val="54764C99"/>
    <w:rsid w:val="57F06B97"/>
    <w:rsid w:val="57F45C8F"/>
    <w:rsid w:val="58671C4C"/>
    <w:rsid w:val="5B047D71"/>
    <w:rsid w:val="62144A7E"/>
    <w:rsid w:val="62F917B9"/>
    <w:rsid w:val="66BA60F9"/>
    <w:rsid w:val="672B3381"/>
    <w:rsid w:val="6F8B3F58"/>
    <w:rsid w:val="71D65F0B"/>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4107</Words>
  <Characters>4549</Characters>
  <Lines>0</Lines>
  <Paragraphs>0</Paragraphs>
  <TotalTime>0</TotalTime>
  <ScaleCrop>false</ScaleCrop>
  <LinksUpToDate>false</LinksUpToDate>
  <CharactersWithSpaces>4953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沈学荣</cp:lastModifiedBy>
  <dcterms:modified xsi:type="dcterms:W3CDTF">2025-09-28T10:38:21Z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