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F658">
      <w:pPr>
        <w:adjustRightInd w:val="0"/>
        <w:snapToGrid w:val="0"/>
        <w:spacing w:before="156" w:beforeLines="50" w:after="156" w:afterLines="50" w:line="360" w:lineRule="auto"/>
        <w:jc w:val="center"/>
        <w:rPr>
          <w:rFonts w:ascii="宋体" w:hAnsi="宋体"/>
          <w:b/>
          <w:sz w:val="44"/>
          <w:szCs w:val="44"/>
        </w:rPr>
      </w:pPr>
    </w:p>
    <w:p w14:paraId="6857AB72">
      <w:pPr>
        <w:adjustRightInd w:val="0"/>
        <w:snapToGrid w:val="0"/>
        <w:spacing w:before="156" w:beforeLines="50" w:after="156" w:afterLines="50" w:line="360" w:lineRule="auto"/>
        <w:jc w:val="center"/>
        <w:rPr>
          <w:rFonts w:hint="eastAsia" w:ascii="宋体" w:hAnsi="宋体" w:eastAsia="宋体" w:cs="宋体"/>
          <w:b/>
          <w:sz w:val="44"/>
          <w:szCs w:val="44"/>
        </w:rPr>
      </w:pPr>
      <w:r>
        <w:rPr>
          <w:rFonts w:hint="eastAsia" w:ascii="宋体" w:hAnsi="宋体" w:eastAsia="宋体" w:cs="宋体"/>
          <w:b/>
          <w:sz w:val="44"/>
          <w:szCs w:val="44"/>
        </w:rPr>
        <w:t>福建福海创石油化工有限公司</w:t>
      </w:r>
    </w:p>
    <w:p w14:paraId="593A3921">
      <w:pPr>
        <w:adjustRightInd w:val="0"/>
        <w:snapToGrid w:val="0"/>
        <w:spacing w:before="156" w:beforeLines="50" w:after="156" w:afterLines="50" w:line="360" w:lineRule="auto"/>
        <w:jc w:val="center"/>
        <w:rPr>
          <w:rFonts w:hint="eastAsia" w:ascii="宋体" w:hAnsi="宋体" w:eastAsia="宋体" w:cs="宋体"/>
          <w:b/>
          <w:sz w:val="32"/>
          <w:szCs w:val="32"/>
          <w:lang w:eastAsia="zh-CN"/>
        </w:rPr>
      </w:pPr>
      <w:r>
        <w:rPr>
          <w:rFonts w:hint="eastAsia" w:ascii="宋体" w:hAnsi="宋体" w:eastAsia="宋体" w:cs="宋体"/>
          <w:b/>
          <w:sz w:val="32"/>
          <w:szCs w:val="32"/>
        </w:rPr>
        <w:t>原料适应性技改项目阶段性</w:t>
      </w:r>
      <w:r>
        <w:rPr>
          <w:rFonts w:hint="eastAsia" w:ascii="宋体" w:hAnsi="宋体" w:eastAsia="宋体" w:cs="宋体"/>
          <w:b/>
          <w:sz w:val="32"/>
          <w:szCs w:val="32"/>
          <w:lang w:eastAsia="zh-CN"/>
        </w:rPr>
        <w:t>职业病危害控制效果评价及</w:t>
      </w:r>
    </w:p>
    <w:p w14:paraId="7EA40A12">
      <w:pPr>
        <w:adjustRightInd w:val="0"/>
        <w:snapToGrid w:val="0"/>
        <w:spacing w:before="156" w:beforeLines="50" w:after="156" w:afterLines="50"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职业病防护设施竣工</w:t>
      </w:r>
      <w:r>
        <w:rPr>
          <w:rFonts w:hint="eastAsia" w:ascii="宋体" w:hAnsi="宋体" w:eastAsia="宋体" w:cs="宋体"/>
          <w:b/>
          <w:sz w:val="32"/>
          <w:szCs w:val="32"/>
        </w:rPr>
        <w:t>验收</w:t>
      </w:r>
      <w:r>
        <w:rPr>
          <w:rFonts w:hint="eastAsia" w:ascii="宋体" w:hAnsi="宋体" w:cs="宋体"/>
          <w:b/>
          <w:sz w:val="32"/>
          <w:szCs w:val="32"/>
          <w:lang w:val="en-US" w:eastAsia="zh-CN"/>
        </w:rPr>
        <w:t>发包</w:t>
      </w:r>
      <w:r>
        <w:rPr>
          <w:rFonts w:hint="eastAsia" w:ascii="宋体" w:hAnsi="宋体" w:eastAsia="宋体" w:cs="宋体"/>
          <w:b/>
          <w:sz w:val="32"/>
          <w:szCs w:val="32"/>
        </w:rPr>
        <w:t>说明</w:t>
      </w:r>
    </w:p>
    <w:p w14:paraId="3615178B">
      <w:pPr>
        <w:jc w:val="center"/>
        <w:rPr>
          <w:rFonts w:hint="eastAsia" w:ascii="宋体" w:hAnsi="宋体" w:eastAsia="宋体" w:cs="宋体"/>
          <w:sz w:val="36"/>
          <w:szCs w:val="36"/>
        </w:rPr>
      </w:pPr>
    </w:p>
    <w:p w14:paraId="1C57EA8C">
      <w:pPr>
        <w:jc w:val="center"/>
        <w:rPr>
          <w:rFonts w:hint="eastAsia" w:ascii="宋体" w:hAnsi="宋体" w:eastAsia="宋体" w:cs="宋体"/>
          <w:sz w:val="36"/>
          <w:szCs w:val="36"/>
        </w:rPr>
      </w:pPr>
    </w:p>
    <w:p w14:paraId="45A3BFB6">
      <w:pPr>
        <w:jc w:val="center"/>
        <w:rPr>
          <w:rFonts w:hint="eastAsia" w:ascii="宋体" w:hAnsi="宋体" w:eastAsia="宋体" w:cs="宋体"/>
          <w:sz w:val="36"/>
          <w:szCs w:val="36"/>
        </w:rPr>
      </w:pPr>
    </w:p>
    <w:p w14:paraId="36723CB7">
      <w:pPr>
        <w:jc w:val="center"/>
        <w:rPr>
          <w:rFonts w:hint="eastAsia" w:ascii="宋体" w:hAnsi="宋体" w:eastAsia="宋体" w:cs="宋体"/>
          <w:sz w:val="36"/>
          <w:szCs w:val="36"/>
        </w:rPr>
      </w:pPr>
    </w:p>
    <w:p w14:paraId="0AA74C82">
      <w:pPr>
        <w:rPr>
          <w:rFonts w:hint="eastAsia" w:ascii="宋体" w:hAnsi="宋体" w:eastAsia="宋体" w:cs="宋体"/>
          <w:sz w:val="36"/>
          <w:szCs w:val="36"/>
        </w:rPr>
      </w:pPr>
    </w:p>
    <w:p w14:paraId="5BDE1D16">
      <w:pPr>
        <w:jc w:val="center"/>
        <w:rPr>
          <w:rFonts w:hint="eastAsia" w:ascii="宋体" w:hAnsi="宋体" w:eastAsia="宋体" w:cs="宋体"/>
          <w:sz w:val="36"/>
          <w:szCs w:val="36"/>
        </w:rPr>
      </w:pPr>
    </w:p>
    <w:p w14:paraId="644A2C8A">
      <w:pPr>
        <w:pStyle w:val="2"/>
        <w:keepNext w:val="0"/>
        <w:keepLines w:val="0"/>
        <w:widowControl/>
        <w:tabs>
          <w:tab w:val="left" w:pos="574"/>
        </w:tabs>
        <w:adjustRightInd w:val="0"/>
        <w:snapToGrid w:val="0"/>
        <w:spacing w:before="240" w:after="240" w:line="360" w:lineRule="auto"/>
        <w:ind w:left="574"/>
        <w:rPr>
          <w:rFonts w:hint="eastAsia" w:ascii="宋体" w:hAnsi="宋体" w:eastAsia="宋体" w:cs="宋体"/>
          <w:b w:val="0"/>
          <w:color w:val="000000"/>
          <w:kern w:val="2"/>
          <w:sz w:val="36"/>
          <w:szCs w:val="36"/>
        </w:rPr>
      </w:pPr>
      <w:r>
        <w:rPr>
          <w:rFonts w:hint="eastAsia" w:ascii="宋体" w:hAnsi="宋体" w:eastAsia="宋体" w:cs="宋体"/>
          <w:b w:val="0"/>
          <w:color w:val="000000"/>
          <w:kern w:val="2"/>
          <w:sz w:val="36"/>
          <w:szCs w:val="36"/>
        </w:rPr>
        <w:t>编制：</w:t>
      </w:r>
    </w:p>
    <w:p w14:paraId="32EF35CE">
      <w:pPr>
        <w:pStyle w:val="2"/>
        <w:keepNext w:val="0"/>
        <w:keepLines w:val="0"/>
        <w:widowControl/>
        <w:tabs>
          <w:tab w:val="left" w:pos="574"/>
        </w:tabs>
        <w:adjustRightInd w:val="0"/>
        <w:snapToGrid w:val="0"/>
        <w:spacing w:before="240" w:after="240" w:line="360" w:lineRule="auto"/>
        <w:ind w:left="574"/>
        <w:rPr>
          <w:rFonts w:hint="eastAsia" w:ascii="宋体" w:hAnsi="宋体" w:eastAsia="宋体" w:cs="宋体"/>
          <w:b w:val="0"/>
          <w:color w:val="000000"/>
          <w:kern w:val="2"/>
          <w:sz w:val="36"/>
          <w:szCs w:val="36"/>
        </w:rPr>
      </w:pPr>
      <w:r>
        <w:rPr>
          <w:rFonts w:hint="eastAsia" w:ascii="宋体" w:hAnsi="宋体" w:eastAsia="宋体" w:cs="宋体"/>
          <w:b w:val="0"/>
          <w:color w:val="000000"/>
          <w:kern w:val="2"/>
          <w:sz w:val="36"/>
          <w:szCs w:val="36"/>
        </w:rPr>
        <w:t>审核：</w:t>
      </w:r>
    </w:p>
    <w:p w14:paraId="0EF69916">
      <w:pPr>
        <w:pStyle w:val="2"/>
        <w:keepNext w:val="0"/>
        <w:keepLines w:val="0"/>
        <w:widowControl/>
        <w:tabs>
          <w:tab w:val="left" w:pos="574"/>
        </w:tabs>
        <w:adjustRightInd w:val="0"/>
        <w:snapToGrid w:val="0"/>
        <w:spacing w:before="240" w:after="240" w:line="360" w:lineRule="auto"/>
        <w:ind w:left="574"/>
        <w:rPr>
          <w:rFonts w:hint="eastAsia" w:ascii="宋体" w:hAnsi="宋体" w:eastAsia="宋体" w:cs="宋体"/>
          <w:sz w:val="36"/>
          <w:szCs w:val="36"/>
        </w:rPr>
      </w:pPr>
      <w:r>
        <w:rPr>
          <w:rFonts w:hint="eastAsia" w:ascii="宋体" w:hAnsi="宋体" w:eastAsia="宋体" w:cs="宋体"/>
          <w:b w:val="0"/>
          <w:color w:val="000000"/>
          <w:kern w:val="2"/>
          <w:sz w:val="36"/>
          <w:szCs w:val="36"/>
        </w:rPr>
        <w:t>核准：</w:t>
      </w:r>
    </w:p>
    <w:p w14:paraId="377F8177">
      <w:pPr>
        <w:rPr>
          <w:rFonts w:hint="eastAsia" w:ascii="宋体" w:hAnsi="宋体" w:eastAsia="宋体" w:cs="宋体"/>
          <w:sz w:val="36"/>
          <w:szCs w:val="36"/>
        </w:rPr>
      </w:pPr>
    </w:p>
    <w:p w14:paraId="3949ADE0">
      <w:pPr>
        <w:jc w:val="center"/>
        <w:rPr>
          <w:rFonts w:hint="eastAsia" w:ascii="宋体" w:hAnsi="宋体" w:eastAsia="宋体" w:cs="宋体"/>
          <w:b/>
          <w:sz w:val="36"/>
          <w:szCs w:val="36"/>
        </w:rPr>
      </w:pPr>
      <w:r>
        <w:rPr>
          <w:rFonts w:hint="eastAsia" w:ascii="宋体" w:hAnsi="宋体" w:eastAsia="宋体" w:cs="宋体"/>
          <w:b/>
          <w:sz w:val="36"/>
          <w:szCs w:val="36"/>
        </w:rPr>
        <w:t>福建福海创石油化工有限公司</w:t>
      </w:r>
    </w:p>
    <w:p w14:paraId="73BB713F">
      <w:pPr>
        <w:jc w:val="center"/>
        <w:rPr>
          <w:rFonts w:hint="eastAsia" w:ascii="宋体" w:hAnsi="宋体" w:eastAsia="宋体" w:cs="宋体"/>
          <w:sz w:val="24"/>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w:t>
      </w:r>
      <w:r>
        <w:rPr>
          <w:rFonts w:hint="eastAsia" w:ascii="宋体" w:hAnsi="宋体" w:eastAsia="宋体" w:cs="宋体"/>
          <w:b/>
          <w:sz w:val="36"/>
          <w:szCs w:val="36"/>
          <w:lang w:val="en-US" w:eastAsia="zh-CN"/>
        </w:rPr>
        <w:t>4</w:t>
      </w:r>
      <w:r>
        <w:rPr>
          <w:rFonts w:hint="eastAsia" w:ascii="宋体" w:hAnsi="宋体" w:eastAsia="宋体" w:cs="宋体"/>
          <w:b/>
          <w:sz w:val="36"/>
          <w:szCs w:val="36"/>
        </w:rPr>
        <w:t>月</w:t>
      </w:r>
    </w:p>
    <w:p w14:paraId="6BD0A86A">
      <w:r>
        <w:br w:type="page"/>
      </w:r>
    </w:p>
    <w:p w14:paraId="58C1B50B">
      <w:pPr>
        <w:spacing w:line="360" w:lineRule="auto"/>
        <w:rPr>
          <w:rFonts w:hint="eastAsia" w:ascii="宋体" w:hAnsi="宋体" w:eastAsia="宋体" w:cs="宋体"/>
          <w:b/>
          <w:sz w:val="24"/>
          <w:szCs w:val="24"/>
        </w:rPr>
      </w:pPr>
      <w:r>
        <w:rPr>
          <w:rFonts w:hint="eastAsia" w:ascii="宋体" w:hAnsi="宋体" w:eastAsia="宋体" w:cs="宋体"/>
          <w:b/>
          <w:sz w:val="24"/>
          <w:szCs w:val="24"/>
        </w:rPr>
        <w:t>一、招标内容</w:t>
      </w:r>
    </w:p>
    <w:p w14:paraId="33CF4C0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福建福海创石油化工有限公司原料适应性技改项目沸腾床加氢装置、新建硫磺回收装置以及相关公用工程职业病危害控制效果评价及职业病防护设施竣工验收。</w:t>
      </w:r>
    </w:p>
    <w:p w14:paraId="1F87A053">
      <w:pPr>
        <w:numPr>
          <w:ilvl w:val="0"/>
          <w:numId w:val="1"/>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法律依据</w:t>
      </w:r>
    </w:p>
    <w:p w14:paraId="6D2B27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《中华人民共和国职业病防治法》</w:t>
      </w:r>
    </w:p>
    <w:p w14:paraId="6AAB5B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《工作场所职业卫生管理规定》卫健委第5号</w:t>
      </w:r>
    </w:p>
    <w:p w14:paraId="53E808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《使用有毒物品作业场所劳动保护条例》国务院令第797号</w:t>
      </w:r>
    </w:p>
    <w:p w14:paraId="415562A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《建设项目职业病防护设施“三同时”监督管理办法》原安监总局90号</w:t>
      </w:r>
    </w:p>
    <w:p w14:paraId="3CA9E14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《建设项目职业病危害控制效果评价报告编制要求》(ZW-JB-2014-003)</w:t>
      </w:r>
    </w:p>
    <w:p w14:paraId="42310A1F">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《建设项目职业病危害控制效果评价技术导则》(GBZ/T 197-2007)</w:t>
      </w:r>
    </w:p>
    <w:p w14:paraId="3B2F94B1">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《职业卫生技术服务机构管理办法》2023年修改</w:t>
      </w:r>
    </w:p>
    <w:p w14:paraId="22D2939E">
      <w:pPr>
        <w:numPr>
          <w:ilvl w:val="0"/>
          <w:numId w:val="1"/>
        </w:numPr>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工作范围</w:t>
      </w:r>
    </w:p>
    <w:p w14:paraId="6D51070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福建福海创石油化工有限公司原料适应性技改项目包括主体工程、储运工程、公用工程、相应配套设施及依托工程。本次阶段性验收范围为福海创：沸腾床加氢装置、新建储罐、循环水站、除盐水站及管廊等公用工程；腾龙芳烃：新建硫磺回收装置。以上装置分别以福海创和腾龙芳烃名义出具报告。</w:t>
      </w:r>
    </w:p>
    <w:p w14:paraId="05BD06E5">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w:t>
      </w:r>
      <w:r>
        <w:rPr>
          <w:rFonts w:hint="eastAsia" w:ascii="宋体" w:hAnsi="宋体" w:eastAsia="宋体" w:cs="宋体"/>
          <w:b/>
          <w:bCs/>
          <w:sz w:val="24"/>
          <w:szCs w:val="24"/>
          <w:lang w:val="en-US" w:eastAsia="zh-CN"/>
        </w:rPr>
        <w:t>发包</w:t>
      </w:r>
      <w:r>
        <w:rPr>
          <w:rFonts w:hint="eastAsia" w:ascii="宋体" w:hAnsi="宋体" w:eastAsia="宋体" w:cs="宋体"/>
          <w:b/>
          <w:sz w:val="24"/>
          <w:szCs w:val="24"/>
        </w:rPr>
        <w:t>要求</w:t>
      </w:r>
    </w:p>
    <w:p w14:paraId="55DC75F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（一）资质要求</w:t>
      </w:r>
    </w:p>
    <w:p w14:paraId="290BAAE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1、投标单位须为中华人民共和国境内依法注册的具有独立法人资格的企业。</w:t>
      </w:r>
    </w:p>
    <w:p w14:paraId="2C10D546">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2、投标单位须具备有效的职业卫生技术服务机构资质证书，业务范围包含：第一类：化工、石化。第二类：核技术工业应用。</w:t>
      </w:r>
    </w:p>
    <w:p w14:paraId="4D6CC882">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3、投标单位需具有近5年已完成同等规模的职业病危害控制效果评价业绩，并提供相关业绩证明,须提供</w:t>
      </w:r>
      <w:r>
        <w:rPr>
          <w:rFonts w:hint="eastAsia" w:ascii="宋体" w:hAnsi="宋体" w:eastAsia="宋体" w:cs="宋体"/>
          <w:sz w:val="24"/>
          <w:szCs w:val="24"/>
        </w:rPr>
        <w:t>项目合同复印件、</w:t>
      </w:r>
      <w:r>
        <w:rPr>
          <w:rFonts w:hint="eastAsia" w:ascii="宋体" w:hAnsi="宋体" w:eastAsia="宋体" w:cs="宋体"/>
          <w:sz w:val="24"/>
          <w:szCs w:val="24"/>
          <w:lang w:eastAsia="zh-CN"/>
        </w:rPr>
        <w:t>评价</w:t>
      </w:r>
      <w:r>
        <w:rPr>
          <w:rFonts w:hint="eastAsia" w:ascii="宋体" w:hAnsi="宋体" w:eastAsia="宋体" w:cs="宋体"/>
          <w:sz w:val="24"/>
          <w:szCs w:val="24"/>
        </w:rPr>
        <w:t>报告（至少包含首页、签署页）</w:t>
      </w:r>
      <w:r>
        <w:rPr>
          <w:rFonts w:hint="eastAsia" w:ascii="宋体" w:hAnsi="宋体" w:eastAsia="宋体" w:cs="宋体"/>
          <w:sz w:val="24"/>
          <w:szCs w:val="24"/>
          <w:lang w:eastAsia="zh-CN"/>
        </w:rPr>
        <w:t>等</w:t>
      </w:r>
      <w:r>
        <w:rPr>
          <w:rFonts w:hint="eastAsia" w:ascii="宋体" w:hAnsi="宋体" w:eastAsia="宋体" w:cs="宋体"/>
          <w:sz w:val="24"/>
          <w:szCs w:val="24"/>
        </w:rPr>
        <w:t>证明材料</w:t>
      </w:r>
      <w:r>
        <w:rPr>
          <w:rFonts w:hint="eastAsia" w:ascii="宋体" w:hAnsi="宋体" w:eastAsia="宋体" w:cs="宋体"/>
          <w:sz w:val="24"/>
          <w:szCs w:val="24"/>
          <w:lang w:eastAsia="zh-CN"/>
        </w:rPr>
        <w:t>。</w:t>
      </w:r>
    </w:p>
    <w:p w14:paraId="5F93833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4、投标单位须具有相应的检测能力并提供检测资质证明材料。</w:t>
      </w:r>
    </w:p>
    <w:p w14:paraId="681A7CB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i w:val="0"/>
          <w:iCs w:val="0"/>
          <w:caps w:val="0"/>
          <w:color w:val="000000"/>
          <w:spacing w:val="0"/>
          <w:kern w:val="0"/>
          <w:sz w:val="24"/>
          <w:szCs w:val="24"/>
          <w:shd w:val="clear" w:fill="FFFFFF"/>
          <w:lang w:val="en-US" w:eastAsia="zh-CN" w:bidi="ar"/>
        </w:rPr>
        <w:t>处于被责令停业或投标资格被取消或财产被接管、冻结、查封、破产等权利受限导致不能正常履约状态的投标人，不得参加投标。</w:t>
      </w:r>
    </w:p>
    <w:p w14:paraId="118E289D">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6、以上条款均为否决项，不满足其中任何一项，投标将被拒绝。</w:t>
      </w:r>
    </w:p>
    <w:p w14:paraId="487AF095">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（二）技术要求</w:t>
      </w:r>
    </w:p>
    <w:p w14:paraId="6041CB95">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1、投标单位须准确掌握职业病危害评价、验收等国家相关法律法规要求，涉及到现场调查的需按法律法规要求开展。</w:t>
      </w:r>
    </w:p>
    <w:p w14:paraId="66836B88">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2、投标单位须成立评价工作组，对我司进行资料审查、现场调查、编制检测方案，开展现场检测，形成评价报告，召开专家评审会议，形成评审意见，并按专家意见进行修改。</w:t>
      </w:r>
    </w:p>
    <w:p w14:paraId="4EF835F0">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3、投标单位需按法律法规要求开展工作，检测点位需包括所有工作场所、覆盖所有工种，不得漏项漏点。检测前需编制检测方案，经我司审核通过后方可开展现场检测工作。</w:t>
      </w:r>
      <w:r>
        <w:rPr>
          <w:rFonts w:hint="eastAsia" w:ascii="宋体" w:hAnsi="宋体" w:eastAsia="宋体" w:cs="宋体"/>
          <w:sz w:val="24"/>
          <w:szCs w:val="24"/>
        </w:rPr>
        <w:t>现场检测设备需为防爆设备</w:t>
      </w:r>
      <w:r>
        <w:rPr>
          <w:rFonts w:hint="eastAsia" w:ascii="宋体" w:hAnsi="宋体" w:eastAsia="宋体" w:cs="宋体"/>
          <w:sz w:val="24"/>
          <w:szCs w:val="24"/>
          <w:lang w:eastAsia="zh-CN"/>
        </w:rPr>
        <w:t>。</w:t>
      </w:r>
    </w:p>
    <w:p w14:paraId="23DB3014">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4、投标单位负责组织召开专家评审会，评审期间，涉及的参会人员交通费、住宿费、伙食费、会议费、专家费等所有费用由投标单位负责。</w:t>
      </w:r>
    </w:p>
    <w:p w14:paraId="331F8687">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color w:val="000000"/>
          <w:sz w:val="24"/>
          <w:szCs w:val="24"/>
        </w:rPr>
        <w:t>需</w:t>
      </w:r>
      <w:r>
        <w:rPr>
          <w:rFonts w:hint="eastAsia" w:ascii="宋体" w:hAnsi="宋体" w:eastAsia="宋体" w:cs="宋体"/>
          <w:color w:val="000000"/>
          <w:sz w:val="24"/>
          <w:szCs w:val="24"/>
          <w:lang w:eastAsia="zh-CN"/>
        </w:rPr>
        <w:t>按项目</w:t>
      </w:r>
      <w:r>
        <w:rPr>
          <w:rFonts w:hint="eastAsia" w:ascii="宋体" w:hAnsi="宋体" w:eastAsia="宋体" w:cs="宋体"/>
          <w:color w:val="000000"/>
          <w:sz w:val="24"/>
          <w:szCs w:val="24"/>
        </w:rPr>
        <w:t>出具对应的</w:t>
      </w:r>
      <w:r>
        <w:rPr>
          <w:rFonts w:hint="eastAsia" w:ascii="宋体" w:hAnsi="宋体" w:eastAsia="宋体" w:cs="宋体"/>
          <w:sz w:val="24"/>
          <w:szCs w:val="24"/>
          <w:lang w:val="en-US" w:eastAsia="zh-CN"/>
        </w:rPr>
        <w:t>评价</w:t>
      </w:r>
      <w:r>
        <w:rPr>
          <w:rFonts w:hint="eastAsia" w:ascii="宋体" w:hAnsi="宋体" w:eastAsia="宋体" w:cs="宋体"/>
          <w:sz w:val="24"/>
          <w:szCs w:val="24"/>
        </w:rPr>
        <w:t>报告 (装订成册)</w:t>
      </w:r>
      <w:r>
        <w:rPr>
          <w:rFonts w:hint="eastAsia" w:ascii="宋体" w:hAnsi="宋体" w:cs="宋体"/>
          <w:sz w:val="24"/>
          <w:szCs w:val="24"/>
          <w:lang w:val="en-US" w:eastAsia="zh-CN"/>
        </w:rPr>
        <w:t>10</w:t>
      </w:r>
      <w:r>
        <w:rPr>
          <w:rFonts w:hint="eastAsia" w:ascii="宋体" w:hAnsi="宋体" w:eastAsia="宋体" w:cs="宋体"/>
          <w:sz w:val="24"/>
          <w:szCs w:val="24"/>
        </w:rPr>
        <w:t>份，电子档</w:t>
      </w:r>
      <w:r>
        <w:rPr>
          <w:rFonts w:hint="eastAsia" w:ascii="宋体" w:hAnsi="宋体" w:eastAsia="宋体" w:cs="宋体"/>
          <w:sz w:val="24"/>
          <w:szCs w:val="24"/>
          <w:lang w:val="en-US" w:eastAsia="zh-CN"/>
        </w:rPr>
        <w:t>PDF和word各</w:t>
      </w:r>
      <w:r>
        <w:rPr>
          <w:rFonts w:hint="eastAsia" w:ascii="宋体" w:hAnsi="宋体" w:eastAsia="宋体" w:cs="宋体"/>
          <w:sz w:val="24"/>
          <w:szCs w:val="24"/>
        </w:rPr>
        <w:t>1份。</w:t>
      </w:r>
    </w:p>
    <w:p w14:paraId="34C1056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6、投标单位至我司现场开展工作时需规范着装，遵守我司相关管理制度，入厂检测人员需经三级教育培训取得入厂证后方可进厂检测（办证时需提供</w:t>
      </w:r>
      <w:r>
        <w:rPr>
          <w:rFonts w:hint="eastAsia" w:ascii="宋体" w:hAnsi="宋体" w:cs="宋体"/>
          <w:b w:val="0"/>
          <w:bCs w:val="0"/>
          <w:sz w:val="24"/>
          <w:szCs w:val="24"/>
          <w:lang w:val="en-US" w:eastAsia="zh-CN"/>
        </w:rPr>
        <w:t>工伤险或</w:t>
      </w:r>
      <w:r>
        <w:rPr>
          <w:rFonts w:hint="eastAsia" w:ascii="宋体" w:hAnsi="宋体" w:eastAsia="宋体" w:cs="宋体"/>
          <w:b w:val="0"/>
          <w:bCs w:val="0"/>
          <w:sz w:val="24"/>
          <w:szCs w:val="24"/>
          <w:lang w:val="en-US" w:eastAsia="zh-CN"/>
        </w:rPr>
        <w:t>施工意外伤害保险责任额度不低于100万/人）。检测人员的交通费、住宿费、伙食费、劳动保护（安全帽、安全鞋、工作服）、辅助材料等费用均由投标单位承担。</w:t>
      </w:r>
    </w:p>
    <w:p w14:paraId="173425C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kern w:val="0"/>
          <w:sz w:val="24"/>
          <w:szCs w:val="24"/>
        </w:rPr>
        <w:t>由业主提供给的文件、资料和数据，</w:t>
      </w:r>
      <w:r>
        <w:rPr>
          <w:rFonts w:hint="eastAsia" w:ascii="宋体" w:hAnsi="宋体" w:eastAsia="宋体" w:cs="宋体"/>
          <w:b w:val="0"/>
          <w:bCs w:val="0"/>
          <w:sz w:val="24"/>
          <w:szCs w:val="24"/>
          <w:lang w:val="en-US" w:eastAsia="zh-CN"/>
        </w:rPr>
        <w:t>投标单位</w:t>
      </w:r>
      <w:r>
        <w:rPr>
          <w:rFonts w:hint="eastAsia" w:ascii="宋体" w:hAnsi="宋体" w:eastAsia="宋体" w:cs="宋体"/>
          <w:kern w:val="0"/>
          <w:sz w:val="24"/>
          <w:szCs w:val="24"/>
        </w:rPr>
        <w:t>应当承担保密义务，未经业主同意，不得以任何形式向第三方透露。</w:t>
      </w:r>
    </w:p>
    <w:p w14:paraId="6F934E13">
      <w:pPr>
        <w:pStyle w:val="30"/>
        <w:spacing w:before="0" w:after="0" w:line="353"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（三）工期要求</w:t>
      </w:r>
    </w:p>
    <w:p w14:paraId="6B80FB9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由业主通知项目开始启动后</w:t>
      </w:r>
      <w:r>
        <w:rPr>
          <w:rFonts w:hint="eastAsia" w:ascii="宋体" w:hAnsi="宋体" w:eastAsia="宋体" w:cs="宋体"/>
          <w:color w:val="000000"/>
          <w:sz w:val="24"/>
          <w:szCs w:val="24"/>
          <w:lang w:val="en-US" w:eastAsia="zh-CN"/>
        </w:rPr>
        <w:t>3个月内出具评价报告初稿，4个月内完成验收</w:t>
      </w:r>
      <w:r>
        <w:rPr>
          <w:rFonts w:hint="eastAsia" w:ascii="宋体" w:hAnsi="宋体" w:eastAsia="宋体" w:cs="宋体"/>
          <w:color w:val="000000"/>
          <w:sz w:val="24"/>
          <w:szCs w:val="24"/>
        </w:rPr>
        <w:t>。</w:t>
      </w:r>
    </w:p>
    <w:p w14:paraId="454D6BB0">
      <w:pPr>
        <w:spacing w:line="360" w:lineRule="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（四）项目验收说明</w:t>
      </w:r>
    </w:p>
    <w:p w14:paraId="5889F0A3">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技术工作验收标准：编制的报告、职业病防护设施通过专家评审视为合格。</w:t>
      </w:r>
    </w:p>
    <w:p w14:paraId="172AA787">
      <w:pPr>
        <w:numPr>
          <w:ilvl w:val="0"/>
          <w:numId w:val="0"/>
        </w:numPr>
        <w:autoSpaceDE w:val="0"/>
        <w:autoSpaceDN w:val="0"/>
        <w:adjustRightInd w:val="0"/>
        <w:spacing w:line="360" w:lineRule="auto"/>
        <w:ind w:leftChars="0"/>
        <w:jc w:val="left"/>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报价要求</w:t>
      </w:r>
      <w:bookmarkStart w:id="0" w:name="_GoBack"/>
      <w:bookmarkEnd w:id="0"/>
    </w:p>
    <w:p w14:paraId="5141B29B">
      <w:pPr>
        <w:numPr>
          <w:ilvl w:val="0"/>
          <w:numId w:val="0"/>
        </w:numPr>
        <w:autoSpaceDE w:val="0"/>
        <w:autoSpaceDN w:val="0"/>
        <w:adjustRightInd w:val="0"/>
        <w:spacing w:line="360" w:lineRule="auto"/>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按项目进行报价。</w:t>
      </w:r>
    </w:p>
    <w:tbl>
      <w:tblPr>
        <w:tblStyle w:val="11"/>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695"/>
      </w:tblGrid>
      <w:tr w14:paraId="6DE8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0CBFC0D9">
            <w:pPr>
              <w:spacing w:line="360" w:lineRule="auto"/>
              <w:jc w:val="center"/>
              <w:rPr>
                <w:rFonts w:hint="eastAsia" w:ascii="宋体" w:hAnsi="宋体" w:eastAsia="宋体" w:cs="宋体"/>
                <w:b/>
                <w:bCs w:val="0"/>
                <w:color w:val="000000"/>
                <w:sz w:val="24"/>
                <w:szCs w:val="24"/>
                <w:vertAlign w:val="baseline"/>
                <w:lang w:eastAsia="zh-CN"/>
              </w:rPr>
            </w:pPr>
            <w:r>
              <w:rPr>
                <w:rFonts w:hint="eastAsia" w:ascii="宋体" w:hAnsi="宋体" w:eastAsia="宋体" w:cs="宋体"/>
                <w:b/>
                <w:bCs w:val="0"/>
                <w:color w:val="000000"/>
                <w:sz w:val="24"/>
                <w:szCs w:val="24"/>
                <w:vertAlign w:val="baseline"/>
                <w:lang w:eastAsia="zh-CN"/>
              </w:rPr>
              <w:t>序号</w:t>
            </w:r>
          </w:p>
        </w:tc>
        <w:tc>
          <w:tcPr>
            <w:tcW w:w="6695" w:type="dxa"/>
          </w:tcPr>
          <w:p w14:paraId="54CAEF75">
            <w:pPr>
              <w:spacing w:line="360" w:lineRule="auto"/>
              <w:jc w:val="center"/>
              <w:rPr>
                <w:rFonts w:hint="eastAsia" w:ascii="宋体" w:hAnsi="宋体" w:eastAsia="宋体" w:cs="宋体"/>
                <w:b/>
                <w:bCs w:val="0"/>
                <w:color w:val="000000"/>
                <w:sz w:val="24"/>
                <w:szCs w:val="24"/>
                <w:vertAlign w:val="baseline"/>
                <w:lang w:eastAsia="zh-CN"/>
              </w:rPr>
            </w:pPr>
            <w:r>
              <w:rPr>
                <w:rFonts w:hint="eastAsia" w:ascii="宋体" w:hAnsi="宋体" w:eastAsia="宋体" w:cs="宋体"/>
                <w:b/>
                <w:bCs w:val="0"/>
                <w:color w:val="000000"/>
                <w:sz w:val="24"/>
                <w:szCs w:val="24"/>
                <w:vertAlign w:val="baseline"/>
                <w:lang w:eastAsia="zh-CN"/>
              </w:rPr>
              <w:t>项目</w:t>
            </w:r>
          </w:p>
        </w:tc>
      </w:tr>
      <w:tr w14:paraId="1957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F19490C">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6695" w:type="dxa"/>
          </w:tcPr>
          <w:p w14:paraId="5ED32592">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福海创沸腾床加氢装置</w:t>
            </w:r>
          </w:p>
        </w:tc>
      </w:tr>
      <w:tr w14:paraId="4BA1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44515DF6">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6695" w:type="dxa"/>
          </w:tcPr>
          <w:p w14:paraId="6AF5BDE6">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福海创公用工程（新建储罐、循环水站、除盐水站及管廊等）</w:t>
            </w:r>
          </w:p>
        </w:tc>
      </w:tr>
      <w:tr w14:paraId="53F7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75301ECD">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6695" w:type="dxa"/>
          </w:tcPr>
          <w:p w14:paraId="5A60A9E6">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腾龙芳烃新建硫磺回收装置</w:t>
            </w:r>
          </w:p>
        </w:tc>
      </w:tr>
    </w:tbl>
    <w:p w14:paraId="2FA812F0">
      <w:pPr>
        <w:spacing w:line="360" w:lineRule="auto"/>
        <w:jc w:val="right"/>
        <w:rPr>
          <w:rFonts w:hint="eastAsia" w:ascii="宋体" w:hAnsi="宋体" w:eastAsia="宋体" w:cs="宋体"/>
          <w:sz w:val="24"/>
          <w:szCs w:val="24"/>
        </w:rPr>
      </w:pPr>
      <w:r>
        <w:rPr>
          <w:rFonts w:hint="eastAsia" w:ascii="宋体" w:hAnsi="宋体" w:eastAsia="宋体" w:cs="宋体"/>
          <w:sz w:val="24"/>
          <w:szCs w:val="24"/>
        </w:rPr>
        <w:t>福建福海创石油化工有限公司</w:t>
      </w:r>
    </w:p>
    <w:p w14:paraId="4432C8C4">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2025年4月10日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22181"/>
    <w:multiLevelType w:val="singleLevel"/>
    <w:tmpl w:val="EA2221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4E"/>
    <w:rsid w:val="00010FD8"/>
    <w:rsid w:val="00057139"/>
    <w:rsid w:val="0008661B"/>
    <w:rsid w:val="000D32EA"/>
    <w:rsid w:val="000F26E3"/>
    <w:rsid w:val="000F4AB7"/>
    <w:rsid w:val="00114AAB"/>
    <w:rsid w:val="001314C5"/>
    <w:rsid w:val="0014247C"/>
    <w:rsid w:val="00144043"/>
    <w:rsid w:val="001922A9"/>
    <w:rsid w:val="00203672"/>
    <w:rsid w:val="00257C87"/>
    <w:rsid w:val="0028467B"/>
    <w:rsid w:val="002A1894"/>
    <w:rsid w:val="002B5A84"/>
    <w:rsid w:val="002B7A45"/>
    <w:rsid w:val="00336CF6"/>
    <w:rsid w:val="00367FA1"/>
    <w:rsid w:val="003C6F4A"/>
    <w:rsid w:val="00420E71"/>
    <w:rsid w:val="004753DD"/>
    <w:rsid w:val="004F73A2"/>
    <w:rsid w:val="005132C6"/>
    <w:rsid w:val="00553359"/>
    <w:rsid w:val="005A765B"/>
    <w:rsid w:val="00671C6B"/>
    <w:rsid w:val="00672437"/>
    <w:rsid w:val="00691948"/>
    <w:rsid w:val="006C5AEE"/>
    <w:rsid w:val="00753C5B"/>
    <w:rsid w:val="007A36F0"/>
    <w:rsid w:val="007C476B"/>
    <w:rsid w:val="007C4902"/>
    <w:rsid w:val="00811556"/>
    <w:rsid w:val="008361AB"/>
    <w:rsid w:val="008C3878"/>
    <w:rsid w:val="0093214E"/>
    <w:rsid w:val="009816D5"/>
    <w:rsid w:val="009F3426"/>
    <w:rsid w:val="00A31D53"/>
    <w:rsid w:val="00A337F5"/>
    <w:rsid w:val="00AF2764"/>
    <w:rsid w:val="00B06EB4"/>
    <w:rsid w:val="00B63B7F"/>
    <w:rsid w:val="00B945D9"/>
    <w:rsid w:val="00C40D6A"/>
    <w:rsid w:val="00C628BF"/>
    <w:rsid w:val="00C969C9"/>
    <w:rsid w:val="00CD77E4"/>
    <w:rsid w:val="00D01747"/>
    <w:rsid w:val="00D144A0"/>
    <w:rsid w:val="00D349F4"/>
    <w:rsid w:val="00D34EB6"/>
    <w:rsid w:val="00D35359"/>
    <w:rsid w:val="00D52CDA"/>
    <w:rsid w:val="00D60059"/>
    <w:rsid w:val="00DA027D"/>
    <w:rsid w:val="00DA2BE4"/>
    <w:rsid w:val="00E35173"/>
    <w:rsid w:val="00E44E30"/>
    <w:rsid w:val="00E63ADF"/>
    <w:rsid w:val="00E87727"/>
    <w:rsid w:val="00F00908"/>
    <w:rsid w:val="00F253B5"/>
    <w:rsid w:val="014F6641"/>
    <w:rsid w:val="02285819"/>
    <w:rsid w:val="0AA3501D"/>
    <w:rsid w:val="0DD028B8"/>
    <w:rsid w:val="189C7F66"/>
    <w:rsid w:val="21470C8B"/>
    <w:rsid w:val="223034CD"/>
    <w:rsid w:val="27D60667"/>
    <w:rsid w:val="2B345DDC"/>
    <w:rsid w:val="2CD116D3"/>
    <w:rsid w:val="2E74510D"/>
    <w:rsid w:val="33AB32FB"/>
    <w:rsid w:val="34452E08"/>
    <w:rsid w:val="34DA0BF7"/>
    <w:rsid w:val="35847960"/>
    <w:rsid w:val="36475422"/>
    <w:rsid w:val="38DE1A7D"/>
    <w:rsid w:val="39F37A39"/>
    <w:rsid w:val="3B2C4D22"/>
    <w:rsid w:val="3C410359"/>
    <w:rsid w:val="444906F3"/>
    <w:rsid w:val="47280A93"/>
    <w:rsid w:val="4B2C0426"/>
    <w:rsid w:val="4C9E7102"/>
    <w:rsid w:val="4FCB6ECC"/>
    <w:rsid w:val="52272A53"/>
    <w:rsid w:val="52BA4D09"/>
    <w:rsid w:val="543C0CCD"/>
    <w:rsid w:val="57455501"/>
    <w:rsid w:val="5AED68C9"/>
    <w:rsid w:val="5D080115"/>
    <w:rsid w:val="63343EC4"/>
    <w:rsid w:val="69E46644"/>
    <w:rsid w:val="6AF723A7"/>
    <w:rsid w:val="6C666467"/>
    <w:rsid w:val="6DB755EC"/>
    <w:rsid w:val="6E5F4023"/>
    <w:rsid w:val="71B52674"/>
    <w:rsid w:val="74251D33"/>
    <w:rsid w:val="751D2A0A"/>
    <w:rsid w:val="77D575CC"/>
    <w:rsid w:val="799E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9"/>
    <w:semiHidden/>
    <w:unhideWhenUsed/>
    <w:qFormat/>
    <w:uiPriority w:val="99"/>
    <w:rPr>
      <w:b/>
      <w:bCs/>
    </w:rPr>
  </w:style>
  <w:style w:type="table" w:styleId="11">
    <w:name w:val="Table Grid"/>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383838"/>
      <w:u w:val="none"/>
    </w:rPr>
  </w:style>
  <w:style w:type="character" w:styleId="16">
    <w:name w:val="annotation reference"/>
    <w:basedOn w:val="12"/>
    <w:semiHidden/>
    <w:unhideWhenUsed/>
    <w:qFormat/>
    <w:uiPriority w:val="99"/>
    <w:rPr>
      <w:sz w:val="21"/>
      <w:szCs w:val="21"/>
    </w:rPr>
  </w:style>
  <w:style w:type="character" w:customStyle="1" w:styleId="17">
    <w:name w:val="标题 1 Char"/>
    <w:basedOn w:val="12"/>
    <w:link w:val="2"/>
    <w:qFormat/>
    <w:uiPriority w:val="99"/>
    <w:rPr>
      <w:rFonts w:ascii="Times New Roman" w:hAnsi="Times New Roman" w:eastAsia="宋体" w:cs="Times New Roman"/>
      <w:b/>
      <w:bCs/>
      <w:kern w:val="44"/>
      <w:sz w:val="44"/>
      <w:szCs w:val="44"/>
    </w:rPr>
  </w:style>
  <w:style w:type="character" w:customStyle="1" w:styleId="18">
    <w:name w:val="批注文字 Char"/>
    <w:basedOn w:val="12"/>
    <w:link w:val="3"/>
    <w:semiHidden/>
    <w:qFormat/>
    <w:uiPriority w:val="99"/>
    <w:rPr>
      <w:rFonts w:ascii="Times New Roman" w:hAnsi="Times New Roman" w:eastAsia="宋体" w:cs="Times New Roman"/>
      <w:szCs w:val="24"/>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日期 Char"/>
    <w:basedOn w:val="12"/>
    <w:link w:val="4"/>
    <w:semiHidden/>
    <w:qFormat/>
    <w:uiPriority w:val="99"/>
    <w:rPr>
      <w:rFonts w:ascii="Times New Roman" w:hAnsi="Times New Roman" w:eastAsia="宋体" w:cs="Times New Roman"/>
      <w:szCs w:val="24"/>
    </w:rPr>
  </w:style>
  <w:style w:type="character" w:customStyle="1" w:styleId="21">
    <w:name w:val="页脚 Char"/>
    <w:basedOn w:val="12"/>
    <w:link w:val="6"/>
    <w:qFormat/>
    <w:uiPriority w:val="99"/>
    <w:rPr>
      <w:rFonts w:ascii="Times New Roman" w:hAnsi="Times New Roman" w:eastAsia="宋体" w:cs="Times New Roman"/>
      <w:sz w:val="18"/>
      <w:szCs w:val="18"/>
    </w:rPr>
  </w:style>
  <w:style w:type="character" w:customStyle="1" w:styleId="22">
    <w:name w:val="页眉 Char"/>
    <w:basedOn w:val="12"/>
    <w:link w:val="7"/>
    <w:qFormat/>
    <w:uiPriority w:val="99"/>
    <w:rPr>
      <w:rFonts w:ascii="Times New Roman" w:hAnsi="Times New Roman" w:eastAsia="宋体" w:cs="Times New Roman"/>
      <w:sz w:val="18"/>
      <w:szCs w:val="18"/>
    </w:rPr>
  </w:style>
  <w:style w:type="paragraph" w:styleId="23">
    <w:name w:val="Quote"/>
    <w:basedOn w:val="1"/>
    <w:next w:val="1"/>
    <w:link w:val="24"/>
    <w:qFormat/>
    <w:uiPriority w:val="29"/>
    <w:rPr>
      <w:i/>
      <w:iCs/>
      <w:color w:val="000000"/>
    </w:rPr>
  </w:style>
  <w:style w:type="character" w:customStyle="1" w:styleId="24">
    <w:name w:val="引用 Char"/>
    <w:basedOn w:val="12"/>
    <w:link w:val="23"/>
    <w:qFormat/>
    <w:uiPriority w:val="29"/>
    <w:rPr>
      <w:rFonts w:ascii="Times New Roman" w:hAnsi="Times New Roman" w:eastAsia="宋体" w:cs="Times New Roman"/>
      <w:i/>
      <w:iCs/>
      <w:color w:val="000000"/>
      <w:szCs w:val="24"/>
    </w:rPr>
  </w:style>
  <w:style w:type="character" w:customStyle="1" w:styleId="25">
    <w:name w:val="x1w748wuq7"/>
    <w:basedOn w:val="12"/>
    <w:qFormat/>
    <w:uiPriority w:val="0"/>
  </w:style>
  <w:style w:type="character" w:customStyle="1" w:styleId="26">
    <w:name w:val="qv6g13a"/>
    <w:basedOn w:val="12"/>
    <w:qFormat/>
    <w:uiPriority w:val="0"/>
  </w:style>
  <w:style w:type="character" w:customStyle="1" w:styleId="27">
    <w:name w:val="svbjpls8"/>
    <w:basedOn w:val="12"/>
    <w:qFormat/>
    <w:uiPriority w:val="0"/>
  </w:style>
  <w:style w:type="paragraph" w:styleId="28">
    <w:name w:val="List Paragraph"/>
    <w:basedOn w:val="1"/>
    <w:qFormat/>
    <w:uiPriority w:val="99"/>
    <w:pPr>
      <w:ind w:firstLine="420" w:firstLineChars="200"/>
    </w:pPr>
  </w:style>
  <w:style w:type="character" w:customStyle="1" w:styleId="29">
    <w:name w:val="批注主题 Char"/>
    <w:basedOn w:val="18"/>
    <w:link w:val="9"/>
    <w:semiHidden/>
    <w:qFormat/>
    <w:uiPriority w:val="99"/>
    <w:rPr>
      <w:rFonts w:ascii="Times New Roman" w:hAnsi="Times New Roman" w:eastAsia="宋体" w:cs="Times New Roman"/>
      <w:b/>
      <w:bCs/>
      <w:szCs w:val="24"/>
    </w:rPr>
  </w:style>
  <w:style w:type="paragraph" w:customStyle="1" w:styleId="30">
    <w:name w:val="Normal_2"/>
    <w:qFormat/>
    <w:uiPriority w:val="0"/>
    <w:pPr>
      <w:spacing w:before="120" w:after="240"/>
      <w:jc w:val="both"/>
    </w:pPr>
    <w:rPr>
      <w:rFonts w:ascii="Times New Roman" w:hAnsi="Times New Roman" w:eastAsia="Times New Roman"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1446</Words>
  <Characters>1497</Characters>
  <Lines>40</Lines>
  <Paragraphs>11</Paragraphs>
  <TotalTime>32</TotalTime>
  <ScaleCrop>false</ScaleCrop>
  <LinksUpToDate>false</LinksUpToDate>
  <CharactersWithSpaces>1536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2024-08-02T07:48:00Z</dcterms:created>
  <dc:creator>Administrator</dc:creator>
  <cp:lastModifiedBy>嗒凌</cp:lastModifiedBy>
  <cp:lastPrinted>2025-04-07T07:35:00Z</cp:lastPrinted>
  <dcterms:modified xsi:type="dcterms:W3CDTF">2025-07-07T07:17:59Z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eyJoZGlkIjoiMzE2MWVlOTZhMTNkOTU3NGI0YmI0NjJjMjJjYzJkZjMiLCJ1c2VySWQiOiI3NDk3MjE5ODcifQ==</vt:lpwstr>
  </property>
  <property fmtid="{D5CDD505-2E9C-101B-9397-08002B2CF9AE}" pid="3" name="KSOProductBuildVer">
    <vt:lpwstr>2052-12.1.0.21915</vt:lpwstr>
  </property>
  <property fmtid="{D5CDD505-2E9C-101B-9397-08002B2CF9AE}" pid="4" name="ICV">
    <vt:lpwstr>DA6CCB7AAE1249EC8EAF9456569FFA33_13</vt:lpwstr>
  </property>
</Properties>
</file>