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20"/>
        <w:rPr>
          <w:rFonts w:ascii="仿宋" w:hAnsi="仿宋" w:eastAsia="仿宋"/>
          <w:color w:val="auto"/>
          <w:sz w:val="20"/>
          <w:highlight w:val="none"/>
          <w:lang w:eastAsia="zh-CN"/>
        </w:rPr>
      </w:pPr>
    </w:p>
    <w:p w14:paraId="4422970F">
      <w:pPr>
        <w:pStyle w:val="20"/>
        <w:rPr>
          <w:rFonts w:ascii="仿宋" w:hAnsi="仿宋" w:eastAsia="仿宋"/>
          <w:color w:val="auto"/>
          <w:sz w:val="20"/>
          <w:highlight w:val="none"/>
        </w:rPr>
      </w:pPr>
    </w:p>
    <w:p w14:paraId="7E09FF86">
      <w:pPr>
        <w:pStyle w:val="20"/>
        <w:rPr>
          <w:rFonts w:ascii="仿宋" w:hAnsi="仿宋" w:eastAsia="仿宋"/>
          <w:color w:val="auto"/>
          <w:sz w:val="20"/>
          <w:highlight w:val="none"/>
        </w:rPr>
      </w:pPr>
    </w:p>
    <w:p w14:paraId="609CB927">
      <w:pPr>
        <w:pStyle w:val="20"/>
        <w:rPr>
          <w:rFonts w:ascii="仿宋" w:hAnsi="仿宋" w:eastAsia="仿宋"/>
          <w:color w:val="auto"/>
          <w:sz w:val="20"/>
          <w:highlight w:val="none"/>
        </w:rPr>
      </w:pPr>
    </w:p>
    <w:p w14:paraId="77780892">
      <w:pPr>
        <w:pStyle w:val="20"/>
        <w:rPr>
          <w:rFonts w:ascii="仿宋" w:hAnsi="仿宋" w:eastAsia="仿宋"/>
          <w:color w:val="auto"/>
          <w:sz w:val="20"/>
          <w:highlight w:val="none"/>
        </w:rPr>
      </w:pPr>
    </w:p>
    <w:p w14:paraId="52EDCF76">
      <w:pPr>
        <w:pStyle w:val="20"/>
        <w:spacing w:before="5"/>
        <w:rPr>
          <w:rFonts w:ascii="仿宋" w:hAnsi="仿宋" w:eastAsia="仿宋"/>
          <w:color w:val="auto"/>
          <w:sz w:val="20"/>
          <w:highlight w:val="none"/>
        </w:rPr>
      </w:pPr>
    </w:p>
    <w:p w14:paraId="083CB69D">
      <w:pPr>
        <w:pStyle w:val="20"/>
        <w:jc w:val="center"/>
        <w:rPr>
          <w:rFonts w:ascii="仿宋" w:hAnsi="仿宋" w:eastAsia="仿宋"/>
          <w:b/>
          <w:color w:val="auto"/>
          <w:sz w:val="52"/>
          <w:szCs w:val="22"/>
          <w:highlight w:val="none"/>
          <w:u w:val="single"/>
          <w:lang w:eastAsia="zh-CN"/>
        </w:rPr>
      </w:pPr>
      <w:r>
        <w:rPr>
          <w:rFonts w:hint="eastAsia" w:ascii="仿宋" w:hAnsi="仿宋" w:eastAsia="仿宋"/>
          <w:b/>
          <w:color w:val="auto"/>
          <w:sz w:val="52"/>
          <w:szCs w:val="22"/>
          <w:highlight w:val="none"/>
          <w:u w:val="single"/>
          <w:lang w:eastAsia="zh-CN"/>
        </w:rPr>
        <w:t>福建福海创石油化工有限公司</w:t>
      </w:r>
    </w:p>
    <w:p w14:paraId="6E6F6E6B">
      <w:pPr>
        <w:pStyle w:val="20"/>
        <w:jc w:val="center"/>
        <w:rPr>
          <w:rFonts w:ascii="仿宋" w:hAnsi="仿宋" w:eastAsia="仿宋"/>
          <w:b/>
          <w:color w:val="auto"/>
          <w:sz w:val="52"/>
          <w:szCs w:val="22"/>
          <w:highlight w:val="none"/>
          <w:u w:val="single"/>
          <w:lang w:eastAsia="zh-CN"/>
        </w:rPr>
      </w:pPr>
    </w:p>
    <w:p w14:paraId="43EC0059">
      <w:pPr>
        <w:pStyle w:val="20"/>
        <w:jc w:val="center"/>
        <w:rPr>
          <w:rFonts w:ascii="仿宋" w:hAnsi="仿宋" w:eastAsia="仿宋"/>
          <w:b/>
          <w:color w:val="auto"/>
          <w:sz w:val="44"/>
          <w:szCs w:val="44"/>
          <w:highlight w:val="none"/>
          <w:u w:val="single"/>
          <w:lang w:eastAsia="zh-CN"/>
        </w:rPr>
      </w:pPr>
      <w:r>
        <w:rPr>
          <w:rFonts w:hint="eastAsia" w:ascii="仿宋" w:hAnsi="仿宋" w:eastAsia="仿宋"/>
          <w:b/>
          <w:color w:val="auto"/>
          <w:sz w:val="44"/>
          <w:szCs w:val="44"/>
          <w:highlight w:val="none"/>
          <w:u w:val="single"/>
          <w:lang w:val="en-US" w:eastAsia="zh-CN"/>
        </w:rPr>
        <w:t>开展生产船燃的进料加工业务服务出具专业报告</w:t>
      </w:r>
      <w:r>
        <w:rPr>
          <w:rFonts w:hint="eastAsia" w:ascii="仿宋" w:hAnsi="仿宋" w:eastAsia="仿宋"/>
          <w:b/>
          <w:color w:val="auto"/>
          <w:sz w:val="44"/>
          <w:szCs w:val="44"/>
          <w:highlight w:val="none"/>
          <w:u w:val="single"/>
          <w:lang w:eastAsia="zh-CN"/>
        </w:rPr>
        <w:t>项目</w:t>
      </w:r>
    </w:p>
    <w:p w14:paraId="0194BC25">
      <w:pPr>
        <w:pStyle w:val="20"/>
        <w:jc w:val="center"/>
        <w:rPr>
          <w:rFonts w:ascii="仿宋" w:hAnsi="仿宋" w:eastAsia="仿宋"/>
          <w:b/>
          <w:color w:val="auto"/>
          <w:sz w:val="44"/>
          <w:szCs w:val="44"/>
          <w:highlight w:val="none"/>
          <w:u w:val="single"/>
          <w:lang w:eastAsia="zh-CN"/>
        </w:rPr>
      </w:pPr>
    </w:p>
    <w:p w14:paraId="4FD62B60">
      <w:pPr>
        <w:pStyle w:val="20"/>
        <w:jc w:val="center"/>
        <w:rPr>
          <w:rFonts w:ascii="仿宋" w:hAnsi="仿宋" w:eastAsia="仿宋"/>
          <w:b/>
          <w:color w:val="auto"/>
          <w:sz w:val="72"/>
          <w:szCs w:val="72"/>
          <w:highlight w:val="none"/>
          <w:u w:val="single"/>
          <w:lang w:eastAsia="zh-CN"/>
        </w:rPr>
      </w:pPr>
      <w:r>
        <w:rPr>
          <w:rFonts w:hint="eastAsia" w:ascii="仿宋" w:hAnsi="仿宋" w:eastAsia="仿宋"/>
          <w:b/>
          <w:color w:val="auto"/>
          <w:sz w:val="72"/>
          <w:szCs w:val="72"/>
          <w:highlight w:val="none"/>
          <w:u w:val="single"/>
          <w:lang w:eastAsia="zh-CN"/>
        </w:rPr>
        <w:t>询比采购文件</w:t>
      </w:r>
    </w:p>
    <w:p w14:paraId="73F45AFF">
      <w:pPr>
        <w:pStyle w:val="20"/>
        <w:jc w:val="center"/>
        <w:rPr>
          <w:rFonts w:ascii="仿宋" w:hAnsi="仿宋" w:eastAsia="仿宋"/>
          <w:color w:val="auto"/>
          <w:sz w:val="28"/>
          <w:szCs w:val="28"/>
          <w:highlight w:val="none"/>
          <w:lang w:eastAsia="zh-CN"/>
        </w:rPr>
      </w:pPr>
    </w:p>
    <w:p w14:paraId="05E9AD59">
      <w:pPr>
        <w:pStyle w:val="216"/>
        <w:shd w:val="clear" w:color="auto" w:fill="FFFFFF"/>
        <w:spacing w:before="30" w:beforeAutospacing="0" w:after="0" w:afterAutospacing="0"/>
        <w:ind w:left="120"/>
        <w:jc w:val="center"/>
        <w:rPr>
          <w:rFonts w:ascii="仿宋" w:hAnsi="仿宋" w:eastAsia="仿宋"/>
          <w:color w:val="auto"/>
          <w:sz w:val="32"/>
          <w:szCs w:val="32"/>
          <w:highlight w:val="none"/>
        </w:rPr>
      </w:pPr>
    </w:p>
    <w:p w14:paraId="664AE1EE">
      <w:pPr>
        <w:pStyle w:val="216"/>
        <w:shd w:val="clear" w:color="auto" w:fill="FFFFFF"/>
        <w:spacing w:before="30" w:beforeAutospacing="0" w:after="0" w:afterAutospacing="0"/>
        <w:ind w:left="12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（文件编号：</w:t>
      </w:r>
      <w:r>
        <w:rPr>
          <w:rFonts w:ascii="仿宋" w:hAnsi="仿宋" w:eastAsia="仿宋"/>
          <w:color w:val="auto"/>
          <w:sz w:val="32"/>
          <w:szCs w:val="32"/>
          <w:highlight w:val="none"/>
        </w:rPr>
        <w:t>PB250</w:t>
      </w:r>
      <w:r>
        <w:rPr>
          <w:rFonts w:hint="eastAsia" w:ascii="仿宋" w:hAnsi="仿宋" w:eastAsia="仿宋"/>
          <w:color w:val="auto"/>
          <w:sz w:val="32"/>
          <w:szCs w:val="32"/>
          <w:highlight w:val="none"/>
          <w:lang w:val="en-US" w:eastAsia="zh-CN"/>
        </w:rPr>
        <w:t>711000009</w:t>
      </w:r>
      <w:r>
        <w:rPr>
          <w:rFonts w:hint="eastAsia" w:ascii="仿宋" w:hAnsi="仿宋" w:eastAsia="仿宋"/>
          <w:color w:val="auto"/>
          <w:sz w:val="32"/>
          <w:szCs w:val="32"/>
          <w:highlight w:val="none"/>
        </w:rPr>
        <w:t>）</w:t>
      </w:r>
    </w:p>
    <w:p w14:paraId="61CA626B">
      <w:pPr>
        <w:pStyle w:val="20"/>
        <w:rPr>
          <w:rFonts w:ascii="仿宋" w:hAnsi="仿宋" w:eastAsia="仿宋"/>
          <w:b/>
          <w:color w:val="auto"/>
          <w:sz w:val="94"/>
          <w:highlight w:val="none"/>
          <w:lang w:eastAsia="zh-CN"/>
        </w:rPr>
      </w:pPr>
    </w:p>
    <w:p w14:paraId="2C2E7F7C">
      <w:pPr>
        <w:pStyle w:val="20"/>
        <w:rPr>
          <w:rFonts w:ascii="仿宋" w:hAnsi="仿宋" w:eastAsia="仿宋"/>
          <w:b/>
          <w:color w:val="auto"/>
          <w:sz w:val="94"/>
          <w:highlight w:val="none"/>
          <w:lang w:eastAsia="zh-CN"/>
        </w:rPr>
      </w:pPr>
    </w:p>
    <w:p w14:paraId="0EDD7F02">
      <w:pPr>
        <w:pStyle w:val="20"/>
        <w:rPr>
          <w:rFonts w:ascii="仿宋" w:hAnsi="仿宋" w:eastAsia="仿宋"/>
          <w:b/>
          <w:color w:val="auto"/>
          <w:sz w:val="32"/>
          <w:szCs w:val="32"/>
          <w:highlight w:val="none"/>
          <w:lang w:eastAsia="zh-CN"/>
        </w:rPr>
      </w:pPr>
    </w:p>
    <w:p w14:paraId="625E23BA">
      <w:pPr>
        <w:pStyle w:val="20"/>
        <w:rPr>
          <w:rFonts w:ascii="仿宋" w:hAnsi="仿宋" w:eastAsia="仿宋"/>
          <w:b/>
          <w:color w:val="auto"/>
          <w:sz w:val="32"/>
          <w:szCs w:val="32"/>
          <w:highlight w:val="none"/>
          <w:lang w:eastAsia="zh-CN"/>
        </w:rPr>
      </w:pPr>
    </w:p>
    <w:p w14:paraId="508D72A8">
      <w:pPr>
        <w:pStyle w:val="20"/>
        <w:rPr>
          <w:rFonts w:ascii="仿宋" w:hAnsi="仿宋" w:eastAsia="仿宋"/>
          <w:b/>
          <w:color w:val="auto"/>
          <w:sz w:val="32"/>
          <w:szCs w:val="32"/>
          <w:highlight w:val="none"/>
          <w:lang w:eastAsia="zh-CN"/>
        </w:rPr>
      </w:pPr>
    </w:p>
    <w:p w14:paraId="5D7479EF">
      <w:pPr>
        <w:pStyle w:val="20"/>
        <w:rPr>
          <w:rFonts w:ascii="仿宋" w:hAnsi="仿宋" w:eastAsia="仿宋"/>
          <w:b/>
          <w:color w:val="auto"/>
          <w:sz w:val="32"/>
          <w:szCs w:val="32"/>
          <w:highlight w:val="none"/>
          <w:lang w:eastAsia="zh-CN"/>
        </w:rPr>
      </w:pPr>
    </w:p>
    <w:p w14:paraId="5876BD09">
      <w:pPr>
        <w:pStyle w:val="20"/>
        <w:rPr>
          <w:rFonts w:ascii="仿宋" w:hAnsi="仿宋" w:eastAsia="仿宋"/>
          <w:b/>
          <w:color w:val="auto"/>
          <w:sz w:val="32"/>
          <w:szCs w:val="32"/>
          <w:highlight w:val="none"/>
          <w:lang w:eastAsia="zh-CN"/>
        </w:rPr>
      </w:pPr>
    </w:p>
    <w:p w14:paraId="22155F58">
      <w:pPr>
        <w:pStyle w:val="2"/>
        <w:jc w:val="center"/>
        <w:rPr>
          <w:rFonts w:ascii="仿宋" w:hAnsi="仿宋" w:eastAsia="仿宋"/>
          <w:b/>
          <w:color w:val="auto"/>
          <w:sz w:val="28"/>
          <w:szCs w:val="28"/>
          <w:highlight w:val="none"/>
        </w:rPr>
      </w:pPr>
    </w:p>
    <w:p w14:paraId="28F76EEA">
      <w:pPr>
        <w:pStyle w:val="2"/>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福建</w:t>
      </w:r>
      <w:r>
        <w:rPr>
          <w:rFonts w:ascii="仿宋" w:hAnsi="仿宋" w:eastAsia="仿宋"/>
          <w:b/>
          <w:color w:val="auto"/>
          <w:sz w:val="28"/>
          <w:szCs w:val="28"/>
          <w:highlight w:val="none"/>
        </w:rPr>
        <w:t>福海创石油化工有限公司</w:t>
      </w:r>
      <w:r>
        <w:rPr>
          <w:rFonts w:hint="eastAsia" w:ascii="仿宋" w:hAnsi="仿宋" w:eastAsia="仿宋"/>
          <w:b/>
          <w:color w:val="auto"/>
          <w:sz w:val="28"/>
          <w:szCs w:val="28"/>
          <w:highlight w:val="none"/>
        </w:rPr>
        <w:t>编制</w:t>
      </w:r>
    </w:p>
    <w:p w14:paraId="40C5E08A">
      <w:pPr>
        <w:spacing w:line="271" w:lineRule="auto"/>
        <w:ind w:right="1889"/>
        <w:rPr>
          <w:rFonts w:ascii="仿宋" w:hAnsi="仿宋" w:eastAsia="仿宋"/>
          <w:b/>
          <w:color w:val="auto"/>
          <w:w w:val="95"/>
          <w:sz w:val="32"/>
          <w:highlight w:val="none"/>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color w:val="auto"/>
          <w:w w:val="95"/>
          <w:sz w:val="32"/>
          <w:highlight w:val="none"/>
          <w:lang w:eastAsia="zh-CN"/>
        </w:rPr>
        <w:t xml:space="preserve">                     二〇二五年</w:t>
      </w:r>
      <w:r>
        <w:rPr>
          <w:rFonts w:hint="eastAsia" w:ascii="仿宋" w:hAnsi="仿宋" w:eastAsia="仿宋"/>
          <w:b/>
          <w:color w:val="auto"/>
          <w:w w:val="95"/>
          <w:sz w:val="32"/>
          <w:highlight w:val="none"/>
          <w:lang w:val="en-US" w:eastAsia="zh-CN"/>
        </w:rPr>
        <w:t>七</w:t>
      </w:r>
      <w:r>
        <w:rPr>
          <w:rFonts w:hint="eastAsia" w:ascii="仿宋" w:hAnsi="仿宋" w:eastAsia="仿宋"/>
          <w:b/>
          <w:color w:val="auto"/>
          <w:w w:val="95"/>
          <w:sz w:val="32"/>
          <w:highlight w:val="none"/>
          <w:lang w:eastAsia="zh-CN"/>
        </w:rPr>
        <w:t>月</w:t>
      </w:r>
    </w:p>
    <w:p w14:paraId="0243ECD9">
      <w:pPr>
        <w:tabs>
          <w:tab w:val="left" w:pos="959"/>
        </w:tabs>
        <w:spacing w:line="395" w:lineRule="exact"/>
        <w:ind w:right="170"/>
        <w:jc w:val="center"/>
        <w:rPr>
          <w:rFonts w:ascii="仿宋" w:hAnsi="仿宋" w:eastAsia="仿宋"/>
          <w:color w:val="auto"/>
          <w:sz w:val="32"/>
          <w:highlight w:val="none"/>
          <w:lang w:eastAsia="zh-CN"/>
        </w:rPr>
      </w:pPr>
      <w:r>
        <w:rPr>
          <w:rFonts w:hint="eastAsia" w:ascii="仿宋" w:hAnsi="仿宋" w:eastAsia="仿宋"/>
          <w:color w:val="auto"/>
          <w:sz w:val="32"/>
          <w:highlight w:val="none"/>
          <w:lang w:eastAsia="zh-CN"/>
        </w:rPr>
        <w:t>目</w:t>
      </w:r>
      <w:r>
        <w:rPr>
          <w:rFonts w:hint="eastAsia" w:ascii="仿宋" w:hAnsi="仿宋" w:eastAsia="仿宋"/>
          <w:color w:val="auto"/>
          <w:sz w:val="32"/>
          <w:highlight w:val="none"/>
          <w:lang w:eastAsia="zh-CN"/>
        </w:rPr>
        <w:tab/>
      </w:r>
      <w:r>
        <w:rPr>
          <w:rFonts w:hint="eastAsia" w:ascii="仿宋" w:hAnsi="仿宋" w:eastAsia="仿宋"/>
          <w:color w:val="auto"/>
          <w:sz w:val="32"/>
          <w:highlight w:val="none"/>
          <w:lang w:eastAsia="zh-CN"/>
        </w:rPr>
        <w:t>录</w:t>
      </w:r>
    </w:p>
    <w:p w14:paraId="02E1E4BA">
      <w:pPr>
        <w:pStyle w:val="20"/>
        <w:rPr>
          <w:rFonts w:ascii="仿宋" w:hAnsi="仿宋" w:eastAsia="仿宋"/>
          <w:color w:val="auto"/>
          <w:sz w:val="20"/>
          <w:highlight w:val="none"/>
          <w:lang w:eastAsia="zh-CN"/>
        </w:rPr>
      </w:pPr>
    </w:p>
    <w:p w14:paraId="2F106746">
      <w:pPr>
        <w:pStyle w:val="20"/>
        <w:rPr>
          <w:rFonts w:ascii="仿宋" w:hAnsi="仿宋" w:eastAsia="仿宋"/>
          <w:color w:val="auto"/>
          <w:sz w:val="20"/>
          <w:highlight w:val="none"/>
          <w:lang w:eastAsia="zh-CN"/>
        </w:rPr>
      </w:pPr>
    </w:p>
    <w:p w14:paraId="2356BFA5">
      <w:pPr>
        <w:pStyle w:val="20"/>
        <w:spacing w:before="9"/>
        <w:rPr>
          <w:rFonts w:ascii="仿宋" w:hAnsi="仿宋" w:eastAsia="仿宋"/>
          <w:color w:val="auto"/>
          <w:highlight w:val="none"/>
          <w:lang w:eastAsia="zh-CN"/>
        </w:rPr>
      </w:pPr>
    </w:p>
    <w:p w14:paraId="5202D942">
      <w:pPr>
        <w:tabs>
          <w:tab w:val="left" w:pos="709"/>
        </w:tabs>
        <w:spacing w:line="360" w:lineRule="auto"/>
        <w:rPr>
          <w:rFonts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 xml:space="preserve">    </w:t>
      </w:r>
      <w:r>
        <w:rPr>
          <w:rFonts w:ascii="仿宋" w:hAnsi="仿宋" w:eastAsia="仿宋"/>
          <w:color w:val="auto"/>
          <w:sz w:val="24"/>
          <w:szCs w:val="24"/>
          <w:highlight w:val="none"/>
          <w:lang w:eastAsia="zh-CN"/>
        </w:rPr>
        <w:t>第一章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 xml:space="preserve">公告 </w:t>
      </w:r>
      <w:r>
        <w:rPr>
          <w:rFonts w:hint="eastAsia" w:ascii="仿宋" w:hAnsi="仿宋" w:eastAsia="仿宋"/>
          <w:color w:val="auto"/>
          <w:sz w:val="24"/>
          <w:szCs w:val="24"/>
          <w:highlight w:val="none"/>
          <w:lang w:eastAsia="zh-CN"/>
        </w:rPr>
        <w:t xml:space="preserve">    </w:t>
      </w:r>
    </w:p>
    <w:p w14:paraId="52559B48">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第二章</w:t>
      </w:r>
      <w:r>
        <w:rPr>
          <w:rFonts w:ascii="仿宋" w:hAnsi="仿宋" w:eastAsia="仿宋"/>
          <w:color w:val="auto"/>
          <w:sz w:val="24"/>
          <w:szCs w:val="24"/>
          <w:highlight w:val="none"/>
          <w:lang w:eastAsia="zh-CN"/>
        </w:rPr>
        <w:tab/>
      </w:r>
      <w:r>
        <w:rPr>
          <w:rFonts w:hint="eastAsia" w:ascii="仿宋" w:hAnsi="仿宋" w:eastAsia="仿宋"/>
          <w:color w:val="auto"/>
          <w:sz w:val="24"/>
          <w:szCs w:val="24"/>
          <w:highlight w:val="none"/>
          <w:lang w:eastAsia="zh-CN"/>
        </w:rPr>
        <w:t>询比</w:t>
      </w:r>
      <w:r>
        <w:rPr>
          <w:rFonts w:ascii="仿宋" w:hAnsi="仿宋" w:eastAsia="仿宋"/>
          <w:color w:val="auto"/>
          <w:sz w:val="24"/>
          <w:szCs w:val="24"/>
          <w:highlight w:val="none"/>
          <w:lang w:eastAsia="zh-CN"/>
        </w:rPr>
        <w:t>须知</w:t>
      </w:r>
    </w:p>
    <w:p w14:paraId="3932FEFC">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第三章</w:t>
      </w:r>
      <w:r>
        <w:rPr>
          <w:rFonts w:hint="eastAsia" w:ascii="仿宋" w:hAnsi="仿宋" w:eastAsia="仿宋"/>
          <w:color w:val="auto"/>
          <w:sz w:val="24"/>
          <w:szCs w:val="24"/>
          <w:highlight w:val="none"/>
          <w:lang w:eastAsia="zh-CN"/>
        </w:rPr>
        <w:t xml:space="preserve">  参比</w:t>
      </w:r>
      <w:r>
        <w:rPr>
          <w:rFonts w:ascii="仿宋" w:hAnsi="仿宋" w:eastAsia="仿宋"/>
          <w:color w:val="auto"/>
          <w:sz w:val="24"/>
          <w:szCs w:val="24"/>
          <w:highlight w:val="none"/>
          <w:lang w:eastAsia="zh-CN"/>
        </w:rPr>
        <w:t>文件</w:t>
      </w:r>
      <w:r>
        <w:rPr>
          <w:rFonts w:hint="eastAsia" w:ascii="仿宋" w:hAnsi="仿宋" w:eastAsia="仿宋"/>
          <w:color w:val="auto"/>
          <w:sz w:val="24"/>
          <w:szCs w:val="24"/>
          <w:highlight w:val="none"/>
          <w:lang w:eastAsia="zh-CN"/>
        </w:rPr>
        <w:t>的</w:t>
      </w:r>
      <w:r>
        <w:rPr>
          <w:rFonts w:ascii="仿宋" w:hAnsi="仿宋" w:eastAsia="仿宋"/>
          <w:color w:val="auto"/>
          <w:sz w:val="24"/>
          <w:szCs w:val="24"/>
          <w:highlight w:val="none"/>
          <w:lang w:eastAsia="zh-CN"/>
        </w:rPr>
        <w:t>编制</w:t>
      </w:r>
    </w:p>
    <w:p w14:paraId="746CDD9D">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第四章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评</w:t>
      </w:r>
      <w:r>
        <w:rPr>
          <w:rFonts w:hint="eastAsia" w:ascii="仿宋" w:hAnsi="仿宋" w:eastAsia="仿宋"/>
          <w:color w:val="auto"/>
          <w:sz w:val="24"/>
          <w:szCs w:val="24"/>
          <w:highlight w:val="none"/>
          <w:lang w:eastAsia="zh-CN"/>
        </w:rPr>
        <w:t>审方法及</w:t>
      </w:r>
      <w:r>
        <w:rPr>
          <w:rFonts w:ascii="仿宋" w:hAnsi="仿宋" w:eastAsia="仿宋"/>
          <w:color w:val="auto"/>
          <w:sz w:val="24"/>
          <w:szCs w:val="24"/>
          <w:highlight w:val="none"/>
          <w:lang w:eastAsia="zh-CN"/>
        </w:rPr>
        <w:t>规则</w:t>
      </w:r>
    </w:p>
    <w:p w14:paraId="0F7EC899">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第五章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合同授予</w:t>
      </w:r>
    </w:p>
    <w:p w14:paraId="0DE2531A">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第六章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中选后相关履约要求</w:t>
      </w:r>
    </w:p>
    <w:p w14:paraId="3E9AC4CB">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第七章</w:t>
      </w:r>
      <w:r>
        <w:rPr>
          <w:rFonts w:ascii="仿宋" w:hAnsi="仿宋" w:eastAsia="仿宋"/>
          <w:color w:val="auto"/>
          <w:sz w:val="24"/>
          <w:szCs w:val="24"/>
          <w:highlight w:val="none"/>
          <w:lang w:eastAsia="zh-CN"/>
        </w:rPr>
        <w:tab/>
      </w:r>
      <w:r>
        <w:rPr>
          <w:rFonts w:ascii="仿宋" w:hAnsi="仿宋" w:eastAsia="仿宋"/>
          <w:color w:val="auto"/>
          <w:sz w:val="24"/>
          <w:szCs w:val="24"/>
          <w:highlight w:val="none"/>
          <w:lang w:eastAsia="zh-CN"/>
        </w:rPr>
        <w:t>其它</w:t>
      </w:r>
    </w:p>
    <w:p w14:paraId="527C6A00">
      <w:pPr>
        <w:tabs>
          <w:tab w:val="left" w:pos="709"/>
        </w:tabs>
        <w:spacing w:line="360" w:lineRule="auto"/>
        <w:ind w:firstLine="480" w:firstLineChars="200"/>
        <w:rPr>
          <w:rFonts w:ascii="仿宋" w:hAnsi="仿宋" w:eastAsia="仿宋"/>
          <w:color w:val="auto"/>
          <w:sz w:val="24"/>
          <w:szCs w:val="24"/>
          <w:highlight w:val="none"/>
          <w:lang w:eastAsia="zh-CN"/>
        </w:rPr>
      </w:pPr>
    </w:p>
    <w:p w14:paraId="09FB5C11">
      <w:pPr>
        <w:tabs>
          <w:tab w:val="left" w:pos="709"/>
        </w:tabs>
        <w:spacing w:line="360" w:lineRule="auto"/>
        <w:ind w:firstLine="480" w:firstLineChars="200"/>
        <w:rPr>
          <w:rFonts w:ascii="仿宋" w:hAnsi="仿宋" w:eastAsia="仿宋"/>
          <w:color w:val="auto"/>
          <w:sz w:val="24"/>
          <w:szCs w:val="24"/>
          <w:highlight w:val="none"/>
          <w:lang w:eastAsia="zh-CN"/>
        </w:rPr>
      </w:pPr>
    </w:p>
    <w:p w14:paraId="0B07B865">
      <w:pPr>
        <w:tabs>
          <w:tab w:val="left" w:pos="709"/>
        </w:tabs>
        <w:spacing w:line="360" w:lineRule="auto"/>
        <w:ind w:firstLine="480" w:firstLineChars="200"/>
        <w:rPr>
          <w:rFonts w:ascii="仿宋" w:hAnsi="仿宋" w:eastAsia="仿宋"/>
          <w:color w:val="auto"/>
          <w:sz w:val="24"/>
          <w:szCs w:val="24"/>
          <w:highlight w:val="none"/>
          <w:lang w:eastAsia="zh-CN"/>
        </w:rPr>
      </w:pPr>
    </w:p>
    <w:p w14:paraId="4239A15B">
      <w:pPr>
        <w:tabs>
          <w:tab w:val="left" w:pos="709"/>
        </w:tabs>
        <w:spacing w:line="360" w:lineRule="auto"/>
        <w:ind w:firstLine="480" w:firstLineChars="200"/>
        <w:rPr>
          <w:rFonts w:ascii="仿宋" w:hAnsi="仿宋" w:eastAsia="仿宋"/>
          <w:color w:val="auto"/>
          <w:sz w:val="24"/>
          <w:szCs w:val="24"/>
          <w:highlight w:val="none"/>
          <w:lang w:eastAsia="zh-CN"/>
        </w:rPr>
      </w:pPr>
    </w:p>
    <w:p w14:paraId="37EFEF69">
      <w:pPr>
        <w:tabs>
          <w:tab w:val="left" w:pos="709"/>
        </w:tabs>
        <w:spacing w:line="360" w:lineRule="auto"/>
        <w:ind w:firstLine="480" w:firstLineChars="200"/>
        <w:rPr>
          <w:rFonts w:ascii="仿宋" w:hAnsi="仿宋" w:eastAsia="仿宋"/>
          <w:color w:val="auto"/>
          <w:sz w:val="24"/>
          <w:szCs w:val="24"/>
          <w:highlight w:val="none"/>
          <w:lang w:eastAsia="zh-CN"/>
        </w:rPr>
      </w:pPr>
    </w:p>
    <w:p w14:paraId="0AC05056">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附件一</w:t>
      </w:r>
      <w:r>
        <w:rPr>
          <w:rFonts w:hint="eastAsia" w:ascii="仿宋" w:hAnsi="仿宋" w:eastAsia="仿宋"/>
          <w:color w:val="auto"/>
          <w:sz w:val="24"/>
          <w:szCs w:val="24"/>
          <w:highlight w:val="none"/>
          <w:lang w:eastAsia="zh-CN"/>
        </w:rPr>
        <w:t>：合同条款及格式</w:t>
      </w:r>
    </w:p>
    <w:p w14:paraId="0ED6A7C5">
      <w:pPr>
        <w:tabs>
          <w:tab w:val="left" w:pos="709"/>
        </w:tabs>
        <w:spacing w:line="360" w:lineRule="auto"/>
        <w:ind w:firstLine="480" w:firstLineChars="200"/>
        <w:rPr>
          <w:rFonts w:ascii="仿宋" w:hAnsi="仿宋" w:eastAsia="仿宋"/>
          <w:color w:val="auto"/>
          <w:sz w:val="24"/>
          <w:szCs w:val="24"/>
          <w:highlight w:val="none"/>
          <w:lang w:eastAsia="zh-CN"/>
        </w:rPr>
      </w:pPr>
      <w:r>
        <w:rPr>
          <w:rFonts w:ascii="仿宋" w:hAnsi="仿宋" w:eastAsia="仿宋"/>
          <w:color w:val="auto"/>
          <w:sz w:val="24"/>
          <w:szCs w:val="24"/>
          <w:highlight w:val="none"/>
          <w:lang w:eastAsia="zh-CN"/>
        </w:rPr>
        <w:t>附件二：参</w:t>
      </w:r>
      <w:r>
        <w:rPr>
          <w:rFonts w:hint="eastAsia" w:ascii="仿宋" w:hAnsi="仿宋" w:eastAsia="仿宋"/>
          <w:color w:val="auto"/>
          <w:sz w:val="24"/>
          <w:szCs w:val="24"/>
          <w:highlight w:val="none"/>
          <w:lang w:eastAsia="zh-CN"/>
        </w:rPr>
        <w:t>比</w:t>
      </w:r>
      <w:r>
        <w:rPr>
          <w:rFonts w:ascii="仿宋" w:hAnsi="仿宋" w:eastAsia="仿宋"/>
          <w:color w:val="auto"/>
          <w:sz w:val="24"/>
          <w:szCs w:val="24"/>
          <w:highlight w:val="none"/>
          <w:lang w:eastAsia="zh-CN"/>
        </w:rPr>
        <w:t>文件（范本）</w:t>
      </w:r>
    </w:p>
    <w:p w14:paraId="5B862628">
      <w:pPr>
        <w:spacing w:line="408" w:lineRule="auto"/>
        <w:rPr>
          <w:rFonts w:ascii="仿宋" w:hAnsi="仿宋" w:eastAsia="仿宋"/>
          <w:color w:val="auto"/>
          <w:sz w:val="28"/>
          <w:highlight w:val="none"/>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before="240" w:after="240" w:afterLines="100" w:line="240" w:lineRule="exact"/>
        <w:ind w:left="1270" w:hanging="1259"/>
        <w:jc w:val="center"/>
        <w:rPr>
          <w:rFonts w:ascii="仿宋" w:hAnsi="仿宋" w:eastAsia="仿宋"/>
          <w:b/>
          <w:color w:val="auto"/>
          <w:w w:val="95"/>
          <w:sz w:val="32"/>
          <w:szCs w:val="32"/>
          <w:highlight w:val="none"/>
          <w:lang w:eastAsia="zh-CN"/>
        </w:rPr>
      </w:pPr>
      <w:r>
        <w:rPr>
          <w:rFonts w:hint="eastAsia" w:ascii="仿宋" w:hAnsi="仿宋" w:eastAsia="仿宋"/>
          <w:b/>
          <w:color w:val="auto"/>
          <w:spacing w:val="-1"/>
          <w:w w:val="95"/>
          <w:sz w:val="32"/>
          <w:szCs w:val="32"/>
          <w:highlight w:val="none"/>
          <w:lang w:eastAsia="zh-CN"/>
        </w:rPr>
        <w:t>询比</w:t>
      </w:r>
      <w:r>
        <w:rPr>
          <w:rFonts w:ascii="仿宋" w:hAnsi="仿宋" w:eastAsia="仿宋"/>
          <w:b/>
          <w:color w:val="auto"/>
          <w:spacing w:val="-1"/>
          <w:w w:val="95"/>
          <w:sz w:val="32"/>
          <w:szCs w:val="32"/>
          <w:highlight w:val="none"/>
          <w:lang w:eastAsia="zh-CN"/>
        </w:rPr>
        <w:t>公</w:t>
      </w:r>
      <w:r>
        <w:rPr>
          <w:rFonts w:ascii="仿宋" w:hAnsi="仿宋" w:eastAsia="仿宋"/>
          <w:b/>
          <w:color w:val="auto"/>
          <w:w w:val="95"/>
          <w:sz w:val="32"/>
          <w:szCs w:val="32"/>
          <w:highlight w:val="none"/>
          <w:lang w:eastAsia="zh-CN"/>
        </w:rPr>
        <w:t>告</w:t>
      </w:r>
    </w:p>
    <w:p w14:paraId="12A4B0FE">
      <w:pPr>
        <w:pStyle w:val="20"/>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      福建福海创石油化工有限公司就“</w:t>
      </w:r>
      <w:r>
        <w:rPr>
          <w:rFonts w:hint="eastAsia" w:ascii="Times New Roman" w:hAnsi="Times New Roman" w:eastAsia="宋体" w:cs="Times New Roman"/>
          <w:color w:val="auto"/>
          <w:highlight w:val="none"/>
          <w:lang w:val="en-US" w:eastAsia="zh-CN"/>
        </w:rPr>
        <w:t>开展生产船燃的进料加工业务服务出具专业报告</w:t>
      </w:r>
      <w:r>
        <w:rPr>
          <w:rFonts w:hint="eastAsia" w:ascii="Times New Roman" w:hAnsi="Times New Roman" w:eastAsia="宋体" w:cs="Times New Roman"/>
          <w:color w:val="auto"/>
          <w:highlight w:val="none"/>
          <w:lang w:eastAsia="zh-CN"/>
        </w:rPr>
        <w:t>项目</w:t>
      </w:r>
      <w:r>
        <w:rPr>
          <w:rFonts w:ascii="Times New Roman" w:hAnsi="Times New Roman" w:cs="Times New Roman"/>
          <w:color w:val="auto"/>
          <w:highlight w:val="none"/>
          <w:lang w:eastAsia="zh-CN"/>
        </w:rPr>
        <w:t>（项目编号：PB250</w:t>
      </w:r>
      <w:r>
        <w:rPr>
          <w:rFonts w:hint="eastAsia" w:ascii="Times New Roman" w:hAnsi="Times New Roman" w:cs="Times New Roman"/>
          <w:color w:val="auto"/>
          <w:highlight w:val="none"/>
          <w:lang w:val="en-US" w:eastAsia="zh-CN"/>
        </w:rPr>
        <w:t>711</w:t>
      </w:r>
      <w:r>
        <w:rPr>
          <w:rFonts w:ascii="Times New Roman" w:hAnsi="Times New Roman" w:cs="Times New Roman"/>
          <w:color w:val="auto"/>
          <w:highlight w:val="none"/>
          <w:lang w:eastAsia="zh-CN"/>
        </w:rPr>
        <w:t>000009）”进行国内公开询比采购，欢迎国内符合条件的供应商积极参加。</w:t>
      </w:r>
    </w:p>
    <w:p w14:paraId="5326B2B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一、项目概况与采购内容</w:t>
      </w:r>
    </w:p>
    <w:p w14:paraId="10F6D928">
      <w:pPr>
        <w:spacing w:line="360" w:lineRule="auto"/>
        <w:ind w:left="1456" w:leftChars="1" w:hanging="1454" w:hangingChars="606"/>
        <w:rPr>
          <w:rFonts w:ascii="Times New Roman" w:hAnsi="Times New Roman" w:cs="Times New Roman"/>
          <w:snapToGrid w:val="0"/>
          <w:color w:val="auto"/>
          <w:sz w:val="24"/>
          <w:szCs w:val="24"/>
          <w:highlight w:val="none"/>
          <w:lang w:eastAsia="zh-CN"/>
        </w:rPr>
      </w:pPr>
      <w:r>
        <w:rPr>
          <w:rFonts w:ascii="Times New Roman" w:hAnsi="Times New Roman" w:cs="Times New Roman"/>
          <w:snapToGrid w:val="0"/>
          <w:color w:val="auto"/>
          <w:sz w:val="24"/>
          <w:szCs w:val="24"/>
          <w:highlight w:val="none"/>
          <w:lang w:eastAsia="zh-CN"/>
        </w:rPr>
        <w:t>1、 项目名称：</w:t>
      </w:r>
      <w:r>
        <w:rPr>
          <w:rFonts w:hint="eastAsia" w:ascii="Times New Roman" w:hAnsi="Times New Roman" w:eastAsia="宋体" w:cs="Times New Roman"/>
          <w:color w:val="auto"/>
          <w:sz w:val="24"/>
          <w:szCs w:val="24"/>
          <w:highlight w:val="none"/>
          <w:lang w:val="en-US" w:eastAsia="zh-CN"/>
        </w:rPr>
        <w:t>开展生产船燃的进料加工业务服务出具专业报告</w:t>
      </w:r>
      <w:r>
        <w:rPr>
          <w:rFonts w:hint="eastAsia" w:ascii="Times New Roman" w:hAnsi="Times New Roman" w:eastAsia="宋体" w:cs="Times New Roman"/>
          <w:color w:val="auto"/>
          <w:sz w:val="24"/>
          <w:szCs w:val="24"/>
          <w:highlight w:val="none"/>
          <w:lang w:eastAsia="zh-CN"/>
        </w:rPr>
        <w:t>项目</w:t>
      </w:r>
    </w:p>
    <w:p w14:paraId="1DCA5BF4">
      <w:pPr>
        <w:spacing w:line="360" w:lineRule="auto"/>
        <w:ind w:left="357" w:leftChars="0" w:hanging="357" w:hangingChars="14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项目概述：福海创公司新建设的一套150万吨/年沸腾床渣油加氢装置即将投产运行，是现有的减压装置的配套装置，具备利用燃料油（常压渣油）生产船用燃料油的硬件设施。福海创涉及燃料油进料加工业务需要专业服务机构进行业务服务。</w:t>
      </w:r>
    </w:p>
    <w:p w14:paraId="62531F00">
      <w:pPr>
        <w:pStyle w:val="2"/>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3、项目主要服务内容：</w:t>
      </w:r>
    </w:p>
    <w:p w14:paraId="2FD3216E">
      <w:pPr>
        <w:spacing w:line="360" w:lineRule="auto"/>
        <w:ind w:left="357" w:leftChars="0" w:hanging="357" w:hangingChars="14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lang w:val="en-US" w:eastAsia="zh-CN"/>
        </w:rPr>
        <w:t xml:space="preserve"> 业务模式设计：设计符合海关法规（特别是进料加工手册管理要求）的业务流程与操作模式。</w:t>
      </w:r>
    </w:p>
    <w:p w14:paraId="389E0D1A">
      <w:pPr>
        <w:spacing w:line="360" w:lineRule="auto"/>
        <w:ind w:left="357" w:leftChars="0" w:hanging="357" w:hangingChars="14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val="en-US" w:eastAsia="zh-CN"/>
        </w:rPr>
        <w:t xml:space="preserve"> 海关合规方案：详细阐述海关备案、保税监管、单耗核定、加工贸易账册管理、核销流程及关务风险控制要点。</w:t>
      </w:r>
    </w:p>
    <w:p w14:paraId="284BBEB3">
      <w:pPr>
        <w:spacing w:line="360" w:lineRule="auto"/>
        <w:ind w:left="357" w:leftChars="0" w:hanging="357" w:hangingChars="14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eastAsia" w:ascii="Times New Roman" w:hAnsi="Times New Roman" w:eastAsia="宋体" w:cs="Times New Roman"/>
          <w:color w:val="auto"/>
          <w:sz w:val="24"/>
          <w:szCs w:val="24"/>
          <w:highlight w:val="none"/>
          <w:lang w:val="en-US" w:eastAsia="zh-CN"/>
        </w:rPr>
        <w:t xml:space="preserve"> 提交一份完整、详尽的《燃料油生产船用燃料油进料加工业务实施方案报告》，能够确保福海创按照此方案报告开展此项业务，同时满足海关和税务机构的监管要求。</w:t>
      </w:r>
    </w:p>
    <w:p w14:paraId="3D272941">
      <w:pPr>
        <w:spacing w:line="360" w:lineRule="auto"/>
        <w:ind w:left="357" w:leftChars="0" w:hanging="357" w:hangingChars="14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④ 当福海创公司沸腾床渣油加氢装置正常生产后，需协助福海创公司开展至少一个船次的燃料油（常压渣油）进料加工业务，直至生产的船用燃料油销售后完成燃料油（常压渣油）消费税退税等业务。</w:t>
      </w:r>
    </w:p>
    <w:p w14:paraId="25311C47">
      <w:pPr>
        <w:spacing w:line="360" w:lineRule="auto"/>
        <w:ind w:left="357" w:leftChars="0" w:hanging="357" w:hangingChars="14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4、项目控制价：人民币40万元（含税）。</w:t>
      </w:r>
    </w:p>
    <w:p w14:paraId="1DACDEFF">
      <w:pPr>
        <w:spacing w:line="360" w:lineRule="auto"/>
        <w:ind w:left="357" w:leftChars="0" w:hanging="357" w:hangingChars="14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5、工期要求：中选单位须于合同签订后【30】个自然日内完成方案设计，提交方案报告初稿供审核；并于收到我方书面修改意见后 【30】个自然日内完成修改并提交最终正式报告。</w:t>
      </w:r>
    </w:p>
    <w:p w14:paraId="681689A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二、参比人资格要求</w:t>
      </w:r>
    </w:p>
    <w:p w14:paraId="3D237BEA">
      <w:pPr>
        <w:spacing w:line="360" w:lineRule="auto"/>
        <w:ind w:left="380" w:leftChars="6" w:hanging="367" w:hangingChars="153"/>
        <w:rPr>
          <w:rFonts w:hint="eastAsia"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eastAsia="zh-CN"/>
        </w:rPr>
        <w:t>参</w:t>
      </w:r>
      <w:r>
        <w:rPr>
          <w:rFonts w:hint="eastAsia" w:ascii="Times New Roman" w:hAnsi="Times New Roman" w:eastAsia="宋体" w:cs="Times New Roman"/>
          <w:color w:val="auto"/>
          <w:sz w:val="24"/>
          <w:szCs w:val="24"/>
          <w:highlight w:val="none"/>
          <w:lang w:val="en-US" w:eastAsia="zh-CN"/>
        </w:rPr>
        <w:t>比</w:t>
      </w:r>
      <w:r>
        <w:rPr>
          <w:rFonts w:hint="eastAsia" w:ascii="Times New Roman" w:hAnsi="Times New Roman" w:eastAsia="宋体" w:cs="Times New Roman"/>
          <w:color w:val="auto"/>
          <w:sz w:val="24"/>
          <w:szCs w:val="24"/>
          <w:highlight w:val="none"/>
          <w:lang w:eastAsia="zh-CN"/>
        </w:rPr>
        <w:t>人必须具有中华人民共和国境内注册的独立法人资格。</w:t>
      </w:r>
    </w:p>
    <w:p w14:paraId="7974E132">
      <w:pPr>
        <w:spacing w:line="360" w:lineRule="auto"/>
        <w:ind w:left="380" w:leftChars="6" w:hanging="367" w:hangingChars="153"/>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参</w:t>
      </w:r>
      <w:r>
        <w:rPr>
          <w:rFonts w:hint="eastAsia" w:ascii="Times New Roman" w:hAnsi="Times New Roman" w:eastAsia="宋体" w:cs="Times New Roman"/>
          <w:color w:val="auto"/>
          <w:sz w:val="24"/>
          <w:szCs w:val="24"/>
          <w:highlight w:val="none"/>
          <w:lang w:val="en-US" w:eastAsia="zh-CN"/>
        </w:rPr>
        <w:t>比</w:t>
      </w:r>
      <w:r>
        <w:rPr>
          <w:rFonts w:hint="eastAsia" w:ascii="Times New Roman" w:hAnsi="Times New Roman" w:eastAsia="宋体" w:cs="Times New Roman"/>
          <w:color w:val="auto"/>
          <w:sz w:val="24"/>
          <w:szCs w:val="24"/>
          <w:highlight w:val="none"/>
          <w:lang w:eastAsia="zh-CN"/>
        </w:rPr>
        <w:t>人具备相关咨询能力的服务机构。</w:t>
      </w:r>
    </w:p>
    <w:p w14:paraId="68859B96">
      <w:pPr>
        <w:spacing w:line="360" w:lineRule="auto"/>
        <w:ind w:left="380" w:leftChars="6" w:hanging="367" w:hangingChars="153"/>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参</w:t>
      </w:r>
      <w:r>
        <w:rPr>
          <w:rFonts w:hint="eastAsia" w:ascii="Times New Roman" w:hAnsi="Times New Roman" w:eastAsia="宋体" w:cs="Times New Roman"/>
          <w:color w:val="auto"/>
          <w:sz w:val="24"/>
          <w:szCs w:val="24"/>
          <w:highlight w:val="none"/>
          <w:lang w:val="en-US" w:eastAsia="zh-CN"/>
        </w:rPr>
        <w:t>比</w:t>
      </w:r>
      <w:r>
        <w:rPr>
          <w:rFonts w:hint="eastAsia" w:ascii="Times New Roman" w:hAnsi="Times New Roman" w:eastAsia="宋体" w:cs="Times New Roman"/>
          <w:color w:val="auto"/>
          <w:sz w:val="24"/>
          <w:szCs w:val="24"/>
          <w:highlight w:val="none"/>
          <w:lang w:eastAsia="zh-CN"/>
        </w:rPr>
        <w:t>人及拟派本项目负责人近3年内在经营活动中无重大违法记录；</w:t>
      </w:r>
    </w:p>
    <w:p w14:paraId="600DBF65">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4、</w:t>
      </w:r>
      <w:r>
        <w:rPr>
          <w:rFonts w:ascii="Times New Roman" w:hAnsi="Times New Roman" w:cs="Times New Roman"/>
          <w:color w:val="auto"/>
          <w:sz w:val="24"/>
          <w:szCs w:val="24"/>
          <w:highlight w:val="none"/>
          <w:lang w:eastAsia="zh-CN"/>
        </w:rPr>
        <w:t>参比人没有失信黑名单记录（以最高院失信被执行人系统发布信息为准）</w:t>
      </w:r>
      <w:r>
        <w:rPr>
          <w:rFonts w:hint="eastAsia" w:ascii="Times New Roman" w:hAnsi="Times New Roman" w:cs="Times New Roman"/>
          <w:color w:val="auto"/>
          <w:sz w:val="24"/>
          <w:szCs w:val="24"/>
          <w:highlight w:val="none"/>
          <w:lang w:eastAsia="zh-CN"/>
        </w:rPr>
        <w:t>。</w:t>
      </w:r>
    </w:p>
    <w:p w14:paraId="0A745EEF">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lang w:eastAsia="zh-CN"/>
        </w:rPr>
        <w:t>、参比人与采购人无诉讼纠纷</w:t>
      </w:r>
      <w:r>
        <w:rPr>
          <w:rFonts w:hint="eastAsia" w:ascii="Times New Roman" w:hAnsi="Times New Roman" w:cs="Times New Roman"/>
          <w:color w:val="auto"/>
          <w:sz w:val="24"/>
          <w:szCs w:val="24"/>
          <w:highlight w:val="none"/>
          <w:lang w:eastAsia="zh-CN"/>
        </w:rPr>
        <w:t>。</w:t>
      </w:r>
    </w:p>
    <w:p w14:paraId="2D6AB71D">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ascii="Times New Roman" w:hAnsi="Times New Roman" w:cs="Times New Roman"/>
          <w:color w:val="auto"/>
          <w:sz w:val="24"/>
          <w:szCs w:val="24"/>
          <w:highlight w:val="none"/>
          <w:lang w:eastAsia="zh-CN"/>
        </w:rPr>
        <w:t>、 本项目不接受联合体参比</w:t>
      </w:r>
      <w:r>
        <w:rPr>
          <w:rFonts w:hint="eastAsia" w:ascii="Times New Roman" w:hAnsi="Times New Roman" w:cs="Times New Roman"/>
          <w:color w:val="auto"/>
          <w:sz w:val="24"/>
          <w:szCs w:val="24"/>
          <w:highlight w:val="none"/>
          <w:lang w:eastAsia="zh-CN"/>
        </w:rPr>
        <w:t>。</w:t>
      </w:r>
    </w:p>
    <w:p w14:paraId="77CAD7A2">
      <w:pPr>
        <w:spacing w:line="360" w:lineRule="auto"/>
        <w:ind w:left="406" w:leftChars="6" w:hanging="393" w:hangingChars="153"/>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三、获取采购文件</w:t>
      </w:r>
    </w:p>
    <w:p w14:paraId="347E2EBC">
      <w:pPr>
        <w:spacing w:line="360" w:lineRule="auto"/>
        <w:ind w:left="380" w:leftChars="6" w:hanging="367" w:hangingChars="153"/>
        <w:rPr>
          <w:rStyle w:val="53"/>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1、凡有意参加者，请在 http://nhygcg.fjshgx.com/（福建能化阳光采购平台）上免费注册，并根据系统提示进行报名即可下载电子采购文件；或在</w:t>
      </w:r>
      <w:r>
        <w:rPr>
          <w:rStyle w:val="53"/>
          <w:rFonts w:ascii="Times New Roman" w:hAnsi="Times New Roman" w:cs="Times New Roman"/>
          <w:color w:val="auto"/>
          <w:sz w:val="24"/>
          <w:szCs w:val="24"/>
          <w:highlight w:val="none"/>
          <w:lang w:eastAsia="zh-CN"/>
        </w:rPr>
        <w:t>http://www.fhcpec.com.cn/自行下载。</w:t>
      </w:r>
    </w:p>
    <w:p w14:paraId="67D3BB29">
      <w:pPr>
        <w:spacing w:line="360" w:lineRule="auto"/>
        <w:ind w:left="380" w:leftChars="6" w:hanging="367" w:hangingChars="153"/>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eastAsia="zh-CN"/>
        </w:rPr>
        <w:t>发布公告的媒介：http://nhygcg.fjshgx.com/(福建能化阳光采购平台)和http://www.fhcpec.com.cn/ （</w:t>
      </w:r>
      <w:r>
        <w:rPr>
          <w:rFonts w:hint="eastAsia" w:ascii="Times New Roman" w:hAnsi="Times New Roman" w:cs="Times New Roman"/>
          <w:color w:val="auto"/>
          <w:sz w:val="24"/>
          <w:szCs w:val="24"/>
          <w:highlight w:val="none"/>
          <w:lang w:eastAsia="zh-CN"/>
        </w:rPr>
        <w:fldChar w:fldCharType="begin"/>
      </w:r>
      <w:r>
        <w:rPr>
          <w:rFonts w:hint="eastAsia" w:ascii="Times New Roman" w:hAnsi="Times New Roman" w:cs="Times New Roman"/>
          <w:color w:val="auto"/>
          <w:sz w:val="24"/>
          <w:szCs w:val="24"/>
          <w:highlight w:val="none"/>
          <w:lang w:eastAsia="zh-CN"/>
        </w:rPr>
        <w:instrText xml:space="preserve"> HYPERLINK "http://www.fhcpec.com.cn/" </w:instrText>
      </w:r>
      <w:r>
        <w:rPr>
          <w:rFonts w:hint="eastAsia" w:ascii="Times New Roman" w:hAnsi="Times New Roman" w:cs="Times New Roman"/>
          <w:color w:val="auto"/>
          <w:sz w:val="24"/>
          <w:szCs w:val="24"/>
          <w:highlight w:val="none"/>
          <w:lang w:eastAsia="zh-CN"/>
        </w:rPr>
        <w:fldChar w:fldCharType="separate"/>
      </w:r>
      <w:r>
        <w:rPr>
          <w:rFonts w:hint="eastAsia" w:ascii="Times New Roman" w:hAnsi="Times New Roman" w:cs="Times New Roman"/>
          <w:color w:val="auto"/>
          <w:sz w:val="24"/>
          <w:szCs w:val="24"/>
          <w:highlight w:val="none"/>
          <w:lang w:eastAsia="zh-CN"/>
        </w:rPr>
        <w:t>福建福海创石油化工有限公司</w:t>
      </w:r>
      <w:r>
        <w:rPr>
          <w:rFonts w:hint="eastAsia" w:ascii="Times New Roman" w:hAnsi="Times New Roman" w:cs="Times New Roman"/>
          <w:color w:val="auto"/>
          <w:sz w:val="24"/>
          <w:szCs w:val="24"/>
          <w:highlight w:val="none"/>
          <w:lang w:eastAsia="zh-CN"/>
        </w:rPr>
        <w:fldChar w:fldCharType="end"/>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本项目采购文件请有意向参比人自行下载，不收取费用，以采购公告或邀请函为准。</w:t>
      </w:r>
    </w:p>
    <w:p w14:paraId="5E5E719C">
      <w:pPr>
        <w:spacing w:line="360" w:lineRule="auto"/>
        <w:ind w:left="380" w:leftChars="6" w:hanging="367" w:hangingChars="153"/>
        <w:rPr>
          <w:rFonts w:hint="eastAsia"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3、报名时间：公示之日起</w:t>
      </w:r>
      <w:r>
        <w:rPr>
          <w:rFonts w:hint="eastAsia" w:ascii="Times New Roman" w:hAnsi="Times New Roman" w:cs="Times New Roman"/>
          <w:color w:val="auto"/>
          <w:sz w:val="24"/>
          <w:szCs w:val="24"/>
          <w:highlight w:val="none"/>
          <w:lang w:val="en-US" w:eastAsia="zh-CN"/>
        </w:rPr>
        <w:t>2025年07月31日</w:t>
      </w:r>
      <w:r>
        <w:rPr>
          <w:rFonts w:ascii="Times New Roman" w:hAnsi="Times New Roman" w:cs="Times New Roman"/>
          <w:color w:val="auto"/>
          <w:sz w:val="24"/>
          <w:szCs w:val="24"/>
          <w:highlight w:val="none"/>
          <w:lang w:eastAsia="zh-CN"/>
        </w:rPr>
        <w:t>（含当日）止</w:t>
      </w:r>
      <w:r>
        <w:rPr>
          <w:rFonts w:hint="eastAsia" w:ascii="Times New Roman" w:hAnsi="Times New Roman" w:cs="Times New Roman"/>
          <w:color w:val="auto"/>
          <w:sz w:val="24"/>
          <w:szCs w:val="24"/>
          <w:highlight w:val="none"/>
          <w:lang w:eastAsia="zh-CN"/>
        </w:rPr>
        <w:t>；</w:t>
      </w:r>
    </w:p>
    <w:p w14:paraId="52442DA6">
      <w:pPr>
        <w:spacing w:line="360" w:lineRule="auto"/>
        <w:ind w:left="380" w:leftChars="6" w:hanging="367" w:hangingChars="153"/>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4、报名方式：</w:t>
      </w:r>
      <w:r>
        <w:rPr>
          <w:rFonts w:hint="eastAsia" w:ascii="Times New Roman" w:hAnsi="Times New Roman" w:cs="Times New Roman"/>
          <w:color w:val="auto"/>
          <w:sz w:val="24"/>
          <w:szCs w:val="24"/>
          <w:highlight w:val="none"/>
          <w:lang w:eastAsia="zh-CN"/>
        </w:rPr>
        <w:t>参比人报名需将报名文件发送到邮箱：</w:t>
      </w:r>
      <w:r>
        <w:rPr>
          <w:rFonts w:ascii="Times New Roman" w:hAnsi="Times New Roman" w:cs="Times New Roman"/>
          <w:color w:val="auto"/>
          <w:sz w:val="24"/>
          <w:szCs w:val="24"/>
          <w:highlight w:val="none"/>
          <w:lang w:eastAsia="zh-CN"/>
        </w:rPr>
        <w:t>huangmq@fjpec.com.cn，报名文件包含：</w:t>
      </w:r>
    </w:p>
    <w:p w14:paraId="10236FA0">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（1）法定代表人身份证复印件（正反面）（加盖单位公章的扫描件）；</w:t>
      </w:r>
    </w:p>
    <w:p w14:paraId="3A7E15A8">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（2）营业执照（加盖单位公章的扫描件）；</w:t>
      </w:r>
    </w:p>
    <w:p w14:paraId="1211A148">
      <w:pPr>
        <w:spacing w:line="360" w:lineRule="auto"/>
        <w:ind w:firstLine="336" w:firstLineChars="14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（3）资质文件（加盖单位公章的扫描件）。</w:t>
      </w:r>
    </w:p>
    <w:p w14:paraId="0070DC96">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四、本项目采用</w:t>
      </w:r>
      <w:r>
        <w:rPr>
          <w:rFonts w:hint="eastAsia" w:ascii="Times New Roman" w:hAnsi="Times New Roman" w:cs="Times New Roman"/>
          <w:b/>
          <w:snapToGrid w:val="0"/>
          <w:color w:val="auto"/>
          <w:spacing w:val="8"/>
          <w:sz w:val="24"/>
          <w:szCs w:val="24"/>
          <w:highlight w:val="none"/>
          <w:lang w:val="en-US" w:eastAsia="zh-CN"/>
        </w:rPr>
        <w:t>综合评分</w:t>
      </w:r>
      <w:r>
        <w:rPr>
          <w:rFonts w:ascii="Times New Roman" w:hAnsi="Times New Roman" w:cs="Times New Roman"/>
          <w:b/>
          <w:snapToGrid w:val="0"/>
          <w:color w:val="auto"/>
          <w:spacing w:val="8"/>
          <w:sz w:val="24"/>
          <w:szCs w:val="24"/>
          <w:highlight w:val="none"/>
          <w:lang w:eastAsia="zh-CN"/>
        </w:rPr>
        <w:t>法。</w:t>
      </w:r>
    </w:p>
    <w:p w14:paraId="04CB0883">
      <w:pPr>
        <w:tabs>
          <w:tab w:val="left" w:pos="709"/>
        </w:tabs>
        <w:spacing w:line="360" w:lineRule="auto"/>
        <w:rPr>
          <w:rFonts w:ascii="Times New Roman" w:hAnsi="Times New Roman" w:cs="Times New Roman"/>
          <w:b/>
          <w:snapToGrid w:val="0"/>
          <w:color w:val="auto"/>
          <w:spacing w:val="8"/>
          <w:sz w:val="24"/>
          <w:szCs w:val="24"/>
          <w:highlight w:val="none"/>
          <w:lang w:eastAsia="zh-CN"/>
        </w:rPr>
      </w:pPr>
      <w:r>
        <w:rPr>
          <w:rFonts w:ascii="Times New Roman" w:hAnsi="Times New Roman" w:cs="Times New Roman"/>
          <w:b/>
          <w:snapToGrid w:val="0"/>
          <w:color w:val="auto"/>
          <w:spacing w:val="8"/>
          <w:sz w:val="24"/>
          <w:szCs w:val="24"/>
          <w:highlight w:val="none"/>
          <w:lang w:eastAsia="zh-CN"/>
        </w:rPr>
        <w:t>五、参比文件递交要求</w:t>
      </w:r>
      <w:r>
        <w:rPr>
          <w:rFonts w:hint="eastAsia" w:ascii="Times New Roman" w:hAnsi="Times New Roman" w:cs="Times New Roman"/>
          <w:b/>
          <w:snapToGrid w:val="0"/>
          <w:color w:val="auto"/>
          <w:spacing w:val="8"/>
          <w:sz w:val="24"/>
          <w:szCs w:val="24"/>
          <w:highlight w:val="none"/>
          <w:lang w:eastAsia="zh-CN"/>
        </w:rPr>
        <w:t>：</w:t>
      </w:r>
    </w:p>
    <w:p w14:paraId="2D7212FD">
      <w:pPr>
        <w:pStyle w:val="4"/>
        <w:tabs>
          <w:tab w:val="left" w:pos="6879"/>
        </w:tabs>
        <w:spacing w:line="360" w:lineRule="auto"/>
        <w:ind w:left="322" w:right="106" w:hanging="322"/>
        <w:rPr>
          <w:rFonts w:ascii="Times New Roman" w:hAnsi="Times New Roman" w:cs="Times New Roman"/>
          <w:b w:val="0"/>
          <w:bCs w:val="0"/>
          <w:color w:val="auto"/>
          <w:highlight w:val="none"/>
          <w:lang w:eastAsia="zh-CN"/>
        </w:rPr>
      </w:pPr>
      <w:r>
        <w:rPr>
          <w:rFonts w:ascii="Times New Roman" w:hAnsi="Times New Roman" w:cs="Times New Roman"/>
          <w:b w:val="0"/>
          <w:bCs w:val="0"/>
          <w:color w:val="auto"/>
          <w:highlight w:val="none"/>
          <w:lang w:eastAsia="zh-CN"/>
        </w:rPr>
        <w:t>1、参比文件递交地点：漳州市漳浦县杜浔镇杜昌路9号福海创办公楼三楼综合采购团队</w:t>
      </w:r>
    </w:p>
    <w:p w14:paraId="2A74A0FA">
      <w:pPr>
        <w:pStyle w:val="4"/>
        <w:tabs>
          <w:tab w:val="left" w:pos="6879"/>
        </w:tabs>
        <w:spacing w:line="360" w:lineRule="auto"/>
        <w:ind w:left="220" w:leftChars="100" w:right="106" w:firstLine="2160" w:firstLineChars="900"/>
        <w:rPr>
          <w:rFonts w:ascii="Times New Roman" w:hAnsi="Times New Roman" w:cs="Times New Roman"/>
          <w:b w:val="0"/>
          <w:bCs w:val="0"/>
          <w:color w:val="auto"/>
          <w:highlight w:val="none"/>
          <w:lang w:eastAsia="zh-CN"/>
        </w:rPr>
      </w:pPr>
      <w:r>
        <w:rPr>
          <w:rFonts w:ascii="Times New Roman" w:hAnsi="Times New Roman" w:cs="Times New Roman"/>
          <w:b w:val="0"/>
          <w:bCs w:val="0"/>
          <w:color w:val="auto"/>
          <w:highlight w:val="none"/>
          <w:lang w:eastAsia="zh-CN"/>
        </w:rPr>
        <w:t>联系人：黄梅钦，联系电话：0596-6311073。</w:t>
      </w:r>
    </w:p>
    <w:p w14:paraId="57504DE4">
      <w:pPr>
        <w:pStyle w:val="4"/>
        <w:tabs>
          <w:tab w:val="left" w:pos="6879"/>
        </w:tabs>
        <w:spacing w:line="360" w:lineRule="auto"/>
        <w:ind w:left="720" w:right="106" w:hanging="720" w:hangingChars="300"/>
        <w:rPr>
          <w:rFonts w:ascii="Times New Roman" w:hAnsi="Times New Roman" w:cs="Times New Roman"/>
          <w:b w:val="0"/>
          <w:bCs w:val="0"/>
          <w:color w:val="auto"/>
          <w:highlight w:val="none"/>
          <w:lang w:eastAsia="zh-CN"/>
        </w:rPr>
      </w:pPr>
      <w:r>
        <w:rPr>
          <w:rFonts w:ascii="Times New Roman" w:hAnsi="Times New Roman" w:cs="Times New Roman"/>
          <w:b w:val="0"/>
          <w:bCs w:val="0"/>
          <w:color w:val="auto"/>
          <w:highlight w:val="none"/>
          <w:lang w:eastAsia="zh-CN"/>
        </w:rPr>
        <w:t xml:space="preserve">      注：请使用顺丰快递或中国邮政 EMS 快递，其他快递不能保证送达目的地。</w:t>
      </w:r>
    </w:p>
    <w:p w14:paraId="22758D9A">
      <w:pPr>
        <w:spacing w:line="360" w:lineRule="auto"/>
        <w:ind w:left="380" w:leftChars="6" w:hanging="367" w:hangingChars="153"/>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2</w:t>
      </w:r>
      <w:r>
        <w:rPr>
          <w:rFonts w:ascii="Times New Roman" w:hAnsi="Times New Roman" w:cs="Times New Roman"/>
          <w:color w:val="auto"/>
          <w:sz w:val="24"/>
          <w:szCs w:val="24"/>
          <w:highlight w:val="none"/>
          <w:lang w:eastAsia="zh-CN"/>
        </w:rPr>
        <w:t>、递交截止时间：公示之日起</w:t>
      </w:r>
      <w:r>
        <w:rPr>
          <w:rFonts w:hint="eastAsia" w:ascii="Times New Roman" w:hAnsi="Times New Roman" w:cs="Times New Roman"/>
          <w:color w:val="auto"/>
          <w:sz w:val="24"/>
          <w:szCs w:val="24"/>
          <w:highlight w:val="none"/>
          <w:lang w:val="en-US" w:eastAsia="zh-CN"/>
        </w:rPr>
        <w:t>2025年07月31日</w:t>
      </w:r>
      <w:r>
        <w:rPr>
          <w:rFonts w:ascii="Times New Roman" w:hAnsi="Times New Roman" w:cs="Times New Roman"/>
          <w:color w:val="auto"/>
          <w:sz w:val="24"/>
          <w:szCs w:val="24"/>
          <w:highlight w:val="none"/>
          <w:lang w:eastAsia="zh-CN"/>
        </w:rPr>
        <w:t>（含当日）止</w:t>
      </w:r>
      <w:r>
        <w:rPr>
          <w:rFonts w:hint="eastAsia" w:ascii="Times New Roman" w:hAnsi="Times New Roman" w:cs="Times New Roman"/>
          <w:color w:val="auto"/>
          <w:sz w:val="24"/>
          <w:szCs w:val="24"/>
          <w:highlight w:val="none"/>
          <w:lang w:eastAsia="zh-CN"/>
        </w:rPr>
        <w:t>。</w:t>
      </w:r>
    </w:p>
    <w:p w14:paraId="12C61C39">
      <w:pPr>
        <w:tabs>
          <w:tab w:val="left" w:pos="709"/>
        </w:tabs>
        <w:spacing w:line="360" w:lineRule="auto"/>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3</w:t>
      </w:r>
      <w:r>
        <w:rPr>
          <w:rFonts w:ascii="Times New Roman" w:hAnsi="Times New Roman" w:cs="Times New Roman"/>
          <w:color w:val="auto"/>
          <w:sz w:val="24"/>
          <w:szCs w:val="24"/>
          <w:highlight w:val="none"/>
          <w:lang w:eastAsia="zh-CN"/>
        </w:rPr>
        <w:t>、逾期送达的或未送达指定地点或参比文件密封不符合规定要求的，采购人不予受理或拒收。</w:t>
      </w:r>
    </w:p>
    <w:p w14:paraId="553570ED">
      <w:pPr>
        <w:pStyle w:val="20"/>
        <w:spacing w:line="360" w:lineRule="auto"/>
        <w:ind w:right="121"/>
        <w:jc w:val="both"/>
        <w:rPr>
          <w:rFonts w:ascii="Times New Roman" w:hAnsi="Times New Roman" w:cs="Times New Roman"/>
          <w:b/>
          <w:bCs/>
          <w:snapToGrid w:val="0"/>
          <w:color w:val="auto"/>
          <w:spacing w:val="8"/>
          <w:highlight w:val="none"/>
          <w:lang w:eastAsia="zh-CN"/>
        </w:rPr>
      </w:pPr>
      <w:r>
        <w:rPr>
          <w:rFonts w:ascii="Times New Roman" w:hAnsi="Times New Roman" w:cs="Times New Roman"/>
          <w:b/>
          <w:bCs/>
          <w:snapToGrid w:val="0"/>
          <w:color w:val="auto"/>
          <w:spacing w:val="8"/>
          <w:highlight w:val="none"/>
          <w:lang w:eastAsia="zh-CN"/>
        </w:rPr>
        <w:t>六、参比保证金：</w:t>
      </w:r>
    </w:p>
    <w:p w14:paraId="1814F4DE">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1、参比人应缴纳参比保证金，保证金金额人民币</w:t>
      </w:r>
      <w:r>
        <w:rPr>
          <w:rFonts w:hint="eastAsia" w:ascii="Times New Roman" w:hAnsi="Times New Roman" w:cs="Times New Roman"/>
          <w:color w:val="auto"/>
          <w:sz w:val="24"/>
          <w:szCs w:val="24"/>
          <w:highlight w:val="none"/>
          <w:lang w:val="en-US" w:eastAsia="zh-CN"/>
        </w:rPr>
        <w:t>80</w:t>
      </w:r>
      <w:r>
        <w:rPr>
          <w:rFonts w:ascii="Times New Roman" w:hAnsi="Times New Roman" w:cs="Times New Roman"/>
          <w:color w:val="auto"/>
          <w:sz w:val="24"/>
          <w:szCs w:val="24"/>
          <w:highlight w:val="none"/>
          <w:lang w:eastAsia="zh-CN"/>
        </w:rPr>
        <w:t>00</w:t>
      </w:r>
      <w:r>
        <w:rPr>
          <w:rFonts w:hint="eastAsia" w:ascii="Times New Roman" w:hAnsi="Times New Roman" w:cs="Times New Roman"/>
          <w:color w:val="auto"/>
          <w:sz w:val="24"/>
          <w:szCs w:val="24"/>
          <w:highlight w:val="none"/>
          <w:lang w:eastAsia="zh-CN"/>
        </w:rPr>
        <w:t>元整，参比人应以电汇或银行转账的形式在递交截止时间前从参比人基本账户转入采购人的账户，采购人账户信息如下：</w:t>
      </w:r>
    </w:p>
    <w:p w14:paraId="77029B86">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 xml:space="preserve">  开户名称：福建福海创石油化工有限公司</w:t>
      </w:r>
    </w:p>
    <w:p w14:paraId="3A154A55">
      <w:pPr>
        <w:spacing w:line="360" w:lineRule="auto"/>
        <w:ind w:left="233" w:leftChars="106" w:firstLine="240" w:firstLineChars="100"/>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开户银行：中国银行股份有限公司漳州古雷经济开发区支行</w:t>
      </w:r>
    </w:p>
    <w:p w14:paraId="5DD17306">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 xml:space="preserve">  </w:t>
      </w:r>
      <w:r>
        <w:rPr>
          <w:rFonts w:hint="eastAsia" w:ascii="Times New Roman" w:hAnsi="Times New Roman" w:cs="Times New Roman"/>
          <w:color w:val="auto"/>
          <w:sz w:val="24"/>
          <w:szCs w:val="24"/>
          <w:highlight w:val="none"/>
          <w:lang w:eastAsia="zh-CN"/>
        </w:rPr>
        <w:t>帐  号：</w:t>
      </w:r>
      <w:r>
        <w:rPr>
          <w:rFonts w:ascii="Times New Roman" w:hAnsi="Times New Roman" w:cs="Times New Roman"/>
          <w:color w:val="auto"/>
          <w:sz w:val="24"/>
          <w:szCs w:val="24"/>
          <w:highlight w:val="none"/>
          <w:lang w:eastAsia="zh-CN"/>
        </w:rPr>
        <w:t>4065</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7481</w:t>
      </w:r>
      <w:r>
        <w:rPr>
          <w:rFonts w:hint="eastAsia" w:ascii="Times New Roman" w:hAnsi="Times New Roman" w:cs="Times New Roman"/>
          <w:color w:val="auto"/>
          <w:sz w:val="24"/>
          <w:szCs w:val="24"/>
          <w:highlight w:val="none"/>
          <w:lang w:eastAsia="zh-CN"/>
        </w:rPr>
        <w:t xml:space="preserve"> </w:t>
      </w:r>
      <w:r>
        <w:rPr>
          <w:rFonts w:ascii="Times New Roman" w:hAnsi="Times New Roman" w:cs="Times New Roman"/>
          <w:color w:val="auto"/>
          <w:sz w:val="24"/>
          <w:szCs w:val="24"/>
          <w:highlight w:val="none"/>
          <w:lang w:eastAsia="zh-CN"/>
        </w:rPr>
        <w:t>6628</w:t>
      </w:r>
    </w:p>
    <w:p w14:paraId="47368658">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注明用途：</w:t>
      </w:r>
      <w:r>
        <w:rPr>
          <w:rFonts w:hint="eastAsia" w:ascii="Times New Roman" w:hAnsi="Times New Roman" w:eastAsia="宋体" w:cs="Times New Roman"/>
          <w:color w:val="auto"/>
          <w:sz w:val="24"/>
          <w:szCs w:val="24"/>
          <w:highlight w:val="none"/>
          <w:lang w:val="en-US" w:eastAsia="zh-CN"/>
        </w:rPr>
        <w:t>开展生产船燃的进料加工业务服务出具专业报告</w:t>
      </w:r>
      <w:r>
        <w:rPr>
          <w:rFonts w:hint="eastAsia" w:ascii="Times New Roman" w:hAnsi="Times New Roman" w:eastAsia="宋体" w:cs="Times New Roman"/>
          <w:color w:val="auto"/>
          <w:sz w:val="24"/>
          <w:szCs w:val="24"/>
          <w:highlight w:val="none"/>
          <w:lang w:eastAsia="zh-CN"/>
        </w:rPr>
        <w:t>项目参</w:t>
      </w:r>
      <w:r>
        <w:rPr>
          <w:rFonts w:hint="eastAsia" w:ascii="Times New Roman" w:hAnsi="Times New Roman" w:cs="Times New Roman"/>
          <w:color w:val="auto"/>
          <w:sz w:val="24"/>
          <w:szCs w:val="24"/>
          <w:highlight w:val="none"/>
          <w:lang w:eastAsia="zh-CN"/>
        </w:rPr>
        <w:t>比保证金</w:t>
      </w:r>
    </w:p>
    <w:p w14:paraId="11CCBDA8">
      <w:pPr>
        <w:spacing w:line="360" w:lineRule="auto"/>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参比有效期为参比文件接收截止期后90个日历天，参比保证金有效期与参比有效期一致。</w:t>
      </w:r>
    </w:p>
    <w:p w14:paraId="769487C8">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注：开户许可证上账号应与参比保证金转账回单上账号一致，否则视为未按规定提交参比保证金,所造成的一切后果由参比人自行负责。参比保证金转入后，将相关凭证放在参比文件中。</w:t>
      </w:r>
    </w:p>
    <w:p w14:paraId="3B29F4E0">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2.对于未能按要求提交保证金的参比文件，采购人将视为不符合参比要求而予以拒绝；</w:t>
      </w:r>
    </w:p>
    <w:p w14:paraId="53A3FA88">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3.询比结束后将原账户无息退还参比选保证金，最迟不超过本项目规定的参比有效期满后的20天。</w:t>
      </w:r>
    </w:p>
    <w:p w14:paraId="54CF2658">
      <w:pPr>
        <w:spacing w:line="360" w:lineRule="auto"/>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4.如有下列情况发生，将被没收参比保证金：</w:t>
      </w:r>
    </w:p>
    <w:p w14:paraId="29FEF03C">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（1）参比人在参比有效期内撤回参比文件；</w:t>
      </w:r>
    </w:p>
    <w:p w14:paraId="345307B6">
      <w:pPr>
        <w:spacing w:line="360" w:lineRule="auto"/>
        <w:ind w:left="380" w:leftChars="6" w:hanging="367" w:hangingChars="153"/>
        <w:rPr>
          <w:rFonts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 xml:space="preserve">    （2）参比人未按中选通知书规定的时间内签定合同。</w:t>
      </w:r>
    </w:p>
    <w:p w14:paraId="0FD5CA62">
      <w:pPr>
        <w:spacing w:line="360" w:lineRule="auto"/>
        <w:rPr>
          <w:rFonts w:ascii="Times New Roman" w:hAnsi="Times New Roman" w:cs="Times New Roman"/>
          <w:color w:val="auto"/>
          <w:sz w:val="24"/>
          <w:szCs w:val="24"/>
          <w:highlight w:val="none"/>
          <w:lang w:eastAsia="zh-CN"/>
        </w:rPr>
      </w:pPr>
      <w:r>
        <w:rPr>
          <w:rFonts w:ascii="Times New Roman" w:hAnsi="Times New Roman" w:cs="Times New Roman"/>
          <w:b/>
          <w:bCs/>
          <w:snapToGrid w:val="0"/>
          <w:color w:val="auto"/>
          <w:spacing w:val="8"/>
          <w:sz w:val="24"/>
          <w:szCs w:val="24"/>
          <w:highlight w:val="none"/>
          <w:lang w:eastAsia="zh-CN"/>
        </w:rPr>
        <w:t>七、联系方式</w:t>
      </w:r>
      <w:r>
        <w:rPr>
          <w:rFonts w:ascii="Times New Roman" w:hAnsi="Times New Roman" w:cs="Times New Roman"/>
          <w:color w:val="auto"/>
          <w:sz w:val="24"/>
          <w:szCs w:val="24"/>
          <w:highlight w:val="none"/>
          <w:lang w:eastAsia="zh-CN"/>
        </w:rPr>
        <w:t xml:space="preserve">   </w:t>
      </w:r>
    </w:p>
    <w:p w14:paraId="31A125F7">
      <w:pPr>
        <w:spacing w:line="360" w:lineRule="auto"/>
        <w:ind w:left="380" w:leftChars="6" w:hanging="367" w:hangingChars="153"/>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商务联系人：黄梅钦 电话：0596-6311073     邮箱：</w:t>
      </w:r>
      <w:r>
        <w:rPr>
          <w:rFonts w:ascii="Times New Roman" w:hAnsi="Times New Roman" w:eastAsia="宋体" w:cs="Times New Roman"/>
          <w:color w:val="auto"/>
          <w:sz w:val="24"/>
          <w:szCs w:val="24"/>
          <w:highlight w:val="none"/>
          <w:lang w:eastAsia="zh-CN"/>
        </w:rPr>
        <w:fldChar w:fldCharType="begin"/>
      </w:r>
      <w:r>
        <w:rPr>
          <w:rFonts w:ascii="Times New Roman" w:hAnsi="Times New Roman" w:eastAsia="宋体" w:cs="Times New Roman"/>
          <w:color w:val="auto"/>
          <w:sz w:val="24"/>
          <w:szCs w:val="24"/>
          <w:highlight w:val="none"/>
          <w:lang w:eastAsia="zh-CN"/>
        </w:rPr>
        <w:instrText xml:space="preserve"> HYPERLINK "mailto:huangmq@fjpec.com.cn" </w:instrText>
      </w:r>
      <w:r>
        <w:rPr>
          <w:rFonts w:ascii="Times New Roman" w:hAnsi="Times New Roman" w:eastAsia="宋体" w:cs="Times New Roman"/>
          <w:color w:val="auto"/>
          <w:sz w:val="24"/>
          <w:szCs w:val="24"/>
          <w:highlight w:val="none"/>
          <w:lang w:eastAsia="zh-CN"/>
        </w:rPr>
        <w:fldChar w:fldCharType="separate"/>
      </w:r>
      <w:r>
        <w:rPr>
          <w:rFonts w:ascii="Times New Roman" w:hAnsi="Times New Roman" w:eastAsia="宋体" w:cs="Times New Roman"/>
          <w:color w:val="auto"/>
          <w:sz w:val="24"/>
          <w:szCs w:val="24"/>
          <w:highlight w:val="none"/>
          <w:lang w:eastAsia="zh-CN"/>
        </w:rPr>
        <w:t>huangmq@fjpec.com.cn</w:t>
      </w:r>
      <w:r>
        <w:rPr>
          <w:rFonts w:ascii="Times New Roman" w:hAnsi="Times New Roman" w:eastAsia="宋体" w:cs="Times New Roman"/>
          <w:color w:val="auto"/>
          <w:sz w:val="24"/>
          <w:szCs w:val="24"/>
          <w:highlight w:val="none"/>
          <w:lang w:eastAsia="zh-CN"/>
        </w:rPr>
        <w:fldChar w:fldCharType="end"/>
      </w:r>
    </w:p>
    <w:p w14:paraId="0E3A3A0B">
      <w:pPr>
        <w:spacing w:line="360" w:lineRule="auto"/>
        <w:ind w:left="380" w:leftChars="6" w:hanging="367" w:hangingChars="153"/>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技术联系人：</w:t>
      </w:r>
      <w:r>
        <w:rPr>
          <w:rFonts w:hint="eastAsia" w:ascii="Times New Roman" w:hAnsi="Times New Roman" w:eastAsia="宋体" w:cs="Times New Roman"/>
          <w:color w:val="auto"/>
          <w:sz w:val="24"/>
          <w:szCs w:val="24"/>
          <w:highlight w:val="none"/>
          <w:lang w:val="en-US" w:eastAsia="zh-CN"/>
        </w:rPr>
        <w:t xml:space="preserve">刘剑虹 </w:t>
      </w:r>
      <w:r>
        <w:rPr>
          <w:rFonts w:ascii="Times New Roman" w:hAnsi="Times New Roman" w:eastAsia="宋体" w:cs="Times New Roman"/>
          <w:color w:val="auto"/>
          <w:sz w:val="24"/>
          <w:szCs w:val="24"/>
          <w:highlight w:val="none"/>
          <w:lang w:eastAsia="zh-CN"/>
        </w:rPr>
        <w:t xml:space="preserve"> 电话：</w:t>
      </w:r>
      <w:r>
        <w:rPr>
          <w:rFonts w:hint="eastAsia" w:ascii="Times New Roman" w:hAnsi="Times New Roman" w:eastAsia="宋体" w:cs="Times New Roman"/>
          <w:color w:val="auto"/>
          <w:sz w:val="24"/>
          <w:szCs w:val="24"/>
          <w:highlight w:val="none"/>
          <w:lang w:val="en-US" w:eastAsia="zh-CN"/>
        </w:rPr>
        <w:t>13905989399</w:t>
      </w:r>
      <w:r>
        <w:rPr>
          <w:rFonts w:ascii="Times New Roman" w:hAnsi="Times New Roman" w:eastAsia="宋体" w:cs="Times New Roman"/>
          <w:color w:val="auto"/>
          <w:sz w:val="24"/>
          <w:szCs w:val="24"/>
          <w:highlight w:val="none"/>
          <w:lang w:eastAsia="zh-CN"/>
        </w:rPr>
        <w:t xml:space="preserve">      邮箱：</w:t>
      </w:r>
      <w:r>
        <w:rPr>
          <w:rFonts w:hint="eastAsia" w:ascii="Times New Roman" w:hAnsi="Times New Roman" w:eastAsia="宋体" w:cs="Times New Roman"/>
          <w:color w:val="auto"/>
          <w:sz w:val="24"/>
          <w:szCs w:val="24"/>
          <w:highlight w:val="none"/>
          <w:lang w:val="en-US" w:eastAsia="zh-CN"/>
        </w:rPr>
        <w:t>jhliu</w:t>
      </w:r>
      <w:r>
        <w:rPr>
          <w:rFonts w:ascii="Times New Roman" w:hAnsi="Times New Roman" w:eastAsia="宋体" w:cs="Times New Roman"/>
          <w:color w:val="auto"/>
          <w:sz w:val="24"/>
          <w:szCs w:val="24"/>
          <w:highlight w:val="none"/>
          <w:lang w:eastAsia="zh-CN"/>
        </w:rPr>
        <w:t>@f</w:t>
      </w:r>
      <w:r>
        <w:rPr>
          <w:rFonts w:hint="eastAsia" w:ascii="Times New Roman" w:hAnsi="Times New Roman" w:eastAsia="宋体" w:cs="Times New Roman"/>
          <w:color w:val="auto"/>
          <w:sz w:val="24"/>
          <w:szCs w:val="24"/>
          <w:highlight w:val="none"/>
          <w:lang w:val="en-US" w:eastAsia="zh-CN"/>
        </w:rPr>
        <w:t>j</w:t>
      </w:r>
      <w:r>
        <w:rPr>
          <w:rFonts w:ascii="Times New Roman" w:hAnsi="Times New Roman" w:eastAsia="宋体" w:cs="Times New Roman"/>
          <w:color w:val="auto"/>
          <w:sz w:val="24"/>
          <w:szCs w:val="24"/>
          <w:highlight w:val="none"/>
          <w:lang w:eastAsia="zh-CN"/>
        </w:rPr>
        <w:t>pec.com.cn   </w:t>
      </w:r>
    </w:p>
    <w:p w14:paraId="4B94A14A">
      <w:pPr>
        <w:spacing w:line="360" w:lineRule="auto"/>
        <w:ind w:left="380" w:leftChars="6" w:hanging="367" w:hangingChars="153"/>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 xml:space="preserve">纪检监察室电话：0596-6311774  </w:t>
      </w:r>
    </w:p>
    <w:p w14:paraId="1FFC7D29">
      <w:pPr>
        <w:spacing w:line="360" w:lineRule="auto"/>
        <w:ind w:left="380" w:leftChars="6" w:hanging="367" w:hangingChars="153"/>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联系地址：福建省漳州市漳浦县杜浔镇杜昌路9号</w:t>
      </w:r>
    </w:p>
    <w:p w14:paraId="345A603E">
      <w:pPr>
        <w:spacing w:line="360" w:lineRule="auto"/>
        <w:ind w:left="380" w:leftChars="6" w:hanging="367" w:hangingChars="153"/>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邮    编：363216</w:t>
      </w:r>
    </w:p>
    <w:p w14:paraId="0A2AF5E8">
      <w:pPr>
        <w:spacing w:line="360" w:lineRule="auto"/>
        <w:rPr>
          <w:rFonts w:ascii="Times New Roman" w:hAnsi="Times New Roman" w:cs="Times New Roman"/>
          <w:color w:val="auto"/>
          <w:sz w:val="24"/>
          <w:szCs w:val="24"/>
          <w:highlight w:val="none"/>
          <w:lang w:eastAsia="zh-CN"/>
        </w:rPr>
      </w:pPr>
    </w:p>
    <w:p w14:paraId="2D286E6B">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福建福海创石油化工有限公司 </w:t>
      </w:r>
    </w:p>
    <w:p w14:paraId="0320CE00">
      <w:pPr>
        <w:spacing w:line="360" w:lineRule="auto"/>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                                                                          2025年0</w:t>
      </w:r>
      <w:r>
        <w:rPr>
          <w:rFonts w:hint="eastAsia" w:ascii="Times New Roman" w:hAnsi="Times New Roman" w:cs="Times New Roman"/>
          <w:color w:val="auto"/>
          <w:sz w:val="24"/>
          <w:szCs w:val="24"/>
          <w:highlight w:val="none"/>
          <w:lang w:val="en-US" w:eastAsia="zh-CN"/>
        </w:rPr>
        <w:t>7</w:t>
      </w:r>
      <w:r>
        <w:rPr>
          <w:rFonts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23</w:t>
      </w:r>
      <w:bookmarkStart w:id="1" w:name="_GoBack"/>
      <w:bookmarkEnd w:id="1"/>
      <w:r>
        <w:rPr>
          <w:rFonts w:ascii="Times New Roman" w:hAnsi="Times New Roman" w:cs="Times New Roman"/>
          <w:color w:val="auto"/>
          <w:sz w:val="24"/>
          <w:szCs w:val="24"/>
          <w:highlight w:val="none"/>
          <w:lang w:eastAsia="zh-CN"/>
        </w:rPr>
        <w:t xml:space="preserve"> 日</w:t>
      </w:r>
    </w:p>
    <w:p w14:paraId="1C8B8249">
      <w:pPr>
        <w:pStyle w:val="3"/>
        <w:tabs>
          <w:tab w:val="left" w:pos="1262"/>
        </w:tabs>
        <w:spacing w:line="360" w:lineRule="auto"/>
        <w:ind w:left="0" w:right="108"/>
        <w:jc w:val="center"/>
        <w:rPr>
          <w:rFonts w:ascii="仿宋" w:hAnsi="仿宋" w:eastAsia="仿宋"/>
          <w:color w:val="auto"/>
          <w:sz w:val="24"/>
          <w:szCs w:val="24"/>
          <w:highlight w:val="none"/>
          <w:lang w:eastAsia="zh-CN"/>
        </w:rPr>
      </w:pPr>
    </w:p>
    <w:p w14:paraId="2F11EB69">
      <w:pPr>
        <w:rPr>
          <w:rFonts w:ascii="仿宋" w:hAnsi="仿宋" w:eastAsia="仿宋"/>
          <w:color w:val="auto"/>
          <w:highlight w:val="none"/>
          <w:lang w:eastAsia="zh-CN"/>
        </w:rPr>
      </w:pPr>
    </w:p>
    <w:p w14:paraId="5D80F129">
      <w:pPr>
        <w:pStyle w:val="2"/>
        <w:rPr>
          <w:rFonts w:ascii="仿宋" w:hAnsi="仿宋" w:eastAsia="仿宋"/>
          <w:color w:val="auto"/>
          <w:highlight w:val="none"/>
        </w:rPr>
      </w:pPr>
    </w:p>
    <w:p w14:paraId="0A5F20E4">
      <w:pPr>
        <w:pStyle w:val="2"/>
        <w:rPr>
          <w:rFonts w:ascii="仿宋" w:hAnsi="仿宋" w:eastAsia="仿宋"/>
          <w:color w:val="auto"/>
          <w:highlight w:val="none"/>
        </w:rPr>
      </w:pPr>
    </w:p>
    <w:p w14:paraId="7E7D851E">
      <w:pPr>
        <w:pStyle w:val="2"/>
        <w:rPr>
          <w:rFonts w:ascii="仿宋" w:hAnsi="仿宋" w:eastAsia="仿宋"/>
          <w:color w:val="auto"/>
          <w:highlight w:val="none"/>
        </w:rPr>
      </w:pPr>
    </w:p>
    <w:p w14:paraId="3068DC3E">
      <w:pPr>
        <w:pStyle w:val="2"/>
        <w:rPr>
          <w:rFonts w:ascii="仿宋" w:hAnsi="仿宋" w:eastAsia="仿宋"/>
          <w:color w:val="auto"/>
          <w:highlight w:val="none"/>
        </w:rPr>
      </w:pPr>
    </w:p>
    <w:p w14:paraId="4123DEC7">
      <w:pPr>
        <w:pStyle w:val="2"/>
        <w:rPr>
          <w:rFonts w:ascii="仿宋" w:hAnsi="仿宋" w:eastAsia="仿宋"/>
          <w:color w:val="auto"/>
          <w:highlight w:val="none"/>
        </w:rPr>
      </w:pPr>
    </w:p>
    <w:p w14:paraId="1F0E6878">
      <w:pPr>
        <w:pStyle w:val="2"/>
        <w:rPr>
          <w:rFonts w:ascii="仿宋" w:hAnsi="仿宋" w:eastAsia="仿宋"/>
          <w:color w:val="auto"/>
          <w:highlight w:val="none"/>
        </w:rPr>
      </w:pPr>
    </w:p>
    <w:p w14:paraId="4BFC1876">
      <w:pPr>
        <w:pStyle w:val="2"/>
        <w:rPr>
          <w:rFonts w:ascii="仿宋" w:hAnsi="仿宋" w:eastAsia="仿宋"/>
          <w:color w:val="auto"/>
          <w:highlight w:val="none"/>
        </w:rPr>
      </w:pPr>
    </w:p>
    <w:p w14:paraId="4AA6BDC0">
      <w:pPr>
        <w:pStyle w:val="2"/>
        <w:rPr>
          <w:rFonts w:ascii="仿宋" w:hAnsi="仿宋" w:eastAsia="仿宋"/>
          <w:color w:val="auto"/>
          <w:highlight w:val="none"/>
        </w:rPr>
      </w:pPr>
    </w:p>
    <w:p w14:paraId="59F4062C">
      <w:pPr>
        <w:pStyle w:val="2"/>
        <w:rPr>
          <w:rFonts w:ascii="仿宋" w:hAnsi="仿宋" w:eastAsia="仿宋"/>
          <w:color w:val="auto"/>
          <w:highlight w:val="none"/>
        </w:rPr>
      </w:pPr>
    </w:p>
    <w:p w14:paraId="5B499576">
      <w:pPr>
        <w:pStyle w:val="2"/>
        <w:rPr>
          <w:rFonts w:ascii="仿宋" w:hAnsi="仿宋" w:eastAsia="仿宋"/>
          <w:color w:val="auto"/>
          <w:highlight w:val="none"/>
        </w:rPr>
      </w:pPr>
    </w:p>
    <w:p w14:paraId="41D5F23E">
      <w:pPr>
        <w:pStyle w:val="2"/>
        <w:rPr>
          <w:rFonts w:ascii="仿宋" w:hAnsi="仿宋" w:eastAsia="仿宋"/>
          <w:color w:val="auto"/>
          <w:highlight w:val="none"/>
        </w:rPr>
      </w:pPr>
    </w:p>
    <w:p w14:paraId="6CCCC6D8">
      <w:pPr>
        <w:pStyle w:val="2"/>
        <w:rPr>
          <w:rFonts w:ascii="仿宋" w:hAnsi="仿宋" w:eastAsia="仿宋"/>
          <w:color w:val="auto"/>
          <w:highlight w:val="none"/>
        </w:rPr>
      </w:pPr>
    </w:p>
    <w:p w14:paraId="4C63F1E1">
      <w:pPr>
        <w:pStyle w:val="2"/>
        <w:rPr>
          <w:rFonts w:ascii="仿宋" w:hAnsi="仿宋" w:eastAsia="仿宋"/>
          <w:color w:val="auto"/>
          <w:highlight w:val="none"/>
        </w:rPr>
      </w:pPr>
    </w:p>
    <w:p w14:paraId="36FE9700">
      <w:pPr>
        <w:pStyle w:val="70"/>
        <w:numPr>
          <w:ilvl w:val="255"/>
          <w:numId w:val="0"/>
        </w:numPr>
        <w:tabs>
          <w:tab w:val="left" w:pos="1272"/>
        </w:tabs>
        <w:ind w:left="9" w:firstLine="1516" w:firstLineChars="500"/>
        <w:rPr>
          <w:rFonts w:ascii="仿宋" w:hAnsi="仿宋" w:eastAsia="仿宋"/>
          <w:b/>
          <w:color w:val="auto"/>
          <w:spacing w:val="-1"/>
          <w:w w:val="95"/>
          <w:sz w:val="32"/>
          <w:szCs w:val="32"/>
          <w:highlight w:val="none"/>
          <w:lang w:eastAsia="zh-CN"/>
        </w:rPr>
      </w:pPr>
      <w:r>
        <w:rPr>
          <w:rFonts w:hint="eastAsia" w:ascii="仿宋" w:hAnsi="仿宋" w:eastAsia="仿宋"/>
          <w:b/>
          <w:color w:val="auto"/>
          <w:spacing w:val="-1"/>
          <w:w w:val="95"/>
          <w:sz w:val="32"/>
          <w:szCs w:val="32"/>
          <w:highlight w:val="none"/>
          <w:lang w:eastAsia="zh-CN"/>
        </w:rPr>
        <w:t xml:space="preserve">          第二章</w:t>
      </w:r>
      <w:r>
        <w:rPr>
          <w:rFonts w:hint="eastAsia" w:ascii="仿宋" w:hAnsi="仿宋" w:eastAsia="仿宋"/>
          <w:b/>
          <w:color w:val="auto"/>
          <w:spacing w:val="-1"/>
          <w:w w:val="95"/>
          <w:sz w:val="32"/>
          <w:szCs w:val="32"/>
          <w:highlight w:val="none"/>
          <w:lang w:eastAsia="zh-CN"/>
        </w:rPr>
        <w:tab/>
      </w:r>
      <w:r>
        <w:rPr>
          <w:rFonts w:hint="eastAsia" w:ascii="仿宋" w:hAnsi="仿宋" w:eastAsia="仿宋"/>
          <w:b/>
          <w:color w:val="auto"/>
          <w:spacing w:val="-1"/>
          <w:w w:val="95"/>
          <w:sz w:val="32"/>
          <w:szCs w:val="32"/>
          <w:highlight w:val="none"/>
          <w:lang w:eastAsia="zh-CN"/>
        </w:rPr>
        <w:t>询比须知</w:t>
      </w:r>
    </w:p>
    <w:p w14:paraId="5FF3AF38">
      <w:pPr>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p>
    <w:p w14:paraId="2295D77B">
      <w:pPr>
        <w:rPr>
          <w:color w:val="auto"/>
          <w:highlight w:val="none"/>
          <w:lang w:eastAsia="zh-CN"/>
        </w:rPr>
      </w:pPr>
      <w:r>
        <w:rPr>
          <w:rFonts w:ascii="仿宋" w:hAnsi="仿宋" w:eastAsia="仿宋"/>
          <w:b/>
          <w:color w:val="auto"/>
          <w:w w:val="95"/>
          <w:sz w:val="28"/>
          <w:highlight w:val="none"/>
          <w:lang w:eastAsia="zh-CN"/>
        </w:rPr>
        <w:t>一、</w:t>
      </w:r>
      <w:r>
        <w:rPr>
          <w:rFonts w:hint="eastAsia"/>
          <w:b/>
          <w:color w:val="auto"/>
          <w:sz w:val="28"/>
          <w:szCs w:val="28"/>
          <w:highlight w:val="none"/>
          <w:lang w:eastAsia="zh-CN"/>
        </w:rPr>
        <w:t>参比须知前附表</w:t>
      </w:r>
    </w:p>
    <w:tbl>
      <w:tblPr>
        <w:tblStyle w:val="46"/>
        <w:tblW w:w="9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698"/>
        <w:gridCol w:w="6750"/>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项号</w:t>
            </w:r>
          </w:p>
        </w:tc>
        <w:tc>
          <w:tcPr>
            <w:tcW w:w="1698"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内  容</w:t>
            </w:r>
          </w:p>
        </w:tc>
        <w:tc>
          <w:tcPr>
            <w:tcW w:w="6750"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698"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人</w:t>
            </w:r>
          </w:p>
        </w:tc>
        <w:tc>
          <w:tcPr>
            <w:tcW w:w="6750"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名称：福建福海创石油化工有限公司</w:t>
            </w:r>
          </w:p>
          <w:p w14:paraId="5C2235C8">
            <w:pPr>
              <w:widowControl/>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698"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项目名称</w:t>
            </w:r>
          </w:p>
        </w:tc>
        <w:tc>
          <w:tcPr>
            <w:tcW w:w="6750"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color w:val="auto"/>
                <w:sz w:val="21"/>
                <w:szCs w:val="21"/>
                <w:highlight w:val="none"/>
                <w:lang w:eastAsia="zh-CN"/>
              </w:rPr>
            </w:pPr>
            <w:r>
              <w:rPr>
                <w:rFonts w:hint="eastAsia" w:ascii="Times New Roman" w:hAnsi="Times New Roman" w:eastAsia="宋体" w:cs="Times New Roman"/>
                <w:snapToGrid w:val="0"/>
                <w:color w:val="auto"/>
                <w:sz w:val="21"/>
                <w:szCs w:val="21"/>
                <w:highlight w:val="none"/>
                <w:lang w:val="en-US" w:eastAsia="zh-CN"/>
              </w:rPr>
              <w:t>开展生产船燃的进料加工业务服务出具专业报告</w:t>
            </w:r>
            <w:r>
              <w:rPr>
                <w:rFonts w:hint="eastAsia" w:ascii="Times New Roman" w:hAnsi="Times New Roman" w:eastAsia="宋体" w:cs="Times New Roman"/>
                <w:snapToGrid w:val="0"/>
                <w:color w:val="auto"/>
                <w:sz w:val="21"/>
                <w:szCs w:val="21"/>
                <w:highlight w:val="none"/>
                <w:lang w:eastAsia="zh-CN"/>
              </w:rPr>
              <w:t>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698" w:type="dxa"/>
            <w:tcBorders>
              <w:top w:val="single" w:color="auto" w:sz="4" w:space="0"/>
              <w:left w:val="single" w:color="auto" w:sz="4" w:space="0"/>
              <w:bottom w:val="single" w:color="auto" w:sz="4" w:space="0"/>
              <w:right w:val="single" w:color="auto" w:sz="4" w:space="0"/>
            </w:tcBorders>
            <w:vAlign w:val="center"/>
          </w:tcPr>
          <w:p w14:paraId="0D780A35">
            <w:pPr>
              <w:snapToGrid w:val="0"/>
              <w:spacing w:line="264" w:lineRule="auto"/>
              <w:jc w:val="center"/>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范围</w:t>
            </w:r>
          </w:p>
          <w:p w14:paraId="6ED04C8F">
            <w:pPr>
              <w:pStyle w:val="2"/>
              <w:rPr>
                <w:color w:val="auto"/>
                <w:highlight w:val="none"/>
              </w:rPr>
            </w:pPr>
          </w:p>
        </w:tc>
        <w:tc>
          <w:tcPr>
            <w:tcW w:w="6750" w:type="dxa"/>
            <w:tcBorders>
              <w:top w:val="single" w:color="auto" w:sz="4" w:space="0"/>
              <w:left w:val="single" w:color="auto" w:sz="4" w:space="0"/>
              <w:bottom w:val="single" w:color="auto" w:sz="4" w:space="0"/>
              <w:right w:val="single" w:color="auto" w:sz="4" w:space="0"/>
            </w:tcBorders>
            <w:vAlign w:val="center"/>
          </w:tcPr>
          <w:p w14:paraId="0A6DD58C">
            <w:pPr>
              <w:snapToGrid w:val="0"/>
              <w:spacing w:line="264" w:lineRule="auto"/>
              <w:rPr>
                <w:rFonts w:hint="eastAsia"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①</w:t>
            </w:r>
            <w:r>
              <w:rPr>
                <w:rFonts w:hint="eastAsia" w:ascii="Times New Roman" w:hAnsi="Times New Roman" w:eastAsia="宋体" w:cs="Times New Roman"/>
                <w:snapToGrid w:val="0"/>
                <w:color w:val="auto"/>
                <w:sz w:val="21"/>
                <w:szCs w:val="21"/>
                <w:highlight w:val="none"/>
                <w:lang w:val="en-US" w:eastAsia="zh-CN"/>
              </w:rPr>
              <w:t xml:space="preserve"> 业务模式设计：设计符合海关法规（特别是进料加工手册管理要求）的业务流程与操作模式。</w:t>
            </w:r>
          </w:p>
          <w:p w14:paraId="50B3F7D7">
            <w:pPr>
              <w:snapToGrid w:val="0"/>
              <w:spacing w:line="264" w:lineRule="auto"/>
              <w:rPr>
                <w:rFonts w:hint="eastAsia"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②</w:t>
            </w:r>
            <w:r>
              <w:rPr>
                <w:rFonts w:hint="eastAsia" w:ascii="Times New Roman" w:hAnsi="Times New Roman" w:eastAsia="宋体" w:cs="Times New Roman"/>
                <w:snapToGrid w:val="0"/>
                <w:color w:val="auto"/>
                <w:sz w:val="21"/>
                <w:szCs w:val="21"/>
                <w:highlight w:val="none"/>
                <w:lang w:val="en-US" w:eastAsia="zh-CN"/>
              </w:rPr>
              <w:t xml:space="preserve"> 海关合规方案：详细阐述海关备案、保税监管、单耗核定、加工贸易账册管理、核销流程及关务风险控制要点。</w:t>
            </w:r>
          </w:p>
          <w:p w14:paraId="62028C06">
            <w:pPr>
              <w:snapToGrid w:val="0"/>
              <w:spacing w:line="264" w:lineRule="auto"/>
              <w:rPr>
                <w:rFonts w:hint="eastAsia" w:ascii="Times New Roman" w:hAnsi="Times New Roman" w:eastAsia="宋体" w:cs="Times New Roman"/>
                <w:snapToGrid w:val="0"/>
                <w:color w:val="auto"/>
                <w:sz w:val="21"/>
                <w:szCs w:val="21"/>
                <w:highlight w:val="none"/>
                <w:lang w:val="en-US" w:eastAsia="zh-CN"/>
              </w:rPr>
            </w:pPr>
            <w:r>
              <w:rPr>
                <w:rFonts w:hint="default" w:ascii="Times New Roman" w:hAnsi="Times New Roman" w:eastAsia="宋体" w:cs="Times New Roman"/>
                <w:snapToGrid w:val="0"/>
                <w:color w:val="auto"/>
                <w:sz w:val="21"/>
                <w:szCs w:val="21"/>
                <w:highlight w:val="none"/>
                <w:lang w:val="en-US" w:eastAsia="zh-CN"/>
              </w:rPr>
              <w:t>③</w:t>
            </w:r>
            <w:r>
              <w:rPr>
                <w:rFonts w:hint="eastAsia" w:ascii="Times New Roman" w:hAnsi="Times New Roman" w:eastAsia="宋体" w:cs="Times New Roman"/>
                <w:snapToGrid w:val="0"/>
                <w:color w:val="auto"/>
                <w:sz w:val="21"/>
                <w:szCs w:val="21"/>
                <w:highlight w:val="none"/>
                <w:lang w:val="en-US" w:eastAsia="zh-CN"/>
              </w:rPr>
              <w:t xml:space="preserve"> 提交一份完整、详尽的《燃料油生产船用燃料油进料加工业务实施方案报告》，能够确保福海创按照此方案报告开展此项业务，同时满足海关和税务机构的监管要求。</w:t>
            </w:r>
          </w:p>
          <w:p w14:paraId="152A4627">
            <w:pPr>
              <w:snapToGrid w:val="0"/>
              <w:spacing w:line="264" w:lineRule="auto"/>
              <w:rPr>
                <w:rFonts w:ascii="Times New Roman" w:hAnsi="Times New Roman" w:cs="Times New Roman"/>
                <w:b/>
                <w:color w:val="auto"/>
                <w:sz w:val="21"/>
                <w:szCs w:val="21"/>
                <w:highlight w:val="none"/>
                <w:lang w:eastAsia="zh-CN"/>
              </w:rPr>
            </w:pPr>
            <w:r>
              <w:rPr>
                <w:rFonts w:hint="eastAsia" w:ascii="Times New Roman" w:hAnsi="Times New Roman" w:eastAsia="宋体" w:cs="Times New Roman"/>
                <w:snapToGrid w:val="0"/>
                <w:color w:val="auto"/>
                <w:sz w:val="21"/>
                <w:szCs w:val="21"/>
                <w:highlight w:val="none"/>
                <w:lang w:val="en-US" w:eastAsia="zh-CN"/>
              </w:rPr>
              <w:t>④ 当福海创公司沸腾床渣油加氢装置正常生产后，需协助福海创公司开展至少一个船次的燃料油（常压渣油）进料加工业务，直至生产的船用燃料油销售后完成燃料油（常压渣油）消费税退税等业务。</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项目控制价</w:t>
            </w:r>
          </w:p>
        </w:tc>
        <w:tc>
          <w:tcPr>
            <w:tcW w:w="6750" w:type="dxa"/>
            <w:tcBorders>
              <w:top w:val="single" w:color="auto" w:sz="4" w:space="0"/>
              <w:left w:val="single" w:color="auto" w:sz="4" w:space="0"/>
              <w:bottom w:val="single" w:color="auto" w:sz="4" w:space="0"/>
              <w:right w:val="single" w:color="auto" w:sz="4" w:space="0"/>
            </w:tcBorders>
            <w:vAlign w:val="center"/>
          </w:tcPr>
          <w:p w14:paraId="350C0A63">
            <w:pPr>
              <w:spacing w:line="360" w:lineRule="auto"/>
              <w:ind w:left="1274" w:leftChars="1" w:hanging="1272" w:hangingChars="606"/>
              <w:rPr>
                <w:rFonts w:ascii="Times New Roman" w:hAnsi="Times New Roman" w:cs="Times New Roman"/>
                <w:snapToGrid w:val="0"/>
                <w:color w:val="auto"/>
                <w:sz w:val="21"/>
                <w:szCs w:val="21"/>
                <w:highlight w:val="none"/>
                <w:lang w:eastAsia="zh-CN"/>
              </w:rPr>
            </w:pPr>
            <w:r>
              <w:rPr>
                <w:rFonts w:ascii="Times New Roman" w:hAnsi="Times New Roman" w:cs="Times New Roman"/>
                <w:snapToGrid w:val="0"/>
                <w:color w:val="auto"/>
                <w:sz w:val="21"/>
                <w:szCs w:val="21"/>
                <w:highlight w:val="none"/>
                <w:lang w:eastAsia="zh-CN"/>
              </w:rPr>
              <w:t>人民币4</w:t>
            </w:r>
            <w:r>
              <w:rPr>
                <w:rFonts w:hint="eastAsia" w:ascii="Times New Roman" w:hAnsi="Times New Roman" w:cs="Times New Roman"/>
                <w:snapToGrid w:val="0"/>
                <w:color w:val="auto"/>
                <w:sz w:val="21"/>
                <w:szCs w:val="21"/>
                <w:highlight w:val="none"/>
                <w:lang w:val="en-US" w:eastAsia="zh-CN"/>
              </w:rPr>
              <w:t>0</w:t>
            </w:r>
            <w:r>
              <w:rPr>
                <w:rFonts w:ascii="Times New Roman" w:hAnsi="Times New Roman" w:cs="Times New Roman"/>
                <w:snapToGrid w:val="0"/>
                <w:color w:val="auto"/>
                <w:sz w:val="21"/>
                <w:szCs w:val="21"/>
                <w:highlight w:val="none"/>
                <w:lang w:eastAsia="zh-CN"/>
              </w:rPr>
              <w:t>万元（含税）</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保证金</w:t>
            </w:r>
          </w:p>
        </w:tc>
        <w:tc>
          <w:tcPr>
            <w:tcW w:w="6750"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lang w:val="en-US" w:eastAsia="zh-CN"/>
              </w:rPr>
              <w:t>80</w:t>
            </w:r>
            <w:r>
              <w:rPr>
                <w:rFonts w:asciiTheme="minorEastAsia" w:hAnsiTheme="minorEastAsia" w:eastAsiaTheme="minorEastAsia" w:cstheme="minorEastAsia"/>
                <w:color w:val="auto"/>
                <w:sz w:val="21"/>
                <w:szCs w:val="21"/>
                <w:highlight w:val="none"/>
                <w:lang w:eastAsia="zh-CN"/>
              </w:rPr>
              <w:t>00</w:t>
            </w:r>
            <w:r>
              <w:rPr>
                <w:rFonts w:hint="eastAsia" w:asciiTheme="minorEastAsia" w:hAnsiTheme="minorEastAsia" w:eastAsiaTheme="minorEastAsia" w:cstheme="minorEastAsia"/>
                <w:color w:val="auto"/>
                <w:sz w:val="21"/>
                <w:szCs w:val="21"/>
                <w:highlight w:val="none"/>
                <w:lang w:eastAsia="zh-CN"/>
              </w:rPr>
              <w:t>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750"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asciiTheme="minorEastAsia" w:hAnsiTheme="minorEastAsia" w:eastAsiaTheme="minorEastAsia" w:cstheme="minorEastAsia"/>
                <w:color w:val="auto"/>
                <w:kern w:val="2"/>
                <w:sz w:val="21"/>
                <w:szCs w:val="21"/>
                <w:highlight w:val="none"/>
                <w:lang w:eastAsia="zh-CN"/>
              </w:rPr>
            </w:pPr>
            <w:r>
              <w:rPr>
                <w:rFonts w:asciiTheme="minorEastAsia" w:hAnsiTheme="minorEastAsia" w:eastAsiaTheme="minorEastAsia" w:cstheme="minorEastAsia"/>
                <w:color w:val="auto"/>
                <w:kern w:val="2"/>
                <w:sz w:val="21"/>
                <w:szCs w:val="21"/>
                <w:highlight w:val="none"/>
                <w:lang w:eastAsia="zh-CN"/>
              </w:rPr>
              <w:t>人民币</w:t>
            </w:r>
            <w:r>
              <w:rPr>
                <w:rFonts w:hint="eastAsia" w:asciiTheme="minorEastAsia" w:hAnsiTheme="minorEastAsia" w:eastAsiaTheme="minorEastAsia" w:cstheme="minorEastAsia"/>
                <w:color w:val="auto"/>
                <w:kern w:val="2"/>
                <w:sz w:val="21"/>
                <w:szCs w:val="21"/>
                <w:highlight w:val="none"/>
                <w:lang w:val="en-US" w:eastAsia="zh-CN"/>
              </w:rPr>
              <w:t>80</w:t>
            </w:r>
            <w:r>
              <w:rPr>
                <w:rFonts w:asciiTheme="minorEastAsia" w:hAnsiTheme="minorEastAsia" w:eastAsiaTheme="minorEastAsia" w:cstheme="minorEastAsia"/>
                <w:color w:val="auto"/>
                <w:kern w:val="2"/>
                <w:sz w:val="21"/>
                <w:szCs w:val="21"/>
                <w:highlight w:val="none"/>
                <w:lang w:eastAsia="zh-CN"/>
              </w:rPr>
              <w:t>00元</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参比</w:t>
            </w:r>
            <w:r>
              <w:rPr>
                <w:rFonts w:hint="eastAsia" w:asciiTheme="minorEastAsia" w:hAnsiTheme="minorEastAsia" w:eastAsiaTheme="minorEastAsia" w:cstheme="minorEastAsia"/>
                <w:color w:val="auto"/>
                <w:kern w:val="2"/>
                <w:sz w:val="21"/>
                <w:szCs w:val="21"/>
                <w:highlight w:val="none"/>
              </w:rPr>
              <w:t>人资质</w:t>
            </w:r>
          </w:p>
        </w:tc>
        <w:tc>
          <w:tcPr>
            <w:tcW w:w="6750" w:type="dxa"/>
            <w:tcBorders>
              <w:top w:val="single" w:color="auto" w:sz="4" w:space="0"/>
              <w:left w:val="single" w:color="auto" w:sz="4" w:space="0"/>
              <w:bottom w:val="single" w:color="auto" w:sz="4" w:space="0"/>
              <w:right w:val="single" w:color="auto" w:sz="4" w:space="0"/>
            </w:tcBorders>
          </w:tcPr>
          <w:p w14:paraId="7E1EFCFB">
            <w:pPr>
              <w:shd w:val="clear" w:color="auto" w:fill="FFFFFF"/>
              <w:spacing w:before="100" w:beforeAutospacing="1" w:after="100" w:afterAutospacing="1"/>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评审方法</w:t>
            </w:r>
          </w:p>
        </w:tc>
        <w:tc>
          <w:tcPr>
            <w:tcW w:w="6750"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综合评分</w:t>
            </w:r>
            <w:r>
              <w:rPr>
                <w:rFonts w:hint="eastAsia" w:asciiTheme="minorEastAsia" w:hAnsiTheme="minorEastAsia" w:eastAsiaTheme="minorEastAsia" w:cstheme="minorEastAsia"/>
                <w:b/>
                <w:color w:val="auto"/>
                <w:sz w:val="21"/>
                <w:szCs w:val="21"/>
                <w:highlight w:val="none"/>
                <w:lang w:eastAsia="zh-CN"/>
              </w:rPr>
              <w:t>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中选供应商数量</w:t>
            </w:r>
          </w:p>
        </w:tc>
        <w:tc>
          <w:tcPr>
            <w:tcW w:w="6750"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10</w:t>
            </w:r>
          </w:p>
        </w:tc>
        <w:tc>
          <w:tcPr>
            <w:tcW w:w="1698"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color w:val="auto"/>
                <w:sz w:val="21"/>
                <w:szCs w:val="21"/>
                <w:highlight w:val="none"/>
                <w:lang w:eastAsia="zh-CN"/>
              </w:rPr>
            </w:pPr>
            <w:r>
              <w:rPr>
                <w:rFonts w:hint="eastAsia" w:ascii="仿宋" w:hAnsi="仿宋" w:eastAsia="仿宋"/>
                <w:color w:val="auto"/>
                <w:sz w:val="21"/>
                <w:szCs w:val="21"/>
                <w:highlight w:val="none"/>
                <w:lang w:eastAsia="zh-CN"/>
              </w:rPr>
              <w:t>参比文件递交方式及地址</w:t>
            </w:r>
          </w:p>
        </w:tc>
        <w:tc>
          <w:tcPr>
            <w:tcW w:w="6750"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需按照采购文件要求，密封装订快递或亲自送达福建省漳州市漳浦县杜浔镇杜昌路9号，联系人：黄梅钦 ，联系电话：</w:t>
            </w:r>
            <w:r>
              <w:rPr>
                <w:rFonts w:asciiTheme="minorEastAsia" w:hAnsiTheme="minorEastAsia" w:eastAsiaTheme="minorEastAsia" w:cstheme="minorEastAsia"/>
                <w:color w:val="auto"/>
                <w:sz w:val="21"/>
                <w:szCs w:val="21"/>
                <w:highlight w:val="none"/>
                <w:lang w:eastAsia="zh-CN"/>
              </w:rPr>
              <w:t>6311073</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14:paraId="54B35DA2">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递交</w:t>
            </w:r>
            <w:r>
              <w:rPr>
                <w:rFonts w:hint="eastAsia" w:asciiTheme="minorEastAsia" w:hAnsiTheme="minorEastAsia" w:eastAsiaTheme="minorEastAsia" w:cstheme="minorEastAsia"/>
                <w:color w:val="auto"/>
                <w:sz w:val="21"/>
                <w:szCs w:val="21"/>
                <w:highlight w:val="none"/>
              </w:rPr>
              <w:t>截止</w:t>
            </w:r>
            <w:r>
              <w:rPr>
                <w:rFonts w:hint="eastAsia" w:asciiTheme="minorEastAsia" w:hAnsiTheme="minorEastAsia" w:eastAsiaTheme="minorEastAsia" w:cstheme="minorEastAsia"/>
                <w:color w:val="auto"/>
                <w:sz w:val="21"/>
                <w:szCs w:val="21"/>
                <w:highlight w:val="none"/>
                <w:lang w:eastAsia="zh-CN"/>
              </w:rPr>
              <w:t>时间</w:t>
            </w:r>
          </w:p>
        </w:tc>
        <w:tc>
          <w:tcPr>
            <w:tcW w:w="6750"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rPr>
              <w:t>年</w:t>
            </w:r>
            <w:r>
              <w:rPr>
                <w:rFonts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rPr>
              <w:t>日止（含当日）</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参比</w:t>
            </w:r>
            <w:r>
              <w:rPr>
                <w:rFonts w:hint="eastAsia" w:asciiTheme="minorEastAsia" w:hAnsiTheme="minorEastAsia" w:eastAsiaTheme="minorEastAsia" w:cstheme="minorEastAsia"/>
                <w:color w:val="auto"/>
                <w:sz w:val="21"/>
                <w:szCs w:val="21"/>
                <w:highlight w:val="none"/>
              </w:rPr>
              <w:t>有效期</w:t>
            </w:r>
          </w:p>
        </w:tc>
        <w:tc>
          <w:tcPr>
            <w:tcW w:w="6750"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递交截止日期后</w:t>
            </w:r>
            <w:r>
              <w:rPr>
                <w:rFonts w:asciiTheme="minorEastAsia" w:hAnsiTheme="minorEastAsia" w:eastAsiaTheme="minorEastAsia" w:cstheme="minorEastAsia"/>
                <w:color w:val="auto"/>
                <w:sz w:val="21"/>
                <w:szCs w:val="21"/>
                <w:highlight w:val="none"/>
                <w:lang w:eastAsia="zh-CN"/>
              </w:rPr>
              <w:t>90</w:t>
            </w:r>
            <w:r>
              <w:rPr>
                <w:rFonts w:hint="eastAsia" w:asciiTheme="minorEastAsia" w:hAnsiTheme="minorEastAsia" w:eastAsiaTheme="minorEastAsia" w:cstheme="minorEastAsia"/>
                <w:color w:val="auto"/>
                <w:sz w:val="21"/>
                <w:szCs w:val="21"/>
                <w:highlight w:val="none"/>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jc w:val="center"/>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w:t>
            </w:r>
          </w:p>
        </w:tc>
        <w:tc>
          <w:tcPr>
            <w:tcW w:w="6750" w:type="dxa"/>
            <w:tcBorders>
              <w:top w:val="single" w:color="auto" w:sz="4" w:space="0"/>
              <w:left w:val="single" w:color="auto" w:sz="4" w:space="0"/>
              <w:bottom w:val="single" w:color="auto" w:sz="4" w:space="0"/>
              <w:right w:val="single" w:color="auto" w:sz="4" w:space="0"/>
            </w:tcBorders>
            <w:vAlign w:val="center"/>
          </w:tcPr>
          <w:p w14:paraId="1563271C">
            <w:pPr>
              <w:numPr>
                <w:ilvl w:val="0"/>
                <w:numId w:val="7"/>
              </w:numPr>
              <w:shd w:val="clear" w:color="auto" w:fill="FFFFFF"/>
              <w:adjustRightInd w:val="0"/>
              <w:snapToGrid w:val="0"/>
              <w:spacing w:before="120" w:after="120"/>
              <w:rPr>
                <w:rFonts w:asciiTheme="minorEastAsia" w:hAnsiTheme="minorEastAsia" w:eastAsiaTheme="minorEastAsia" w:cstheme="minorEastAsia"/>
                <w:i/>
                <w:i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技术联系人:</w:t>
            </w:r>
            <w:r>
              <w:rPr>
                <w:rFonts w:ascii="Times New Roman" w:hAnsi="Times New Roman" w:cs="Times New Roman"/>
                <w:color w:val="auto"/>
                <w:sz w:val="21"/>
                <w:szCs w:val="21"/>
                <w:highlight w:val="none"/>
                <w:lang w:eastAsia="zh-CN"/>
              </w:rPr>
              <w:t xml:space="preserve"> </w:t>
            </w:r>
            <w:r>
              <w:rPr>
                <w:rFonts w:hint="eastAsia" w:ascii="Times New Roman" w:hAnsi="Times New Roman" w:cs="Times New Roman"/>
                <w:color w:val="auto"/>
                <w:sz w:val="21"/>
                <w:szCs w:val="21"/>
                <w:highlight w:val="none"/>
                <w:lang w:val="en-US" w:eastAsia="zh-CN"/>
              </w:rPr>
              <w:t>刘剑虹 13905989399</w:t>
            </w:r>
            <w:r>
              <w:rPr>
                <w:rFonts w:ascii="Times New Roman" w:hAnsi="Times New Roman" w:cs="Times New Roman"/>
                <w:color w:val="auto"/>
                <w:sz w:val="21"/>
                <w:szCs w:val="21"/>
                <w:highlight w:val="none"/>
                <w:lang w:eastAsia="zh-CN"/>
              </w:rPr>
              <w:t xml:space="preserve"> </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邮箱：liujh@fjpec.com.cn</w:t>
            </w:r>
          </w:p>
          <w:p w14:paraId="17E02C86">
            <w:pPr>
              <w:numPr>
                <w:ilvl w:val="0"/>
                <w:numId w:val="7"/>
              </w:num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地点：福建省漳州市古雷港经济开发区</w:t>
            </w:r>
          </w:p>
          <w:p w14:paraId="0E18D1DF">
            <w:pPr>
              <w:numPr>
                <w:ilvl w:val="0"/>
                <w:numId w:val="7"/>
              </w:num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答疑时间：递交截止日期前3天；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其他要求</w:t>
            </w:r>
          </w:p>
        </w:tc>
        <w:tc>
          <w:tcPr>
            <w:tcW w:w="6750"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1、本项目不接受联合体参比。 </w:t>
            </w:r>
          </w:p>
          <w:p w14:paraId="703C0C6A">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2、本次采购原则上采用一次性报价。</w:t>
            </w:r>
          </w:p>
          <w:p w14:paraId="4AB5399D">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3</w:t>
            </w:r>
            <w:r>
              <w:rPr>
                <w:rFonts w:hint="eastAsia" w:asciiTheme="minorEastAsia" w:hAnsiTheme="minorEastAsia" w:eastAsiaTheme="minorEastAsia" w:cstheme="minorEastAsia"/>
                <w:color w:val="auto"/>
                <w:sz w:val="21"/>
                <w:szCs w:val="21"/>
                <w:highlight w:val="none"/>
                <w:lang w:eastAsia="zh-CN"/>
              </w:rPr>
              <w:t>、参比人所提交的参比文件在评审结束后，无论中选与否都不退还。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4</w:t>
            </w:r>
            <w:r>
              <w:rPr>
                <w:rFonts w:hint="eastAsia" w:asciiTheme="minorEastAsia" w:hAnsiTheme="minorEastAsia" w:eastAsiaTheme="minorEastAsia" w:cstheme="minorEastAsia"/>
                <w:color w:val="auto"/>
                <w:sz w:val="21"/>
                <w:szCs w:val="21"/>
                <w:highlight w:val="none"/>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lang w:eastAsia="zh-CN"/>
              </w:rPr>
              <w:t>5</w:t>
            </w:r>
            <w:r>
              <w:rPr>
                <w:rFonts w:hint="eastAsia" w:asciiTheme="minorEastAsia" w:hAnsiTheme="minorEastAsia" w:eastAsiaTheme="minorEastAsia" w:cstheme="minorEastAsia"/>
                <w:color w:val="auto"/>
                <w:sz w:val="21"/>
                <w:szCs w:val="21"/>
                <w:highlight w:val="none"/>
                <w:lang w:eastAsia="zh-CN"/>
              </w:rPr>
              <w:t>、采购文件的最终解释权归采购人。</w:t>
            </w:r>
          </w:p>
        </w:tc>
      </w:tr>
    </w:tbl>
    <w:p w14:paraId="425FBD3A">
      <w:pPr>
        <w:spacing w:before="15" w:line="360" w:lineRule="auto"/>
        <w:rPr>
          <w:rFonts w:ascii="仿宋" w:hAnsi="仿宋" w:eastAsia="仿宋"/>
          <w:b/>
          <w:color w:val="auto"/>
          <w:sz w:val="28"/>
          <w:highlight w:val="none"/>
          <w:lang w:eastAsia="zh-CN"/>
        </w:rPr>
      </w:pPr>
    </w:p>
    <w:p w14:paraId="6DEB406B">
      <w:pPr>
        <w:pStyle w:val="20"/>
        <w:spacing w:line="360" w:lineRule="auto"/>
        <w:ind w:right="121"/>
        <w:jc w:val="both"/>
        <w:rPr>
          <w:rFonts w:ascii="仿宋" w:hAnsi="仿宋" w:eastAsia="仿宋"/>
          <w:b/>
          <w:color w:val="auto"/>
          <w:w w:val="95"/>
          <w:sz w:val="28"/>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b/>
          <w:color w:val="auto"/>
          <w:w w:val="95"/>
          <w:sz w:val="28"/>
          <w:highlight w:val="none"/>
          <w:lang w:eastAsia="zh-CN"/>
        </w:rPr>
        <w:t xml:space="preserve">    </w:t>
      </w:r>
      <w:r>
        <w:rPr>
          <w:rFonts w:ascii="仿宋" w:hAnsi="仿宋" w:eastAsia="仿宋"/>
          <w:b/>
          <w:color w:val="auto"/>
          <w:w w:val="95"/>
          <w:sz w:val="28"/>
          <w:highlight w:val="none"/>
          <w:lang w:eastAsia="zh-CN"/>
        </w:rPr>
        <w:t>二、定义和解释</w:t>
      </w:r>
    </w:p>
    <w:p w14:paraId="75134DB7">
      <w:pPr>
        <w:pStyle w:val="20"/>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人”系福建福海创石油化工有限公司，即业主方。</w:t>
      </w:r>
    </w:p>
    <w:p w14:paraId="009967A3">
      <w:pPr>
        <w:pStyle w:val="20"/>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2.“参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人”系指向采购人报名并接受邀请，领取</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文件，且已经提交或准备提交本次</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文件的法人。</w:t>
      </w:r>
    </w:p>
    <w:p w14:paraId="182978F6">
      <w:pPr>
        <w:pStyle w:val="20"/>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3.“</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人代表”系指全权代表</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人参加本次询比活动并签署</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文件的人，如果</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人代表不是</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人的法定代表人，须持有《法定代表人授权委托书》详见附件。</w:t>
      </w:r>
    </w:p>
    <w:p w14:paraId="0A12374F">
      <w:pPr>
        <w:spacing w:before="15" w:line="360" w:lineRule="auto"/>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r>
        <w:rPr>
          <w:rFonts w:ascii="仿宋" w:hAnsi="仿宋" w:eastAsia="仿宋"/>
          <w:b/>
          <w:color w:val="auto"/>
          <w:w w:val="95"/>
          <w:sz w:val="28"/>
          <w:highlight w:val="none"/>
          <w:lang w:eastAsia="zh-CN"/>
        </w:rPr>
        <w:t>三、</w:t>
      </w:r>
      <w:r>
        <w:rPr>
          <w:rFonts w:hint="eastAsia" w:ascii="仿宋" w:hAnsi="仿宋" w:eastAsia="仿宋"/>
          <w:b/>
          <w:color w:val="auto"/>
          <w:w w:val="95"/>
          <w:sz w:val="28"/>
          <w:highlight w:val="none"/>
          <w:lang w:eastAsia="zh-CN"/>
        </w:rPr>
        <w:t>采购</w:t>
      </w:r>
      <w:r>
        <w:rPr>
          <w:rFonts w:ascii="仿宋" w:hAnsi="仿宋" w:eastAsia="仿宋"/>
          <w:b/>
          <w:color w:val="auto"/>
          <w:w w:val="95"/>
          <w:sz w:val="28"/>
          <w:highlight w:val="none"/>
          <w:lang w:eastAsia="zh-CN"/>
        </w:rPr>
        <w:t>文件组成</w:t>
      </w:r>
    </w:p>
    <w:p w14:paraId="77E08AAE">
      <w:pPr>
        <w:pStyle w:val="20"/>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文件包括下列内容：</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公告、</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须知、项目内容、合同书格式、报价单、承诺函等。</w:t>
      </w:r>
    </w:p>
    <w:p w14:paraId="7C352783">
      <w:pPr>
        <w:pStyle w:val="20"/>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文件除</w:t>
      </w:r>
      <w:r>
        <w:rPr>
          <w:rFonts w:hint="eastAsia" w:ascii="仿宋" w:hAnsi="仿宋" w:eastAsia="仿宋"/>
          <w:color w:val="auto"/>
          <w:sz w:val="28"/>
          <w:szCs w:val="28"/>
          <w:highlight w:val="none"/>
          <w:lang w:eastAsia="zh-CN"/>
        </w:rPr>
        <w:t xml:space="preserve">上述 </w:t>
      </w: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中内容外，</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人在询比期间发出的书面文件和其他修改或补充函件，均是</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文件不可分割的组成部分。</w:t>
      </w:r>
    </w:p>
    <w:p w14:paraId="1E39BD36">
      <w:pPr>
        <w:pStyle w:val="20"/>
        <w:spacing w:line="360" w:lineRule="auto"/>
        <w:ind w:right="121" w:firstLine="56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人应认真阅读、并充分理解</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文件的全部内容（包括所有的补充、修改内容、重要事项、格式、条款和技术规范、参数及要求等）。</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人没有按照</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文件要求提交全部资料，或者没有对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文件在各方面都做出实质性响应是</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人的风险，有可能导致其参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被拒绝，或被认定为无效</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或被确定为</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无效。</w:t>
      </w:r>
    </w:p>
    <w:p w14:paraId="24E31348">
      <w:pPr>
        <w:spacing w:before="15" w:line="360" w:lineRule="auto"/>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r>
        <w:rPr>
          <w:rFonts w:ascii="仿宋" w:hAnsi="仿宋" w:eastAsia="仿宋"/>
          <w:b/>
          <w:color w:val="auto"/>
          <w:w w:val="95"/>
          <w:sz w:val="28"/>
          <w:highlight w:val="none"/>
          <w:lang w:eastAsia="zh-CN"/>
        </w:rPr>
        <w:t>四、</w:t>
      </w:r>
      <w:r>
        <w:rPr>
          <w:rFonts w:hint="eastAsia" w:ascii="仿宋" w:hAnsi="仿宋" w:eastAsia="仿宋"/>
          <w:b/>
          <w:color w:val="auto"/>
          <w:w w:val="95"/>
          <w:sz w:val="28"/>
          <w:highlight w:val="none"/>
          <w:lang w:eastAsia="zh-CN"/>
        </w:rPr>
        <w:t>采购</w:t>
      </w:r>
      <w:r>
        <w:rPr>
          <w:rFonts w:ascii="仿宋" w:hAnsi="仿宋" w:eastAsia="仿宋"/>
          <w:b/>
          <w:color w:val="auto"/>
          <w:w w:val="95"/>
          <w:sz w:val="28"/>
          <w:highlight w:val="none"/>
          <w:lang w:eastAsia="zh-CN"/>
        </w:rPr>
        <w:t>文件的澄清</w:t>
      </w:r>
    </w:p>
    <w:p w14:paraId="366780E2">
      <w:pPr>
        <w:pStyle w:val="20"/>
        <w:spacing w:line="360" w:lineRule="auto"/>
        <w:ind w:right="121" w:firstLine="5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人获取</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文件后，应仔细检查</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文件的所有内容，如有残缺等问题应在获得</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 3 日内向</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人提出。</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人若对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文件有任何疑问，应在</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截止时间前 5 日，按询比</w:t>
      </w:r>
      <w:r>
        <w:rPr>
          <w:rFonts w:hint="eastAsia" w:ascii="仿宋" w:hAnsi="仿宋" w:eastAsia="仿宋"/>
          <w:color w:val="auto"/>
          <w:sz w:val="28"/>
          <w:szCs w:val="28"/>
          <w:highlight w:val="none"/>
          <w:lang w:eastAsia="zh-CN"/>
        </w:rPr>
        <w:t>公告</w:t>
      </w:r>
      <w:r>
        <w:rPr>
          <w:rFonts w:ascii="仿宋" w:hAnsi="仿宋" w:eastAsia="仿宋"/>
          <w:color w:val="auto"/>
          <w:sz w:val="28"/>
          <w:szCs w:val="28"/>
          <w:highlight w:val="none"/>
          <w:lang w:eastAsia="zh-CN"/>
        </w:rPr>
        <w:t>的</w:t>
      </w:r>
      <w:r>
        <w:rPr>
          <w:rFonts w:hint="eastAsia" w:ascii="仿宋" w:hAnsi="仿宋" w:eastAsia="仿宋"/>
          <w:color w:val="auto"/>
          <w:sz w:val="28"/>
          <w:szCs w:val="28"/>
          <w:highlight w:val="none"/>
          <w:lang w:eastAsia="zh-CN"/>
        </w:rPr>
        <w:t>联系方式</w:t>
      </w:r>
      <w:r>
        <w:rPr>
          <w:rFonts w:ascii="仿宋" w:hAnsi="仿宋" w:eastAsia="仿宋"/>
          <w:color w:val="auto"/>
          <w:sz w:val="28"/>
          <w:szCs w:val="28"/>
          <w:highlight w:val="none"/>
          <w:lang w:eastAsia="zh-CN"/>
        </w:rPr>
        <w:t>以书面形式（包括书面、传真、电子邮件下同）通知到</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人将视情况确定采用适当方式予以澄清或以书面形式予以答复，澄清文件作为</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文件的组成部分，具有约束作用。</w:t>
      </w:r>
    </w:p>
    <w:p w14:paraId="3BC81BC5">
      <w:pPr>
        <w:spacing w:before="15" w:line="360" w:lineRule="auto"/>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w:t>
      </w:r>
      <w:r>
        <w:rPr>
          <w:rFonts w:ascii="仿宋" w:hAnsi="仿宋" w:eastAsia="仿宋"/>
          <w:b/>
          <w:color w:val="auto"/>
          <w:w w:val="95"/>
          <w:sz w:val="28"/>
          <w:highlight w:val="none"/>
          <w:lang w:eastAsia="zh-CN"/>
        </w:rPr>
        <w:t>五、</w:t>
      </w:r>
      <w:r>
        <w:rPr>
          <w:rFonts w:hint="eastAsia" w:ascii="仿宋" w:hAnsi="仿宋" w:eastAsia="仿宋"/>
          <w:b/>
          <w:color w:val="auto"/>
          <w:w w:val="95"/>
          <w:sz w:val="28"/>
          <w:highlight w:val="none"/>
          <w:lang w:eastAsia="zh-CN"/>
        </w:rPr>
        <w:t>采购</w:t>
      </w:r>
      <w:r>
        <w:rPr>
          <w:rFonts w:ascii="仿宋" w:hAnsi="仿宋" w:eastAsia="仿宋"/>
          <w:b/>
          <w:color w:val="auto"/>
          <w:w w:val="95"/>
          <w:sz w:val="28"/>
          <w:highlight w:val="none"/>
          <w:lang w:eastAsia="zh-CN"/>
        </w:rPr>
        <w:t>文件的修改、补充</w:t>
      </w:r>
    </w:p>
    <w:p w14:paraId="06DE1ADA">
      <w:pPr>
        <w:pStyle w:val="20"/>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highlight w:val="none"/>
          <w:lang w:eastAsia="zh-CN"/>
        </w:rPr>
        <w:t xml:space="preserve"> </w:t>
      </w: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1.在</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截止日期前，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人可主动地或依据参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人要求澄清的问题而修改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文件，并以书面形式</w:t>
      </w:r>
      <w:r>
        <w:rPr>
          <w:rFonts w:hint="eastAsia" w:ascii="仿宋" w:hAnsi="仿宋" w:eastAsia="仿宋"/>
          <w:color w:val="auto"/>
          <w:sz w:val="28"/>
          <w:szCs w:val="28"/>
          <w:highlight w:val="none"/>
          <w:lang w:eastAsia="zh-CN"/>
        </w:rPr>
        <w:t>或挂网形式</w:t>
      </w:r>
      <w:r>
        <w:rPr>
          <w:rFonts w:ascii="仿宋" w:hAnsi="仿宋" w:eastAsia="仿宋"/>
          <w:color w:val="auto"/>
          <w:sz w:val="28"/>
          <w:szCs w:val="28"/>
          <w:highlight w:val="none"/>
          <w:lang w:eastAsia="zh-CN"/>
        </w:rPr>
        <w:t>通知所有报名参加</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项目的每一参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人，对方在收到该通知后应立即以书面形式予以确认；</w:t>
      </w:r>
      <w:r>
        <w:rPr>
          <w:rFonts w:hint="eastAsia" w:ascii="仿宋" w:hAnsi="仿宋" w:eastAsia="仿宋"/>
          <w:color w:val="auto"/>
          <w:sz w:val="28"/>
          <w:szCs w:val="28"/>
          <w:highlight w:val="none"/>
          <w:lang w:eastAsia="zh-CN"/>
        </w:rPr>
        <w:t>以书面形式通知，参比人未按规定时间予以确认或未按规定时间地点领取书面文件的，视同通知已收到；以挂网形式通知的，文件上传公告成功，视同通知已收到。</w:t>
      </w:r>
    </w:p>
    <w:p w14:paraId="11B8DF36">
      <w:pPr>
        <w:pStyle w:val="20"/>
        <w:spacing w:line="360" w:lineRule="auto"/>
        <w:ind w:right="121"/>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2.为使参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人在准备参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文件时有合理的时间考虑</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文件的修改，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人可酌情推迟参比截止时间和开评时间，并以书面形式通知已获得</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文件的每一参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w:t>
      </w:r>
    </w:p>
    <w:p w14:paraId="7C57CF10">
      <w:pPr>
        <w:pStyle w:val="20"/>
        <w:spacing w:line="360" w:lineRule="auto"/>
        <w:ind w:right="121"/>
        <w:jc w:val="both"/>
        <w:rPr>
          <w:rFonts w:ascii="仿宋" w:hAnsi="仿宋" w:eastAsia="仿宋"/>
          <w:b/>
          <w:color w:val="auto"/>
          <w:w w:val="95"/>
          <w:sz w:val="28"/>
          <w:highlight w:val="none"/>
          <w:lang w:eastAsia="zh-CN"/>
        </w:rPr>
      </w:pPr>
      <w:r>
        <w:rPr>
          <w:rFonts w:hint="eastAsia" w:ascii="仿宋" w:hAnsi="仿宋" w:eastAsia="仿宋"/>
          <w:color w:val="auto"/>
          <w:sz w:val="28"/>
          <w:szCs w:val="28"/>
          <w:highlight w:val="none"/>
          <w:lang w:eastAsia="zh-CN"/>
        </w:rPr>
        <w:t xml:space="preserve">    </w:t>
      </w:r>
      <w:r>
        <w:rPr>
          <w:rFonts w:ascii="仿宋" w:hAnsi="仿宋" w:eastAsia="仿宋"/>
          <w:color w:val="auto"/>
          <w:sz w:val="28"/>
          <w:szCs w:val="28"/>
          <w:highlight w:val="none"/>
          <w:lang w:eastAsia="zh-CN"/>
        </w:rPr>
        <w:t>3.</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文件的修改书将构成</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文件的一部分，对参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人具有约束作用。</w:t>
      </w:r>
      <w:r>
        <w:rPr>
          <w:rFonts w:hint="eastAsia" w:ascii="仿宋" w:hAnsi="仿宋" w:eastAsia="仿宋"/>
          <w:b/>
          <w:color w:val="auto"/>
          <w:w w:val="95"/>
          <w:sz w:val="28"/>
          <w:highlight w:val="none"/>
          <w:lang w:eastAsia="zh-CN"/>
        </w:rPr>
        <w:t xml:space="preserve"> </w:t>
      </w:r>
    </w:p>
    <w:p w14:paraId="4FAF9EB5">
      <w:pPr>
        <w:tabs>
          <w:tab w:val="left" w:pos="709"/>
        </w:tabs>
        <w:spacing w:line="360" w:lineRule="auto"/>
        <w:rPr>
          <w:rFonts w:ascii="仿宋" w:hAnsi="仿宋" w:eastAsia="仿宋"/>
          <w:b/>
          <w:color w:val="auto"/>
          <w:w w:val="95"/>
          <w:sz w:val="28"/>
          <w:highlight w:val="none"/>
          <w:lang w:eastAsia="zh-CN"/>
        </w:rPr>
      </w:pPr>
      <w:r>
        <w:rPr>
          <w:rFonts w:hint="eastAsia" w:ascii="仿宋" w:hAnsi="仿宋" w:eastAsia="仿宋"/>
          <w:b/>
          <w:color w:val="auto"/>
          <w:w w:val="95"/>
          <w:sz w:val="28"/>
          <w:highlight w:val="none"/>
          <w:lang w:eastAsia="zh-CN"/>
        </w:rPr>
        <w:t xml:space="preserve"> 六、参比保证金：</w:t>
      </w:r>
      <w:r>
        <w:rPr>
          <w:rFonts w:ascii="仿宋" w:hAnsi="仿宋" w:eastAsia="仿宋"/>
          <w:b/>
          <w:color w:val="auto"/>
          <w:w w:val="95"/>
          <w:sz w:val="28"/>
          <w:highlight w:val="none"/>
          <w:lang w:eastAsia="zh-CN"/>
        </w:rPr>
        <w:t xml:space="preserve"> </w:t>
      </w:r>
    </w:p>
    <w:p w14:paraId="28B803D3">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olor w:val="auto"/>
          <w:sz w:val="28"/>
          <w:szCs w:val="28"/>
          <w:highlight w:val="none"/>
          <w:lang w:eastAsia="zh-CN"/>
        </w:rPr>
        <w:t xml:space="preserve"> </w:t>
      </w:r>
      <w:r>
        <w:rPr>
          <w:rFonts w:hint="eastAsia" w:ascii="仿宋" w:hAnsi="仿宋" w:eastAsia="仿宋" w:cs="Times New Roman"/>
          <w:color w:val="auto"/>
          <w:sz w:val="28"/>
          <w:szCs w:val="28"/>
          <w:highlight w:val="none"/>
          <w:lang w:eastAsia="zh-CN"/>
        </w:rPr>
        <w:t>1、参比人应缴纳参比保证金，保证金金额人民币</w:t>
      </w:r>
      <w:r>
        <w:rPr>
          <w:rFonts w:hint="eastAsia" w:ascii="仿宋" w:hAnsi="仿宋" w:eastAsia="仿宋" w:cs="Times New Roman"/>
          <w:color w:val="auto"/>
          <w:sz w:val="28"/>
          <w:szCs w:val="28"/>
          <w:highlight w:val="none"/>
          <w:lang w:val="en-US" w:eastAsia="zh-CN"/>
        </w:rPr>
        <w:t>80</w:t>
      </w:r>
      <w:r>
        <w:rPr>
          <w:rFonts w:ascii="仿宋" w:hAnsi="仿宋" w:eastAsia="仿宋" w:cs="Times New Roman"/>
          <w:color w:val="auto"/>
          <w:sz w:val="28"/>
          <w:szCs w:val="28"/>
          <w:highlight w:val="none"/>
          <w:lang w:eastAsia="zh-CN"/>
        </w:rPr>
        <w:t>00</w:t>
      </w:r>
      <w:r>
        <w:rPr>
          <w:rFonts w:hint="eastAsia" w:ascii="仿宋" w:hAnsi="仿宋" w:eastAsia="仿宋" w:cs="Times New Roman"/>
          <w:color w:val="auto"/>
          <w:sz w:val="28"/>
          <w:szCs w:val="28"/>
          <w:highlight w:val="none"/>
          <w:lang w:eastAsia="zh-CN"/>
        </w:rPr>
        <w:t>元整，参比人应以电汇或银行转账的形式在递交截止时间前从参比人基本账户转入采购人的账户，采购人账户信息如下：</w:t>
      </w:r>
    </w:p>
    <w:p w14:paraId="36777019">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 xml:space="preserve"> </w:t>
      </w:r>
      <w:r>
        <w:rPr>
          <w:rFonts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eastAsia="zh-CN"/>
        </w:rPr>
        <w:t xml:space="preserve"> </w:t>
      </w:r>
      <w:r>
        <w:rPr>
          <w:rFonts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eastAsia="zh-CN"/>
        </w:rPr>
        <w:t xml:space="preserve">  开户名称：福建福海创石油化工有限公司</w:t>
      </w:r>
    </w:p>
    <w:p w14:paraId="1F143CA3">
      <w:pPr>
        <w:spacing w:line="360" w:lineRule="auto"/>
        <w:ind w:left="233" w:leftChars="106" w:firstLine="840" w:firstLineChars="300"/>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开户银行：中国银行股份有限公司漳州古雷经济开发区支行</w:t>
      </w:r>
    </w:p>
    <w:p w14:paraId="6666EC9D">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 xml:space="preserve">    </w:t>
      </w:r>
      <w:r>
        <w:rPr>
          <w:rFonts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eastAsia="zh-CN"/>
        </w:rPr>
        <w:t>帐</w:t>
      </w:r>
      <w:r>
        <w:rPr>
          <w:rFonts w:ascii="Calibri" w:hAnsi="Calibri" w:eastAsia="仿宋" w:cs="Calibri"/>
          <w:color w:val="auto"/>
          <w:sz w:val="28"/>
          <w:szCs w:val="28"/>
          <w:highlight w:val="none"/>
          <w:lang w:eastAsia="zh-CN"/>
        </w:rPr>
        <w:t>  </w:t>
      </w:r>
      <w:r>
        <w:rPr>
          <w:rFonts w:hint="eastAsia" w:ascii="仿宋" w:hAnsi="仿宋" w:eastAsia="仿宋" w:cs="Times New Roman"/>
          <w:color w:val="auto"/>
          <w:sz w:val="28"/>
          <w:szCs w:val="28"/>
          <w:highlight w:val="none"/>
          <w:lang w:eastAsia="zh-CN"/>
        </w:rPr>
        <w:t>号：</w:t>
      </w:r>
      <w:r>
        <w:rPr>
          <w:rFonts w:ascii="仿宋" w:hAnsi="仿宋" w:eastAsia="仿宋" w:cs="Times New Roman"/>
          <w:color w:val="auto"/>
          <w:sz w:val="28"/>
          <w:szCs w:val="28"/>
          <w:highlight w:val="none"/>
          <w:lang w:eastAsia="zh-CN"/>
        </w:rPr>
        <w:t>4065</w:t>
      </w:r>
      <w:r>
        <w:rPr>
          <w:rFonts w:hint="eastAsia" w:ascii="仿宋" w:hAnsi="仿宋" w:eastAsia="仿宋" w:cs="Times New Roman"/>
          <w:color w:val="auto"/>
          <w:sz w:val="28"/>
          <w:szCs w:val="28"/>
          <w:highlight w:val="none"/>
          <w:lang w:eastAsia="zh-CN"/>
        </w:rPr>
        <w:t xml:space="preserve"> </w:t>
      </w:r>
      <w:r>
        <w:rPr>
          <w:rFonts w:ascii="仿宋" w:hAnsi="仿宋" w:eastAsia="仿宋" w:cs="Times New Roman"/>
          <w:color w:val="auto"/>
          <w:sz w:val="28"/>
          <w:szCs w:val="28"/>
          <w:highlight w:val="none"/>
          <w:lang w:eastAsia="zh-CN"/>
        </w:rPr>
        <w:t>7481</w:t>
      </w:r>
      <w:r>
        <w:rPr>
          <w:rFonts w:hint="eastAsia" w:ascii="仿宋" w:hAnsi="仿宋" w:eastAsia="仿宋" w:cs="Times New Roman"/>
          <w:color w:val="auto"/>
          <w:sz w:val="28"/>
          <w:szCs w:val="28"/>
          <w:highlight w:val="none"/>
          <w:lang w:eastAsia="zh-CN"/>
        </w:rPr>
        <w:t xml:space="preserve"> </w:t>
      </w:r>
      <w:r>
        <w:rPr>
          <w:rFonts w:ascii="仿宋" w:hAnsi="仿宋" w:eastAsia="仿宋" w:cs="Times New Roman"/>
          <w:color w:val="auto"/>
          <w:sz w:val="28"/>
          <w:szCs w:val="28"/>
          <w:highlight w:val="none"/>
          <w:lang w:eastAsia="zh-CN"/>
        </w:rPr>
        <w:t>6628</w:t>
      </w:r>
    </w:p>
    <w:p w14:paraId="1590341B">
      <w:pPr>
        <w:spacing w:line="360" w:lineRule="auto"/>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注明用途：</w:t>
      </w:r>
      <w:r>
        <w:rPr>
          <w:rFonts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开展生产船燃的进料加工业务服务出具专业报告</w:t>
      </w:r>
      <w:r>
        <w:rPr>
          <w:rFonts w:hint="eastAsia" w:ascii="仿宋" w:hAnsi="仿宋" w:eastAsia="仿宋" w:cs="Times New Roman"/>
          <w:color w:val="auto"/>
          <w:sz w:val="28"/>
          <w:szCs w:val="28"/>
          <w:highlight w:val="none"/>
          <w:lang w:eastAsia="zh-CN"/>
        </w:rPr>
        <w:t>项目参比保证金</w:t>
      </w:r>
    </w:p>
    <w:p w14:paraId="582BA6F4">
      <w:pPr>
        <w:spacing w:line="360" w:lineRule="auto"/>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参比有效期为参比文件接收截止期后90个日历天，参比保证金有效期与参比有效期一致。</w:t>
      </w:r>
    </w:p>
    <w:p w14:paraId="1DB0D2DB">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注：开户许可证上账号应与参比保证金转账回单上账号一致，否则视为未按规定提交参比保证金,所造成的一切后果由参比人自行负责。参比保证金转入后，将相关凭证放在参比文件中。</w:t>
      </w:r>
    </w:p>
    <w:p w14:paraId="2395EAD6">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2、对于未能按要求提交保证金的参比文件，采购人将视为不符合参比要求而予以拒绝；</w:t>
      </w:r>
    </w:p>
    <w:p w14:paraId="314EE1C1">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3、询比结束后将原账户无息退还参比选保证金，最迟不超过本项目规定的参比有效期满后的20天。</w:t>
      </w:r>
    </w:p>
    <w:p w14:paraId="55103560">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 xml:space="preserve"> 4、如有下列情况发生，将被没收参比保证金：</w:t>
      </w:r>
    </w:p>
    <w:p w14:paraId="69DC8A00">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 xml:space="preserve">    （1）参比人在参比有效期内撤回参比文件；</w:t>
      </w:r>
    </w:p>
    <w:p w14:paraId="4CA711F1">
      <w:pPr>
        <w:spacing w:line="360" w:lineRule="auto"/>
        <w:ind w:left="441" w:leftChars="6" w:hanging="428" w:hangingChars="153"/>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 xml:space="preserve">    （2）参比人未按中选通知书规定的时间内签定合同。</w:t>
      </w:r>
    </w:p>
    <w:p w14:paraId="5C9CE64F">
      <w:pPr>
        <w:pStyle w:val="20"/>
        <w:spacing w:line="360" w:lineRule="auto"/>
        <w:ind w:right="121"/>
        <w:jc w:val="both"/>
        <w:rPr>
          <w:rFonts w:ascii="仿宋" w:hAnsi="仿宋" w:eastAsia="仿宋"/>
          <w:color w:val="auto"/>
          <w:sz w:val="28"/>
          <w:szCs w:val="28"/>
          <w:highlight w:val="none"/>
          <w:lang w:eastAsia="zh-CN"/>
        </w:rPr>
      </w:pPr>
    </w:p>
    <w:p w14:paraId="0A3C4F40">
      <w:pPr>
        <w:spacing w:line="321" w:lineRule="auto"/>
        <w:jc w:val="both"/>
        <w:rPr>
          <w:rFonts w:ascii="仿宋" w:hAnsi="仿宋" w:eastAsia="仿宋"/>
          <w:color w:val="auto"/>
          <w:highlight w:val="none"/>
          <w:lang w:eastAsia="zh-CN"/>
        </w:rPr>
        <w:sectPr>
          <w:pgSz w:w="11910" w:h="16840"/>
          <w:pgMar w:top="1420" w:right="1140" w:bottom="740" w:left="1300" w:header="0" w:footer="551" w:gutter="0"/>
          <w:cols w:space="720" w:num="1"/>
        </w:sectPr>
      </w:pPr>
    </w:p>
    <w:p w14:paraId="46B908F7">
      <w:pPr>
        <w:pStyle w:val="3"/>
        <w:tabs>
          <w:tab w:val="left" w:pos="4627"/>
        </w:tabs>
        <w:spacing w:line="355" w:lineRule="exact"/>
        <w:ind w:left="3363"/>
        <w:rPr>
          <w:rFonts w:ascii="仿宋" w:hAnsi="仿宋" w:eastAsia="仿宋"/>
          <w:color w:val="auto"/>
          <w:sz w:val="32"/>
          <w:szCs w:val="32"/>
          <w:highlight w:val="none"/>
          <w:lang w:eastAsia="zh-CN"/>
        </w:rPr>
      </w:pPr>
      <w:r>
        <w:rPr>
          <w:rFonts w:ascii="仿宋" w:hAnsi="仿宋" w:eastAsia="仿宋"/>
          <w:color w:val="auto"/>
          <w:sz w:val="32"/>
          <w:szCs w:val="32"/>
          <w:highlight w:val="none"/>
          <w:lang w:eastAsia="zh-CN"/>
        </w:rPr>
        <w:t>第三章</w:t>
      </w:r>
      <w:r>
        <w:rPr>
          <w:rFonts w:ascii="仿宋" w:hAnsi="仿宋" w:eastAsia="仿宋"/>
          <w:color w:val="auto"/>
          <w:sz w:val="32"/>
          <w:szCs w:val="32"/>
          <w:highlight w:val="none"/>
          <w:lang w:eastAsia="zh-CN"/>
        </w:rPr>
        <w:tab/>
      </w:r>
      <w:r>
        <w:rPr>
          <w:rFonts w:ascii="仿宋" w:hAnsi="仿宋" w:eastAsia="仿宋"/>
          <w:color w:val="auto"/>
          <w:spacing w:val="-1"/>
          <w:w w:val="95"/>
          <w:sz w:val="32"/>
          <w:szCs w:val="32"/>
          <w:highlight w:val="none"/>
          <w:lang w:eastAsia="zh-CN"/>
        </w:rPr>
        <w:t>参</w:t>
      </w:r>
      <w:r>
        <w:rPr>
          <w:rFonts w:hint="eastAsia" w:ascii="仿宋" w:hAnsi="仿宋" w:eastAsia="仿宋"/>
          <w:color w:val="auto"/>
          <w:spacing w:val="-1"/>
          <w:w w:val="95"/>
          <w:sz w:val="32"/>
          <w:szCs w:val="32"/>
          <w:highlight w:val="none"/>
          <w:lang w:eastAsia="zh-CN"/>
        </w:rPr>
        <w:t>比</w:t>
      </w:r>
      <w:r>
        <w:rPr>
          <w:rFonts w:ascii="仿宋" w:hAnsi="仿宋" w:eastAsia="仿宋"/>
          <w:color w:val="auto"/>
          <w:spacing w:val="-1"/>
          <w:w w:val="95"/>
          <w:sz w:val="32"/>
          <w:szCs w:val="32"/>
          <w:highlight w:val="none"/>
          <w:lang w:eastAsia="zh-CN"/>
        </w:rPr>
        <w:t>文</w:t>
      </w:r>
      <w:r>
        <w:rPr>
          <w:rFonts w:ascii="仿宋" w:hAnsi="仿宋" w:eastAsia="仿宋"/>
          <w:color w:val="auto"/>
          <w:w w:val="95"/>
          <w:sz w:val="32"/>
          <w:szCs w:val="32"/>
          <w:highlight w:val="none"/>
          <w:lang w:eastAsia="zh-CN"/>
        </w:rPr>
        <w:t>件的编制</w:t>
      </w:r>
    </w:p>
    <w:p w14:paraId="4399C6D8">
      <w:pPr>
        <w:spacing w:before="15" w:line="360" w:lineRule="auto"/>
        <w:rPr>
          <w:rFonts w:ascii="仿宋" w:hAnsi="仿宋" w:eastAsia="仿宋"/>
          <w:b/>
          <w:color w:val="auto"/>
          <w:w w:val="95"/>
          <w:sz w:val="30"/>
          <w:szCs w:val="30"/>
          <w:highlight w:val="none"/>
          <w:lang w:eastAsia="zh-CN"/>
        </w:rPr>
      </w:pPr>
      <w:r>
        <w:rPr>
          <w:rFonts w:hint="eastAsia" w:ascii="仿宋" w:hAnsi="仿宋" w:eastAsia="仿宋"/>
          <w:b/>
          <w:color w:val="auto"/>
          <w:w w:val="95"/>
          <w:sz w:val="28"/>
          <w:highlight w:val="none"/>
          <w:lang w:eastAsia="zh-CN"/>
        </w:rPr>
        <w:t xml:space="preserve">    </w:t>
      </w:r>
      <w:r>
        <w:rPr>
          <w:rFonts w:hint="eastAsia" w:ascii="仿宋" w:hAnsi="仿宋" w:eastAsia="仿宋"/>
          <w:b/>
          <w:color w:val="auto"/>
          <w:w w:val="95"/>
          <w:sz w:val="30"/>
          <w:szCs w:val="30"/>
          <w:highlight w:val="none"/>
          <w:lang w:eastAsia="zh-CN"/>
        </w:rPr>
        <w:t>一、</w:t>
      </w:r>
      <w:r>
        <w:rPr>
          <w:rFonts w:ascii="仿宋" w:hAnsi="仿宋" w:eastAsia="仿宋"/>
          <w:b/>
          <w:color w:val="auto"/>
          <w:w w:val="95"/>
          <w:sz w:val="30"/>
          <w:szCs w:val="30"/>
          <w:highlight w:val="none"/>
          <w:lang w:eastAsia="zh-CN"/>
        </w:rPr>
        <w:t>参</w:t>
      </w:r>
      <w:r>
        <w:rPr>
          <w:rFonts w:hint="eastAsia" w:ascii="仿宋" w:hAnsi="仿宋" w:eastAsia="仿宋"/>
          <w:b/>
          <w:color w:val="auto"/>
          <w:w w:val="95"/>
          <w:sz w:val="30"/>
          <w:szCs w:val="30"/>
          <w:highlight w:val="none"/>
          <w:lang w:eastAsia="zh-CN"/>
        </w:rPr>
        <w:t>比</w:t>
      </w:r>
      <w:r>
        <w:rPr>
          <w:rFonts w:ascii="仿宋" w:hAnsi="仿宋" w:eastAsia="仿宋"/>
          <w:b/>
          <w:color w:val="auto"/>
          <w:w w:val="95"/>
          <w:sz w:val="30"/>
          <w:szCs w:val="30"/>
          <w:highlight w:val="none"/>
          <w:lang w:eastAsia="zh-CN"/>
        </w:rPr>
        <w:t>文件的组成：</w:t>
      </w:r>
    </w:p>
    <w:p w14:paraId="7D6E2182">
      <w:pPr>
        <w:pStyle w:val="70"/>
        <w:spacing w:before="0" w:line="360" w:lineRule="auto"/>
        <w:ind w:left="0" w:firstLine="572" w:firstLineChars="200"/>
        <w:rPr>
          <w:rFonts w:ascii="仿宋" w:hAnsi="仿宋" w:eastAsia="仿宋"/>
          <w:b/>
          <w:color w:val="auto"/>
          <w:sz w:val="28"/>
          <w:szCs w:val="28"/>
          <w:highlight w:val="none"/>
          <w:lang w:eastAsia="zh-CN"/>
        </w:rPr>
      </w:pPr>
      <w:r>
        <w:rPr>
          <w:rFonts w:ascii="仿宋" w:hAnsi="仿宋" w:eastAsia="仿宋"/>
          <w:b/>
          <w:color w:val="auto"/>
          <w:w w:val="95"/>
          <w:sz w:val="30"/>
          <w:szCs w:val="30"/>
          <w:highlight w:val="none"/>
          <w:lang w:eastAsia="zh-CN"/>
        </w:rPr>
        <w:t>参</w:t>
      </w:r>
      <w:r>
        <w:rPr>
          <w:rFonts w:hint="eastAsia" w:ascii="仿宋" w:hAnsi="仿宋" w:eastAsia="仿宋"/>
          <w:b/>
          <w:color w:val="auto"/>
          <w:w w:val="95"/>
          <w:sz w:val="30"/>
          <w:szCs w:val="30"/>
          <w:highlight w:val="none"/>
          <w:lang w:eastAsia="zh-CN"/>
        </w:rPr>
        <w:t>比</w:t>
      </w:r>
      <w:r>
        <w:rPr>
          <w:rFonts w:ascii="仿宋" w:hAnsi="仿宋" w:eastAsia="仿宋"/>
          <w:b/>
          <w:color w:val="auto"/>
          <w:w w:val="95"/>
          <w:sz w:val="30"/>
          <w:szCs w:val="30"/>
          <w:highlight w:val="none"/>
          <w:lang w:eastAsia="zh-CN"/>
        </w:rPr>
        <w:t>文件</w:t>
      </w:r>
      <w:r>
        <w:rPr>
          <w:rFonts w:hint="eastAsia" w:ascii="仿宋" w:hAnsi="仿宋" w:eastAsia="仿宋"/>
          <w:b/>
          <w:color w:val="auto"/>
          <w:w w:val="95"/>
          <w:sz w:val="30"/>
          <w:szCs w:val="30"/>
          <w:highlight w:val="none"/>
          <w:lang w:eastAsia="zh-CN"/>
        </w:rPr>
        <w:t>由商务文件和技术文件组成，分别根据要求按范本编制</w:t>
      </w:r>
      <w:r>
        <w:rPr>
          <w:rFonts w:ascii="仿宋" w:hAnsi="仿宋" w:eastAsia="仿宋"/>
          <w:b/>
          <w:color w:val="auto"/>
          <w:w w:val="95"/>
          <w:sz w:val="30"/>
          <w:szCs w:val="30"/>
          <w:highlight w:val="none"/>
          <w:lang w:eastAsia="zh-CN"/>
        </w:rPr>
        <w:t>并加盖单位公章</w:t>
      </w:r>
      <w:r>
        <w:rPr>
          <w:rFonts w:hint="eastAsia" w:ascii="仿宋" w:hAnsi="仿宋" w:eastAsia="仿宋"/>
          <w:b/>
          <w:color w:val="auto"/>
          <w:w w:val="95"/>
          <w:sz w:val="30"/>
          <w:szCs w:val="30"/>
          <w:highlight w:val="none"/>
          <w:lang w:eastAsia="zh-CN"/>
        </w:rPr>
        <w:t>。</w:t>
      </w:r>
    </w:p>
    <w:p w14:paraId="05087EA7">
      <w:pPr>
        <w:pStyle w:val="2"/>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1.技术文件（需加盖公章及骑缝章）</w:t>
      </w:r>
    </w:p>
    <w:p w14:paraId="31EF7B0D">
      <w:pPr>
        <w:pStyle w:val="20"/>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①</w:t>
      </w:r>
      <w:r>
        <w:rPr>
          <w:rFonts w:hint="eastAsia" w:ascii="仿宋" w:hAnsi="仿宋" w:eastAsia="仿宋"/>
          <w:color w:val="auto"/>
          <w:sz w:val="28"/>
          <w:szCs w:val="28"/>
          <w:highlight w:val="none"/>
          <w:lang w:eastAsia="zh-CN"/>
        </w:rPr>
        <w:t>法定代表人授权委托书；</w:t>
      </w:r>
    </w:p>
    <w:p w14:paraId="4B5065E8">
      <w:pPr>
        <w:pStyle w:val="20"/>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②营业执照</w:t>
      </w:r>
      <w:r>
        <w:rPr>
          <w:rFonts w:hint="eastAsia" w:ascii="仿宋" w:hAnsi="仿宋" w:eastAsia="仿宋"/>
          <w:color w:val="auto"/>
          <w:sz w:val="28"/>
          <w:szCs w:val="28"/>
          <w:highlight w:val="none"/>
          <w:lang w:eastAsia="zh-CN"/>
        </w:rPr>
        <w:t>；</w:t>
      </w:r>
    </w:p>
    <w:p w14:paraId="66625A5C">
      <w:pPr>
        <w:pStyle w:val="20"/>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fldChar w:fldCharType="begin"/>
      </w:r>
      <w:r>
        <w:rPr>
          <w:rFonts w:ascii="仿宋" w:hAnsi="仿宋" w:eastAsia="仿宋"/>
          <w:color w:val="auto"/>
          <w:sz w:val="28"/>
          <w:szCs w:val="28"/>
          <w:highlight w:val="none"/>
          <w:lang w:eastAsia="zh-CN"/>
        </w:rPr>
        <w:instrText xml:space="preserve"> </w:instrText>
      </w:r>
      <w:r>
        <w:rPr>
          <w:rFonts w:hint="eastAsia" w:ascii="仿宋" w:hAnsi="仿宋" w:eastAsia="仿宋"/>
          <w:color w:val="auto"/>
          <w:sz w:val="28"/>
          <w:szCs w:val="28"/>
          <w:highlight w:val="none"/>
          <w:lang w:eastAsia="zh-CN"/>
        </w:rPr>
        <w:instrText xml:space="preserve">= 3 \* GB3</w:instrText>
      </w:r>
      <w:r>
        <w:rPr>
          <w:rFonts w:ascii="仿宋" w:hAnsi="仿宋" w:eastAsia="仿宋"/>
          <w:color w:val="auto"/>
          <w:sz w:val="28"/>
          <w:szCs w:val="28"/>
          <w:highlight w:val="none"/>
          <w:lang w:eastAsia="zh-CN"/>
        </w:rPr>
        <w:instrText xml:space="preserve"> </w:instrText>
      </w:r>
      <w:r>
        <w:rPr>
          <w:rFonts w:ascii="仿宋" w:hAnsi="仿宋" w:eastAsia="仿宋"/>
          <w:color w:val="auto"/>
          <w:sz w:val="28"/>
          <w:szCs w:val="28"/>
          <w:highlight w:val="none"/>
          <w:lang w:eastAsia="zh-CN"/>
        </w:rPr>
        <w:fldChar w:fldCharType="separate"/>
      </w:r>
      <w:r>
        <w:rPr>
          <w:rFonts w:hint="eastAsia" w:ascii="仿宋" w:hAnsi="仿宋" w:eastAsia="仿宋"/>
          <w:color w:val="auto"/>
          <w:sz w:val="28"/>
          <w:szCs w:val="28"/>
          <w:highlight w:val="none"/>
          <w:lang w:eastAsia="zh-CN"/>
        </w:rPr>
        <w:t>③</w:t>
      </w:r>
      <w:r>
        <w:rPr>
          <w:rFonts w:ascii="仿宋" w:hAnsi="仿宋" w:eastAsia="仿宋"/>
          <w:color w:val="auto"/>
          <w:sz w:val="28"/>
          <w:szCs w:val="28"/>
          <w:highlight w:val="none"/>
          <w:lang w:eastAsia="zh-CN"/>
        </w:rPr>
        <w:fldChar w:fldCharType="end"/>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保证金回执单；</w:t>
      </w:r>
    </w:p>
    <w:p w14:paraId="66315688">
      <w:pPr>
        <w:pStyle w:val="20"/>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fldChar w:fldCharType="begin"/>
      </w:r>
      <w:r>
        <w:rPr>
          <w:rFonts w:ascii="仿宋" w:hAnsi="仿宋" w:eastAsia="仿宋"/>
          <w:color w:val="auto"/>
          <w:sz w:val="28"/>
          <w:szCs w:val="28"/>
          <w:highlight w:val="none"/>
          <w:lang w:eastAsia="zh-CN"/>
        </w:rPr>
        <w:instrText xml:space="preserve"> </w:instrText>
      </w:r>
      <w:r>
        <w:rPr>
          <w:rFonts w:hint="eastAsia" w:ascii="仿宋" w:hAnsi="仿宋" w:eastAsia="仿宋"/>
          <w:color w:val="auto"/>
          <w:sz w:val="28"/>
          <w:szCs w:val="28"/>
          <w:highlight w:val="none"/>
          <w:lang w:eastAsia="zh-CN"/>
        </w:rPr>
        <w:instrText xml:space="preserve">= 4 \* GB3</w:instrText>
      </w:r>
      <w:r>
        <w:rPr>
          <w:rFonts w:ascii="仿宋" w:hAnsi="仿宋" w:eastAsia="仿宋"/>
          <w:color w:val="auto"/>
          <w:sz w:val="28"/>
          <w:szCs w:val="28"/>
          <w:highlight w:val="none"/>
          <w:lang w:eastAsia="zh-CN"/>
        </w:rPr>
        <w:instrText xml:space="preserve"> </w:instrText>
      </w:r>
      <w:r>
        <w:rPr>
          <w:rFonts w:ascii="仿宋" w:hAnsi="仿宋" w:eastAsia="仿宋"/>
          <w:color w:val="auto"/>
          <w:sz w:val="28"/>
          <w:szCs w:val="28"/>
          <w:highlight w:val="none"/>
          <w:lang w:eastAsia="zh-CN"/>
        </w:rPr>
        <w:fldChar w:fldCharType="separate"/>
      </w:r>
      <w:r>
        <w:rPr>
          <w:rFonts w:hint="eastAsia" w:ascii="仿宋" w:hAnsi="仿宋" w:eastAsia="仿宋"/>
          <w:color w:val="auto"/>
          <w:sz w:val="28"/>
          <w:szCs w:val="28"/>
          <w:highlight w:val="none"/>
          <w:lang w:eastAsia="zh-CN"/>
        </w:rPr>
        <w:t>④</w:t>
      </w:r>
      <w:r>
        <w:rPr>
          <w:rFonts w:ascii="仿宋" w:hAnsi="仿宋" w:eastAsia="仿宋"/>
          <w:color w:val="auto"/>
          <w:sz w:val="28"/>
          <w:szCs w:val="28"/>
          <w:highlight w:val="none"/>
          <w:lang w:eastAsia="zh-CN"/>
        </w:rPr>
        <w:fldChar w:fldCharType="end"/>
      </w:r>
      <w:r>
        <w:rPr>
          <w:rFonts w:hint="eastAsia" w:ascii="仿宋" w:hAnsi="仿宋" w:eastAsia="仿宋"/>
          <w:color w:val="auto"/>
          <w:sz w:val="28"/>
          <w:szCs w:val="28"/>
          <w:highlight w:val="none"/>
          <w:lang w:eastAsia="zh-CN"/>
        </w:rPr>
        <w:t>公司资质、企业概况、业绩的证明、其他需说明问题；</w:t>
      </w:r>
    </w:p>
    <w:p w14:paraId="0DD19AD1">
      <w:pPr>
        <w:pStyle w:val="20"/>
        <w:spacing w:line="360" w:lineRule="auto"/>
        <w:ind w:firstLine="560" w:firstLineChars="200"/>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fldChar w:fldCharType="begin"/>
      </w:r>
      <w:r>
        <w:rPr>
          <w:rFonts w:ascii="仿宋" w:hAnsi="仿宋" w:eastAsia="仿宋"/>
          <w:color w:val="auto"/>
          <w:sz w:val="28"/>
          <w:szCs w:val="28"/>
          <w:highlight w:val="none"/>
          <w:lang w:eastAsia="zh-CN"/>
        </w:rPr>
        <w:instrText xml:space="preserve"> </w:instrText>
      </w:r>
      <w:r>
        <w:rPr>
          <w:rFonts w:hint="eastAsia" w:ascii="仿宋" w:hAnsi="仿宋" w:eastAsia="仿宋"/>
          <w:color w:val="auto"/>
          <w:sz w:val="28"/>
          <w:szCs w:val="28"/>
          <w:highlight w:val="none"/>
          <w:lang w:eastAsia="zh-CN"/>
        </w:rPr>
        <w:instrText xml:space="preserve">= 5 \* GB3</w:instrText>
      </w:r>
      <w:r>
        <w:rPr>
          <w:rFonts w:ascii="仿宋" w:hAnsi="仿宋" w:eastAsia="仿宋"/>
          <w:color w:val="auto"/>
          <w:sz w:val="28"/>
          <w:szCs w:val="28"/>
          <w:highlight w:val="none"/>
          <w:lang w:eastAsia="zh-CN"/>
        </w:rPr>
        <w:instrText xml:space="preserve"> </w:instrText>
      </w:r>
      <w:r>
        <w:rPr>
          <w:rFonts w:ascii="仿宋" w:hAnsi="仿宋" w:eastAsia="仿宋"/>
          <w:color w:val="auto"/>
          <w:sz w:val="28"/>
          <w:szCs w:val="28"/>
          <w:highlight w:val="none"/>
          <w:lang w:eastAsia="zh-CN"/>
        </w:rPr>
        <w:fldChar w:fldCharType="separate"/>
      </w:r>
      <w:r>
        <w:rPr>
          <w:rFonts w:hint="eastAsia" w:ascii="仿宋" w:hAnsi="仿宋" w:eastAsia="仿宋"/>
          <w:color w:val="auto"/>
          <w:sz w:val="28"/>
          <w:szCs w:val="28"/>
          <w:highlight w:val="none"/>
          <w:lang w:eastAsia="zh-CN"/>
        </w:rPr>
        <w:t>⑤</w:t>
      </w:r>
      <w:r>
        <w:rPr>
          <w:rFonts w:ascii="仿宋" w:hAnsi="仿宋" w:eastAsia="仿宋"/>
          <w:color w:val="auto"/>
          <w:sz w:val="28"/>
          <w:szCs w:val="28"/>
          <w:highlight w:val="none"/>
          <w:lang w:eastAsia="zh-CN"/>
        </w:rPr>
        <w:fldChar w:fldCharType="end"/>
      </w:r>
      <w:r>
        <w:rPr>
          <w:rFonts w:ascii="仿宋" w:hAnsi="仿宋" w:eastAsia="仿宋"/>
          <w:color w:val="auto"/>
          <w:sz w:val="28"/>
          <w:szCs w:val="28"/>
          <w:highlight w:val="none"/>
          <w:lang w:eastAsia="zh-CN"/>
        </w:rPr>
        <w:t>交货期、付款方式等；</w:t>
      </w:r>
    </w:p>
    <w:p w14:paraId="3D2CFD9F">
      <w:pPr>
        <w:pStyle w:val="20"/>
        <w:spacing w:line="360" w:lineRule="auto"/>
        <w:ind w:firstLine="562" w:firstLineChars="200"/>
        <w:rPr>
          <w:rFonts w:ascii="仿宋" w:hAnsi="仿宋" w:eastAsia="仿宋"/>
          <w:color w:val="auto"/>
          <w:sz w:val="28"/>
          <w:szCs w:val="28"/>
          <w:highlight w:val="none"/>
          <w:lang w:eastAsia="zh-CN"/>
        </w:rPr>
      </w:pPr>
      <w:r>
        <w:rPr>
          <w:rFonts w:hint="eastAsia" w:ascii="仿宋" w:hAnsi="仿宋" w:eastAsia="仿宋"/>
          <w:b/>
          <w:color w:val="auto"/>
          <w:sz w:val="28"/>
          <w:szCs w:val="28"/>
          <w:highlight w:val="none"/>
          <w:lang w:eastAsia="zh-CN"/>
        </w:rPr>
        <w:t>参比人在编制技术文件时应考虑第四章评审办法及规则中的要求。</w:t>
      </w:r>
    </w:p>
    <w:p w14:paraId="020A915C">
      <w:pPr>
        <w:pStyle w:val="2"/>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2. 商务文件（需每页加盖公章）</w:t>
      </w:r>
    </w:p>
    <w:p w14:paraId="6A772CAB">
      <w:pPr>
        <w:pStyle w:val="2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①</w:t>
      </w:r>
      <w:r>
        <w:rPr>
          <w:rFonts w:ascii="仿宋" w:hAnsi="仿宋" w:eastAsia="仿宋"/>
          <w:color w:val="auto"/>
          <w:sz w:val="28"/>
          <w:szCs w:val="28"/>
          <w:highlight w:val="none"/>
          <w:lang w:eastAsia="zh-CN"/>
        </w:rPr>
        <w:t>提供</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报价表(详见附件)</w:t>
      </w:r>
    </w:p>
    <w:p w14:paraId="78F98971">
      <w:pPr>
        <w:pStyle w:val="2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 ②承诺函</w:t>
      </w:r>
    </w:p>
    <w:p w14:paraId="181AA56C">
      <w:pPr>
        <w:spacing w:before="15" w:line="360" w:lineRule="auto"/>
        <w:ind w:firstLine="572" w:firstLineChars="200"/>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二、参</w:t>
      </w:r>
      <w:r>
        <w:rPr>
          <w:rFonts w:hint="eastAsia" w:ascii="仿宋" w:hAnsi="仿宋" w:eastAsia="仿宋"/>
          <w:b/>
          <w:color w:val="auto"/>
          <w:w w:val="95"/>
          <w:sz w:val="30"/>
          <w:szCs w:val="30"/>
          <w:highlight w:val="none"/>
          <w:lang w:eastAsia="zh-CN"/>
        </w:rPr>
        <w:t>比文件</w:t>
      </w:r>
      <w:r>
        <w:rPr>
          <w:rFonts w:ascii="仿宋" w:hAnsi="仿宋" w:eastAsia="仿宋"/>
          <w:b/>
          <w:color w:val="auto"/>
          <w:w w:val="95"/>
          <w:sz w:val="30"/>
          <w:szCs w:val="30"/>
          <w:highlight w:val="none"/>
          <w:lang w:eastAsia="zh-CN"/>
        </w:rPr>
        <w:t>格式内容</w:t>
      </w:r>
    </w:p>
    <w:p w14:paraId="5148CCF7">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人应按附件二格式内容要求进行编制。</w:t>
      </w:r>
    </w:p>
    <w:p w14:paraId="70EC0A6D">
      <w:pPr>
        <w:spacing w:before="15" w:line="360" w:lineRule="auto"/>
        <w:ind w:firstLine="572" w:firstLineChars="200"/>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三、参</w:t>
      </w:r>
      <w:r>
        <w:rPr>
          <w:rFonts w:hint="eastAsia" w:ascii="仿宋" w:hAnsi="仿宋" w:eastAsia="仿宋"/>
          <w:b/>
          <w:color w:val="auto"/>
          <w:w w:val="95"/>
          <w:sz w:val="30"/>
          <w:szCs w:val="30"/>
          <w:highlight w:val="none"/>
          <w:lang w:eastAsia="zh-CN"/>
        </w:rPr>
        <w:t>比</w:t>
      </w:r>
      <w:r>
        <w:rPr>
          <w:rFonts w:ascii="仿宋" w:hAnsi="仿宋" w:eastAsia="仿宋"/>
          <w:b/>
          <w:color w:val="auto"/>
          <w:w w:val="95"/>
          <w:sz w:val="30"/>
          <w:szCs w:val="30"/>
          <w:highlight w:val="none"/>
          <w:lang w:eastAsia="zh-CN"/>
        </w:rPr>
        <w:t>报价</w:t>
      </w:r>
    </w:p>
    <w:p w14:paraId="2A58EA9D">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人须按要求进行报价，对参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报价负责。参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报价应加盖参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人印章，字迹清晰，否则视为无效。</w:t>
      </w:r>
    </w:p>
    <w:p w14:paraId="302D5BFB">
      <w:pPr>
        <w:spacing w:before="15" w:line="360" w:lineRule="auto"/>
        <w:ind w:firstLine="534" w:firstLineChars="200"/>
        <w:rPr>
          <w:rFonts w:ascii="仿宋" w:hAnsi="仿宋" w:eastAsia="仿宋"/>
          <w:b/>
          <w:color w:val="auto"/>
          <w:w w:val="95"/>
          <w:sz w:val="28"/>
          <w:szCs w:val="28"/>
          <w:highlight w:val="none"/>
          <w:lang w:eastAsia="zh-CN"/>
        </w:rPr>
      </w:pPr>
      <w:r>
        <w:rPr>
          <w:rFonts w:ascii="仿宋" w:hAnsi="仿宋" w:eastAsia="仿宋"/>
          <w:b/>
          <w:color w:val="auto"/>
          <w:w w:val="95"/>
          <w:sz w:val="28"/>
          <w:szCs w:val="28"/>
          <w:highlight w:val="none"/>
          <w:lang w:eastAsia="zh-CN"/>
        </w:rPr>
        <w:t>四、特别说明</w:t>
      </w:r>
    </w:p>
    <w:p w14:paraId="572E88F2">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人应承担所有与准备和参加</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有关的费用。不论比选的结果如何，</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人均无义务和责任承担这些费用。</w:t>
      </w:r>
    </w:p>
    <w:p w14:paraId="2F4880CF">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2.参</w:t>
      </w:r>
      <w:r>
        <w:rPr>
          <w:rFonts w:hint="eastAsia" w:ascii="仿宋" w:hAnsi="仿宋" w:eastAsia="仿宋"/>
          <w:color w:val="auto"/>
          <w:sz w:val="28"/>
          <w:szCs w:val="28"/>
          <w:highlight w:val="none"/>
          <w:lang w:eastAsia="zh-CN"/>
        </w:rPr>
        <w:t>比人</w:t>
      </w:r>
      <w:r>
        <w:rPr>
          <w:rFonts w:ascii="仿宋" w:hAnsi="仿宋" w:eastAsia="仿宋"/>
          <w:color w:val="auto"/>
          <w:sz w:val="28"/>
          <w:szCs w:val="28"/>
          <w:highlight w:val="none"/>
          <w:lang w:eastAsia="zh-CN"/>
        </w:rPr>
        <w:t>收到</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文件后，如有疑问需要澄清，请以书面形式在规定时间内报</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人汇总。</w:t>
      </w:r>
    </w:p>
    <w:p w14:paraId="0B825753">
      <w:pPr>
        <w:spacing w:line="360" w:lineRule="auto"/>
        <w:jc w:val="both"/>
        <w:rPr>
          <w:rFonts w:ascii="仿宋" w:hAnsi="仿宋" w:eastAsia="仿宋"/>
          <w:color w:val="auto"/>
          <w:highlight w:val="none"/>
          <w:lang w:eastAsia="zh-CN"/>
        </w:rPr>
        <w:sectPr>
          <w:pgSz w:w="11910" w:h="16840"/>
          <w:pgMar w:top="1500" w:right="1020" w:bottom="740" w:left="1300" w:header="0" w:footer="551" w:gutter="0"/>
          <w:cols w:space="720" w:num="1"/>
        </w:sectPr>
      </w:pPr>
    </w:p>
    <w:p w14:paraId="225CC1A1">
      <w:pPr>
        <w:pStyle w:val="3"/>
        <w:tabs>
          <w:tab w:val="left" w:pos="1488"/>
        </w:tabs>
        <w:spacing w:line="355" w:lineRule="exact"/>
        <w:ind w:left="365"/>
        <w:jc w:val="center"/>
        <w:rPr>
          <w:rFonts w:ascii="仿宋" w:hAnsi="仿宋" w:eastAsia="仿宋"/>
          <w:color w:val="auto"/>
          <w:sz w:val="32"/>
          <w:szCs w:val="32"/>
          <w:highlight w:val="none"/>
          <w:lang w:eastAsia="zh-CN"/>
        </w:rPr>
      </w:pPr>
      <w:r>
        <w:rPr>
          <w:rFonts w:ascii="仿宋" w:hAnsi="仿宋" w:eastAsia="仿宋"/>
          <w:color w:val="auto"/>
          <w:sz w:val="32"/>
          <w:szCs w:val="32"/>
          <w:highlight w:val="none"/>
          <w:lang w:eastAsia="zh-CN"/>
        </w:rPr>
        <w:t>第四章</w:t>
      </w:r>
      <w:r>
        <w:rPr>
          <w:rFonts w:ascii="仿宋" w:hAnsi="仿宋" w:eastAsia="仿宋"/>
          <w:color w:val="auto"/>
          <w:sz w:val="32"/>
          <w:szCs w:val="32"/>
          <w:highlight w:val="none"/>
          <w:lang w:eastAsia="zh-CN"/>
        </w:rPr>
        <w:tab/>
      </w:r>
      <w:r>
        <w:rPr>
          <w:rFonts w:ascii="仿宋" w:hAnsi="仿宋" w:eastAsia="仿宋"/>
          <w:color w:val="auto"/>
          <w:spacing w:val="-1"/>
          <w:w w:val="95"/>
          <w:sz w:val="32"/>
          <w:szCs w:val="32"/>
          <w:highlight w:val="none"/>
          <w:lang w:eastAsia="zh-CN"/>
        </w:rPr>
        <w:t>评</w:t>
      </w:r>
      <w:r>
        <w:rPr>
          <w:rFonts w:hint="eastAsia" w:ascii="仿宋" w:hAnsi="仿宋" w:eastAsia="仿宋"/>
          <w:color w:val="auto"/>
          <w:spacing w:val="-1"/>
          <w:w w:val="95"/>
          <w:sz w:val="32"/>
          <w:szCs w:val="32"/>
          <w:highlight w:val="none"/>
          <w:lang w:eastAsia="zh-CN"/>
        </w:rPr>
        <w:t>审方法及</w:t>
      </w:r>
      <w:r>
        <w:rPr>
          <w:rFonts w:ascii="仿宋" w:hAnsi="仿宋" w:eastAsia="仿宋"/>
          <w:color w:val="auto"/>
          <w:spacing w:val="-1"/>
          <w:w w:val="95"/>
          <w:sz w:val="32"/>
          <w:szCs w:val="32"/>
          <w:highlight w:val="none"/>
          <w:lang w:eastAsia="zh-CN"/>
        </w:rPr>
        <w:t>规</w:t>
      </w:r>
      <w:r>
        <w:rPr>
          <w:rFonts w:ascii="仿宋" w:hAnsi="仿宋" w:eastAsia="仿宋"/>
          <w:color w:val="auto"/>
          <w:w w:val="95"/>
          <w:sz w:val="32"/>
          <w:szCs w:val="32"/>
          <w:highlight w:val="none"/>
          <w:lang w:eastAsia="zh-CN"/>
        </w:rPr>
        <w:t>则</w:t>
      </w:r>
    </w:p>
    <w:p w14:paraId="5B7CF2FC">
      <w:pPr>
        <w:spacing w:before="60" w:beforeLines="25" w:line="580" w:lineRule="exact"/>
        <w:rPr>
          <w:b/>
          <w:color w:val="auto"/>
          <w:sz w:val="28"/>
          <w:szCs w:val="28"/>
          <w:highlight w:val="none"/>
          <w:lang w:eastAsia="zh-CN"/>
        </w:rPr>
      </w:pPr>
      <w:r>
        <w:rPr>
          <w:rFonts w:ascii="仿宋" w:hAnsi="仿宋" w:eastAsia="仿宋"/>
          <w:b/>
          <w:color w:val="auto"/>
          <w:w w:val="95"/>
          <w:sz w:val="30"/>
          <w:szCs w:val="30"/>
          <w:highlight w:val="none"/>
          <w:lang w:eastAsia="zh-CN"/>
        </w:rPr>
        <w:t>一、</w:t>
      </w:r>
      <w:r>
        <w:rPr>
          <w:rFonts w:hint="eastAsia" w:ascii="仿宋" w:hAnsi="仿宋" w:eastAsia="仿宋"/>
          <w:b/>
          <w:color w:val="auto"/>
          <w:w w:val="95"/>
          <w:sz w:val="30"/>
          <w:szCs w:val="30"/>
          <w:highlight w:val="none"/>
          <w:lang w:eastAsia="zh-CN"/>
        </w:rPr>
        <w:t>本项目采用</w:t>
      </w:r>
      <w:r>
        <w:rPr>
          <w:rFonts w:hint="eastAsia" w:ascii="仿宋" w:hAnsi="仿宋" w:eastAsia="仿宋"/>
          <w:b/>
          <w:color w:val="auto"/>
          <w:w w:val="95"/>
          <w:sz w:val="30"/>
          <w:szCs w:val="30"/>
          <w:highlight w:val="none"/>
          <w:lang w:val="en-US" w:eastAsia="zh-CN"/>
        </w:rPr>
        <w:t>综合评分</w:t>
      </w:r>
      <w:r>
        <w:rPr>
          <w:rFonts w:hint="eastAsia" w:ascii="仿宋" w:hAnsi="仿宋" w:eastAsia="仿宋"/>
          <w:b/>
          <w:color w:val="auto"/>
          <w:w w:val="95"/>
          <w:sz w:val="30"/>
          <w:szCs w:val="30"/>
          <w:highlight w:val="none"/>
          <w:lang w:eastAsia="zh-CN"/>
        </w:rPr>
        <w:t>法评审，规则：</w:t>
      </w:r>
    </w:p>
    <w:p w14:paraId="0B9F2051">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560" w:firstLineChars="200"/>
        <w:textAlignment w:val="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1.1评审委员按照评分细则打分，综合得分由高到低顺序推荐前n名作为成交候选人。综合得分最高者作为第一中选候选人，综合得分相等时，最终报价低者优先；最终报价也相等的，技术得分高者优先；如果技术得分也相等时，由评审小组投票表决。</w:t>
      </w:r>
    </w:p>
    <w:p w14:paraId="72A77C25">
      <w:pPr>
        <w:pStyle w:val="20"/>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1.2 </w:t>
      </w:r>
      <w:r>
        <w:rPr>
          <w:rFonts w:ascii="仿宋" w:hAnsi="仿宋" w:eastAsia="仿宋"/>
          <w:color w:val="auto"/>
          <w:sz w:val="28"/>
          <w:szCs w:val="28"/>
          <w:highlight w:val="none"/>
          <w:lang w:eastAsia="zh-CN"/>
        </w:rPr>
        <w:t>替补候选人的设定与使用</w:t>
      </w:r>
      <w:r>
        <w:rPr>
          <w:rFonts w:hint="eastAsia" w:ascii="仿宋" w:hAnsi="仿宋" w:eastAsia="仿宋"/>
          <w:color w:val="auto"/>
          <w:sz w:val="28"/>
          <w:szCs w:val="28"/>
          <w:highlight w:val="none"/>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color w:val="auto"/>
          <w:sz w:val="28"/>
          <w:szCs w:val="28"/>
          <w:highlight w:val="none"/>
          <w:lang w:eastAsia="zh-CN"/>
        </w:rPr>
        <w:t>保留依法追究的权利</w:t>
      </w:r>
      <w:r>
        <w:rPr>
          <w:rFonts w:hint="eastAsia" w:ascii="仿宋" w:hAnsi="仿宋" w:eastAsia="仿宋"/>
          <w:color w:val="auto"/>
          <w:sz w:val="28"/>
          <w:szCs w:val="28"/>
          <w:highlight w:val="none"/>
          <w:lang w:eastAsia="zh-CN"/>
        </w:rPr>
        <w:t>。采购人可以</w:t>
      </w:r>
      <w:r>
        <w:rPr>
          <w:rFonts w:ascii="仿宋" w:hAnsi="仿宋" w:eastAsia="仿宋"/>
          <w:color w:val="auto"/>
          <w:sz w:val="28"/>
          <w:szCs w:val="28"/>
          <w:highlight w:val="none"/>
          <w:lang w:eastAsia="zh-CN"/>
        </w:rPr>
        <w:t>确定排名第二名的中选候选人为本项目的中选人。</w:t>
      </w:r>
    </w:p>
    <w:p w14:paraId="715D989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宋体"/>
          <w:color w:val="auto"/>
          <w:sz w:val="28"/>
          <w:szCs w:val="28"/>
          <w:highlight w:val="none"/>
          <w:lang w:val="en-US" w:eastAsia="zh-CN" w:bidi="ar-SA"/>
        </w:rPr>
      </w:pPr>
      <w:r>
        <w:rPr>
          <w:rFonts w:hint="eastAsia" w:ascii="仿宋" w:hAnsi="仿宋" w:eastAsia="仿宋" w:cs="宋体"/>
          <w:color w:val="auto"/>
          <w:sz w:val="28"/>
          <w:szCs w:val="28"/>
          <w:highlight w:val="none"/>
          <w:lang w:val="en-US" w:eastAsia="zh-CN" w:bidi="ar-SA"/>
        </w:rPr>
        <w:t>1.3 评选委员会将对通过资格及实质响应性审查的各合格参比人，经技术部分和商务部分评选后选择综合总分最高者作为中选单位，本案采用综合评分法，技术部分(满分50分)、价格部分(满分50分)，技术、价格分别占比50:50； 具体评分细则详见下表：</w:t>
      </w:r>
    </w:p>
    <w:p w14:paraId="5B392D2F">
      <w:pPr>
        <w:keepNext w:val="0"/>
        <w:keepLines w:val="0"/>
        <w:pageBreakBefore w:val="0"/>
        <w:widowControl w:val="0"/>
        <w:numPr>
          <w:ilvl w:val="0"/>
          <w:numId w:val="8"/>
        </w:numPr>
        <w:tabs>
          <w:tab w:val="left" w:pos="-1080"/>
          <w:tab w:val="left" w:pos="180"/>
          <w:tab w:val="left" w:pos="1080"/>
        </w:tabs>
        <w:kinsoku/>
        <w:wordWrap/>
        <w:overflowPunct/>
        <w:topLinePunct w:val="0"/>
        <w:autoSpaceDE w:val="0"/>
        <w:autoSpaceDN w:val="0"/>
        <w:bidi w:val="0"/>
        <w:adjustRightInd/>
        <w:snapToGrid/>
        <w:spacing w:line="360" w:lineRule="auto"/>
        <w:textAlignment w:val="auto"/>
        <w:rPr>
          <w:rFonts w:hint="eastAsia" w:ascii="仿宋" w:hAnsi="仿宋" w:eastAsia="仿宋" w:cs="宋体"/>
          <w:color w:val="auto"/>
          <w:sz w:val="28"/>
          <w:szCs w:val="28"/>
          <w:highlight w:val="none"/>
          <w:lang w:val="en-US" w:eastAsia="zh-CN" w:bidi="ar-SA"/>
        </w:rPr>
      </w:pPr>
      <w:r>
        <w:rPr>
          <w:rFonts w:hint="eastAsia" w:ascii="仿宋" w:hAnsi="仿宋" w:eastAsia="仿宋" w:cs="宋体"/>
          <w:color w:val="auto"/>
          <w:sz w:val="28"/>
          <w:szCs w:val="28"/>
          <w:highlight w:val="none"/>
          <w:lang w:val="en-US" w:eastAsia="zh-CN" w:bidi="ar-SA"/>
        </w:rPr>
        <w:t>技术评分：满分50分</w:t>
      </w:r>
    </w:p>
    <w:p w14:paraId="1E52848A">
      <w:pPr>
        <w:pStyle w:val="20"/>
        <w:spacing w:line="360" w:lineRule="auto"/>
        <w:ind w:right="121" w:firstLine="560" w:firstLineChars="200"/>
        <w:jc w:val="both"/>
        <w:rPr>
          <w:rFonts w:hint="default"/>
          <w:b/>
          <w:color w:val="auto"/>
          <w:sz w:val="28"/>
          <w:szCs w:val="28"/>
          <w:highlight w:val="none"/>
          <w:lang w:val="en-US" w:eastAsia="zh-CN"/>
        </w:rPr>
      </w:pPr>
      <w:r>
        <w:rPr>
          <w:rFonts w:hint="eastAsia" w:ascii="仿宋" w:hAnsi="仿宋" w:eastAsia="仿宋"/>
          <w:color w:val="auto"/>
          <w:sz w:val="28"/>
          <w:szCs w:val="28"/>
          <w:highlight w:val="none"/>
          <w:lang w:eastAsia="zh-CN"/>
        </w:rPr>
        <w:t>具体评分方法和标准详</w:t>
      </w:r>
      <w:r>
        <w:rPr>
          <w:rFonts w:hint="eastAsia" w:ascii="仿宋" w:hAnsi="仿宋" w:eastAsia="仿宋"/>
          <w:color w:val="auto"/>
          <w:sz w:val="28"/>
          <w:szCs w:val="28"/>
          <w:highlight w:val="none"/>
          <w:lang w:val="en-US" w:eastAsia="zh-CN"/>
        </w:rPr>
        <w:t>如下：</w:t>
      </w:r>
    </w:p>
    <w:p w14:paraId="1EFDEBE7">
      <w:pPr>
        <w:ind w:left="108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表1  技术标评分标准</w:t>
      </w:r>
    </w:p>
    <w:tbl>
      <w:tblPr>
        <w:tblStyle w:val="46"/>
        <w:tblW w:w="4994" w:type="pct"/>
        <w:tblInd w:w="0" w:type="dxa"/>
        <w:tblLayout w:type="autofit"/>
        <w:tblCellMar>
          <w:top w:w="0" w:type="dxa"/>
          <w:left w:w="108" w:type="dxa"/>
          <w:bottom w:w="0" w:type="dxa"/>
          <w:right w:w="108" w:type="dxa"/>
        </w:tblCellMar>
      </w:tblPr>
      <w:tblGrid>
        <w:gridCol w:w="768"/>
        <w:gridCol w:w="1645"/>
        <w:gridCol w:w="5838"/>
        <w:gridCol w:w="1423"/>
      </w:tblGrid>
      <w:tr w14:paraId="678614C3">
        <w:tblPrEx>
          <w:tblCellMar>
            <w:top w:w="0" w:type="dxa"/>
            <w:left w:w="108" w:type="dxa"/>
            <w:bottom w:w="0" w:type="dxa"/>
            <w:right w:w="108" w:type="dxa"/>
          </w:tblCellMar>
        </w:tblPrEx>
        <w:trPr>
          <w:trHeight w:val="312" w:hRule="atLeast"/>
        </w:trPr>
        <w:tc>
          <w:tcPr>
            <w:tcW w:w="397" w:type="pct"/>
            <w:tcBorders>
              <w:top w:val="single" w:color="000000" w:sz="8" w:space="0"/>
              <w:left w:val="single" w:color="000000" w:sz="8" w:space="0"/>
              <w:bottom w:val="nil"/>
              <w:right w:val="single" w:color="000000" w:sz="8" w:space="0"/>
            </w:tcBorders>
            <w:noWrap w:val="0"/>
            <w:vAlign w:val="center"/>
          </w:tcPr>
          <w:p w14:paraId="711BFD20">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850" w:type="pct"/>
            <w:tcBorders>
              <w:top w:val="single" w:color="000000" w:sz="8" w:space="0"/>
              <w:left w:val="nil"/>
              <w:bottom w:val="nil"/>
              <w:right w:val="single" w:color="000000" w:sz="8" w:space="0"/>
            </w:tcBorders>
            <w:noWrap w:val="0"/>
            <w:vAlign w:val="center"/>
          </w:tcPr>
          <w:p w14:paraId="5D69D682">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评标项目</w:t>
            </w:r>
          </w:p>
        </w:tc>
        <w:tc>
          <w:tcPr>
            <w:tcW w:w="3016" w:type="pct"/>
            <w:tcBorders>
              <w:top w:val="single" w:color="000000" w:sz="8" w:space="0"/>
              <w:left w:val="nil"/>
              <w:bottom w:val="nil"/>
              <w:right w:val="single" w:color="000000" w:sz="8" w:space="0"/>
            </w:tcBorders>
            <w:noWrap w:val="0"/>
            <w:vAlign w:val="center"/>
          </w:tcPr>
          <w:p w14:paraId="1666480C">
            <w:pPr>
              <w:widowControl/>
              <w:textAlignment w:val="center"/>
              <w:rPr>
                <w:rFonts w:ascii="仿宋" w:hAnsi="仿宋" w:eastAsia="仿宋"/>
                <w:color w:val="auto"/>
                <w:sz w:val="24"/>
                <w:highlight w:val="none"/>
              </w:rPr>
            </w:pPr>
            <w:r>
              <w:rPr>
                <w:rFonts w:hint="eastAsia" w:ascii="仿宋" w:hAnsi="仿宋" w:eastAsia="仿宋"/>
                <w:color w:val="auto"/>
                <w:sz w:val="24"/>
                <w:highlight w:val="none"/>
              </w:rPr>
              <w:t>评标方法描述</w:t>
            </w:r>
          </w:p>
        </w:tc>
        <w:tc>
          <w:tcPr>
            <w:tcW w:w="735" w:type="pct"/>
            <w:tcBorders>
              <w:top w:val="single" w:color="000000" w:sz="8" w:space="0"/>
              <w:left w:val="nil"/>
              <w:bottom w:val="nil"/>
              <w:right w:val="single" w:color="000000" w:sz="8" w:space="0"/>
            </w:tcBorders>
            <w:noWrap w:val="0"/>
            <w:vAlign w:val="center"/>
          </w:tcPr>
          <w:p w14:paraId="174BCDA8">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满分分值</w:t>
            </w:r>
          </w:p>
        </w:tc>
      </w:tr>
      <w:tr w14:paraId="2CA6D1B7">
        <w:tblPrEx>
          <w:tblCellMar>
            <w:top w:w="0" w:type="dxa"/>
            <w:left w:w="108" w:type="dxa"/>
            <w:bottom w:w="0" w:type="dxa"/>
            <w:right w:w="108" w:type="dxa"/>
          </w:tblCellMar>
        </w:tblPrEx>
        <w:trPr>
          <w:trHeight w:val="1827" w:hRule="atLeast"/>
        </w:trPr>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14:paraId="6021BAE2">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850" w:type="pct"/>
            <w:vMerge w:val="restart"/>
            <w:tcBorders>
              <w:top w:val="single" w:color="000000" w:sz="4" w:space="0"/>
              <w:left w:val="single" w:color="000000" w:sz="4" w:space="0"/>
              <w:bottom w:val="single" w:color="000000" w:sz="4" w:space="0"/>
              <w:right w:val="single" w:color="000000" w:sz="4" w:space="0"/>
            </w:tcBorders>
            <w:noWrap w:val="0"/>
            <w:vAlign w:val="center"/>
          </w:tcPr>
          <w:p w14:paraId="0119B65E">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技术方案</w:t>
            </w:r>
          </w:p>
        </w:tc>
        <w:tc>
          <w:tcPr>
            <w:tcW w:w="3016" w:type="pct"/>
            <w:tcBorders>
              <w:top w:val="single" w:color="000000" w:sz="4" w:space="0"/>
              <w:left w:val="single" w:color="000000" w:sz="4" w:space="0"/>
              <w:right w:val="single" w:color="000000" w:sz="4" w:space="0"/>
            </w:tcBorders>
            <w:noWrap w:val="0"/>
            <w:vAlign w:val="center"/>
          </w:tcPr>
          <w:p w14:paraId="07D6A665">
            <w:pPr>
              <w:widowControl/>
              <w:jc w:val="left"/>
              <w:textAlignment w:val="center"/>
              <w:rPr>
                <w:rFonts w:hint="default" w:eastAsia="仿宋"/>
                <w:color w:val="auto"/>
                <w:highlight w:val="none"/>
                <w:lang w:val="en-US" w:eastAsia="zh-CN"/>
              </w:rPr>
            </w:pPr>
            <w:r>
              <w:rPr>
                <w:rFonts w:hint="eastAsia" w:ascii="仿宋" w:hAnsi="仿宋" w:eastAsia="仿宋"/>
                <w:color w:val="auto"/>
                <w:sz w:val="24"/>
                <w:highlight w:val="none"/>
              </w:rPr>
              <w:t>项目技术方案建议书包括（对项目需求的理解、初步思路、工作计划、主要方法等）</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满分10分。</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7933D63E">
            <w:pPr>
              <w:widowControl/>
              <w:jc w:val="center"/>
              <w:textAlignment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w:t>
            </w:r>
          </w:p>
        </w:tc>
      </w:tr>
      <w:tr w14:paraId="13D91B5A">
        <w:tblPrEx>
          <w:tblCellMar>
            <w:top w:w="0" w:type="dxa"/>
            <w:left w:w="108" w:type="dxa"/>
            <w:bottom w:w="0" w:type="dxa"/>
            <w:right w:w="108" w:type="dxa"/>
          </w:tblCellMar>
        </w:tblPrEx>
        <w:trPr>
          <w:trHeight w:val="1849" w:hRule="atLeast"/>
        </w:trPr>
        <w:tc>
          <w:tcPr>
            <w:tcW w:w="397" w:type="pct"/>
            <w:vMerge w:val="restart"/>
            <w:tcBorders>
              <w:top w:val="single" w:color="000000" w:sz="4" w:space="0"/>
              <w:left w:val="single" w:color="000000" w:sz="4" w:space="0"/>
              <w:bottom w:val="single" w:color="000000" w:sz="4" w:space="0"/>
              <w:right w:val="single" w:color="000000" w:sz="4" w:space="0"/>
            </w:tcBorders>
            <w:noWrap w:val="0"/>
            <w:vAlign w:val="center"/>
          </w:tcPr>
          <w:p w14:paraId="6EDFE93E">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850" w:type="pct"/>
            <w:vMerge w:val="restart"/>
            <w:tcBorders>
              <w:top w:val="single" w:color="000000" w:sz="4" w:space="0"/>
              <w:left w:val="single" w:color="000000" w:sz="4" w:space="0"/>
              <w:bottom w:val="single" w:color="000000" w:sz="4" w:space="0"/>
              <w:right w:val="single" w:color="000000" w:sz="4" w:space="0"/>
            </w:tcBorders>
            <w:noWrap w:val="0"/>
            <w:vAlign w:val="center"/>
          </w:tcPr>
          <w:p w14:paraId="2AAE0C4F">
            <w:pPr>
              <w:widowControl/>
              <w:jc w:val="center"/>
              <w:textAlignment w:val="center"/>
              <w:rPr>
                <w:rFonts w:hint="eastAsia" w:ascii="仿宋" w:hAnsi="仿宋" w:eastAsia="仿宋"/>
                <w:color w:val="auto"/>
                <w:sz w:val="24"/>
                <w:highlight w:val="none"/>
              </w:rPr>
            </w:pPr>
            <w:r>
              <w:rPr>
                <w:rFonts w:hint="eastAsia" w:ascii="仿宋" w:hAnsi="仿宋" w:eastAsia="仿宋"/>
                <w:color w:val="auto"/>
                <w:sz w:val="24"/>
                <w:highlight w:val="none"/>
              </w:rPr>
              <w:t>人员配置情况</w:t>
            </w:r>
          </w:p>
        </w:tc>
        <w:tc>
          <w:tcPr>
            <w:tcW w:w="3016" w:type="pct"/>
            <w:tcBorders>
              <w:top w:val="single" w:color="000000" w:sz="4" w:space="0"/>
              <w:left w:val="single" w:color="000000" w:sz="4" w:space="0"/>
              <w:right w:val="single" w:color="000000" w:sz="4" w:space="0"/>
            </w:tcBorders>
            <w:noWrap w:val="0"/>
            <w:vAlign w:val="center"/>
          </w:tcPr>
          <w:p w14:paraId="45EA30E2">
            <w:pPr>
              <w:widowControl/>
              <w:jc w:val="left"/>
              <w:textAlignment w:val="center"/>
              <w:rPr>
                <w:rFonts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项目团队介绍及经验证明（核心成员简历、类似项目成功案例合同关键页或证明文件（对应项目的合同）得</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分</w:t>
            </w:r>
            <w:r>
              <w:rPr>
                <w:rFonts w:ascii="仿宋" w:hAnsi="仿宋" w:eastAsia="仿宋"/>
                <w:color w:val="auto"/>
                <w:sz w:val="24"/>
                <w:highlight w:val="none"/>
              </w:rPr>
              <w:t>，否则得</w:t>
            </w:r>
            <w:r>
              <w:rPr>
                <w:rFonts w:hint="eastAsia" w:ascii="仿宋" w:hAnsi="仿宋" w:eastAsia="仿宋"/>
                <w:color w:val="auto"/>
                <w:sz w:val="24"/>
                <w:highlight w:val="none"/>
              </w:rPr>
              <w:t>0分</w:t>
            </w:r>
            <w:r>
              <w:rPr>
                <w:rFonts w:ascii="仿宋" w:hAnsi="仿宋" w:eastAsia="仿宋"/>
                <w:color w:val="auto"/>
                <w:sz w:val="24"/>
                <w:highlight w:val="none"/>
              </w:rPr>
              <w:t>。</w:t>
            </w:r>
          </w:p>
          <w:p w14:paraId="53CA2339">
            <w:pPr>
              <w:widowControl/>
              <w:jc w:val="left"/>
              <w:textAlignment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2、每增加一份项目组中个人成功案例加1分，最高加3分。</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6426CFCA">
            <w:pPr>
              <w:widowControl/>
              <w:jc w:val="center"/>
              <w:textAlignment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w:t>
            </w:r>
          </w:p>
        </w:tc>
      </w:tr>
      <w:tr w14:paraId="456E77A0">
        <w:tblPrEx>
          <w:tblCellMar>
            <w:top w:w="0" w:type="dxa"/>
            <w:left w:w="108" w:type="dxa"/>
            <w:bottom w:w="0" w:type="dxa"/>
            <w:right w:w="108" w:type="dxa"/>
          </w:tblCellMar>
        </w:tblPrEx>
        <w:trPr>
          <w:trHeight w:val="90" w:hRule="atLeast"/>
        </w:trPr>
        <w:tc>
          <w:tcPr>
            <w:tcW w:w="397" w:type="pct"/>
            <w:vMerge w:val="restart"/>
            <w:tcBorders>
              <w:top w:val="single" w:color="000000" w:sz="4" w:space="0"/>
              <w:left w:val="single" w:color="000000" w:sz="4" w:space="0"/>
              <w:right w:val="single" w:color="000000" w:sz="4" w:space="0"/>
            </w:tcBorders>
            <w:noWrap w:val="0"/>
            <w:vAlign w:val="center"/>
          </w:tcPr>
          <w:p w14:paraId="760C40B4">
            <w:pPr>
              <w:widowControl/>
              <w:jc w:val="center"/>
              <w:textAlignment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850" w:type="pct"/>
            <w:vMerge w:val="restart"/>
            <w:tcBorders>
              <w:top w:val="single" w:color="000000" w:sz="4" w:space="0"/>
              <w:left w:val="single" w:color="000000" w:sz="4" w:space="0"/>
              <w:right w:val="single" w:color="000000" w:sz="4" w:space="0"/>
            </w:tcBorders>
            <w:noWrap w:val="0"/>
            <w:vAlign w:val="center"/>
          </w:tcPr>
          <w:p w14:paraId="354A0E67">
            <w:pPr>
              <w:widowControl/>
              <w:jc w:val="center"/>
              <w:textAlignment w:val="center"/>
              <w:rPr>
                <w:rFonts w:ascii="仿宋" w:hAnsi="仿宋" w:eastAsia="仿宋"/>
                <w:color w:val="auto"/>
                <w:sz w:val="24"/>
                <w:highlight w:val="none"/>
              </w:rPr>
            </w:pPr>
            <w:r>
              <w:rPr>
                <w:rFonts w:hint="eastAsia" w:ascii="仿宋" w:hAnsi="仿宋" w:eastAsia="仿宋"/>
                <w:color w:val="auto"/>
                <w:sz w:val="24"/>
                <w:highlight w:val="none"/>
              </w:rPr>
              <w:t>业绩情况</w:t>
            </w:r>
          </w:p>
        </w:tc>
        <w:tc>
          <w:tcPr>
            <w:tcW w:w="3016" w:type="pct"/>
            <w:tcBorders>
              <w:top w:val="single" w:color="000000" w:sz="4" w:space="0"/>
              <w:left w:val="single" w:color="000000" w:sz="4" w:space="0"/>
              <w:bottom w:val="single" w:color="000000" w:sz="4" w:space="0"/>
              <w:right w:val="single" w:color="000000" w:sz="4" w:space="0"/>
            </w:tcBorders>
            <w:noWrap w:val="0"/>
            <w:vAlign w:val="center"/>
          </w:tcPr>
          <w:p w14:paraId="64B490B4">
            <w:pPr>
              <w:widowControl/>
              <w:jc w:val="left"/>
              <w:textAlignment w:val="center"/>
              <w:rPr>
                <w:rFonts w:ascii="仿宋" w:hAnsi="仿宋" w:eastAsia="仿宋"/>
                <w:color w:val="auto"/>
                <w:sz w:val="24"/>
                <w:highlight w:val="none"/>
              </w:rPr>
            </w:pPr>
            <w:r>
              <w:rPr>
                <w:rFonts w:hint="eastAsia" w:ascii="仿宋" w:hAnsi="仿宋" w:eastAsia="仿宋"/>
                <w:color w:val="auto"/>
                <w:sz w:val="24"/>
                <w:highlight w:val="none"/>
              </w:rPr>
              <w:t>出版过加工贸易相关的专业著作（提供出版著作信息）得</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分，未提供以上各项证明材料的不得分。</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4AB60EF0">
            <w:pPr>
              <w:widowControl/>
              <w:jc w:val="center"/>
              <w:textAlignment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5</w:t>
            </w:r>
          </w:p>
        </w:tc>
      </w:tr>
      <w:tr w14:paraId="28861668">
        <w:tblPrEx>
          <w:tblCellMar>
            <w:top w:w="0" w:type="dxa"/>
            <w:left w:w="108" w:type="dxa"/>
            <w:bottom w:w="0" w:type="dxa"/>
            <w:right w:w="108" w:type="dxa"/>
          </w:tblCellMar>
        </w:tblPrEx>
        <w:trPr>
          <w:trHeight w:val="898" w:hRule="atLeast"/>
        </w:trPr>
        <w:tc>
          <w:tcPr>
            <w:tcW w:w="397" w:type="pct"/>
            <w:vMerge w:val="continue"/>
            <w:tcBorders>
              <w:left w:val="single" w:color="000000" w:sz="4" w:space="0"/>
              <w:right w:val="single" w:color="000000" w:sz="4" w:space="0"/>
            </w:tcBorders>
            <w:noWrap w:val="0"/>
            <w:vAlign w:val="center"/>
          </w:tcPr>
          <w:p w14:paraId="5C69FBA4">
            <w:pPr>
              <w:widowControl/>
              <w:jc w:val="center"/>
              <w:textAlignment w:val="center"/>
              <w:rPr>
                <w:rFonts w:hint="eastAsia" w:ascii="仿宋" w:hAnsi="仿宋" w:eastAsia="仿宋"/>
                <w:color w:val="auto"/>
                <w:sz w:val="24"/>
                <w:highlight w:val="none"/>
              </w:rPr>
            </w:pPr>
          </w:p>
        </w:tc>
        <w:tc>
          <w:tcPr>
            <w:tcW w:w="850" w:type="pct"/>
            <w:vMerge w:val="continue"/>
            <w:tcBorders>
              <w:left w:val="single" w:color="000000" w:sz="4" w:space="0"/>
              <w:right w:val="single" w:color="000000" w:sz="4" w:space="0"/>
            </w:tcBorders>
            <w:noWrap w:val="0"/>
            <w:vAlign w:val="center"/>
          </w:tcPr>
          <w:p w14:paraId="428366DD">
            <w:pPr>
              <w:widowControl/>
              <w:jc w:val="center"/>
              <w:textAlignment w:val="center"/>
              <w:rPr>
                <w:rFonts w:hint="eastAsia" w:ascii="仿宋" w:hAnsi="仿宋" w:eastAsia="仿宋"/>
                <w:color w:val="auto"/>
                <w:sz w:val="24"/>
                <w:highlight w:val="none"/>
              </w:rPr>
            </w:pPr>
          </w:p>
        </w:tc>
        <w:tc>
          <w:tcPr>
            <w:tcW w:w="3016" w:type="pct"/>
            <w:tcBorders>
              <w:top w:val="single" w:color="000000" w:sz="4" w:space="0"/>
              <w:left w:val="single" w:color="000000" w:sz="4" w:space="0"/>
              <w:bottom w:val="single" w:color="000000" w:sz="4" w:space="0"/>
              <w:right w:val="single" w:color="000000" w:sz="4" w:space="0"/>
            </w:tcBorders>
            <w:noWrap w:val="0"/>
            <w:vAlign w:val="center"/>
          </w:tcPr>
          <w:p w14:paraId="3046C9D8">
            <w:pPr>
              <w:widowControl/>
              <w:jc w:val="left"/>
              <w:textAlignment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1、参加海关、地方政府与保税经济、加工贸易相关的课题研究得5分，否则不得分；</w:t>
            </w:r>
          </w:p>
          <w:p w14:paraId="23A20559">
            <w:pPr>
              <w:widowControl/>
              <w:jc w:val="left"/>
              <w:textAlignment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2、有平台建设得3分，否则不得分。</w:t>
            </w:r>
          </w:p>
          <w:p w14:paraId="2ECFF717">
            <w:pPr>
              <w:widowControl/>
              <w:jc w:val="left"/>
              <w:textAlignment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3、提供相关项目合同，每提供1个项目合同加1分，最高可加3分。</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767E817C">
            <w:pPr>
              <w:widowControl/>
              <w:jc w:val="center"/>
              <w:textAlignment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w:t>
            </w:r>
          </w:p>
        </w:tc>
      </w:tr>
      <w:tr w14:paraId="5D4E5B16">
        <w:tblPrEx>
          <w:tblCellMar>
            <w:top w:w="0" w:type="dxa"/>
            <w:left w:w="108" w:type="dxa"/>
            <w:bottom w:w="0" w:type="dxa"/>
            <w:right w:w="108" w:type="dxa"/>
          </w:tblCellMar>
        </w:tblPrEx>
        <w:trPr>
          <w:trHeight w:val="2087" w:hRule="atLeast"/>
        </w:trPr>
        <w:tc>
          <w:tcPr>
            <w:tcW w:w="397" w:type="pct"/>
            <w:vMerge w:val="continue"/>
            <w:tcBorders>
              <w:left w:val="single" w:color="000000" w:sz="4" w:space="0"/>
              <w:right w:val="single" w:color="000000" w:sz="4" w:space="0"/>
            </w:tcBorders>
            <w:noWrap w:val="0"/>
            <w:vAlign w:val="center"/>
          </w:tcPr>
          <w:p w14:paraId="3A4B8732">
            <w:pPr>
              <w:widowControl/>
              <w:jc w:val="center"/>
              <w:textAlignment w:val="center"/>
              <w:rPr>
                <w:rFonts w:hint="eastAsia" w:ascii="仿宋" w:hAnsi="仿宋" w:eastAsia="仿宋"/>
                <w:color w:val="auto"/>
                <w:sz w:val="24"/>
                <w:highlight w:val="none"/>
              </w:rPr>
            </w:pPr>
          </w:p>
        </w:tc>
        <w:tc>
          <w:tcPr>
            <w:tcW w:w="850" w:type="pct"/>
            <w:vMerge w:val="continue"/>
            <w:tcBorders>
              <w:left w:val="single" w:color="000000" w:sz="4" w:space="0"/>
              <w:right w:val="single" w:color="000000" w:sz="4" w:space="0"/>
            </w:tcBorders>
            <w:noWrap w:val="0"/>
            <w:vAlign w:val="center"/>
          </w:tcPr>
          <w:p w14:paraId="3A3A067C">
            <w:pPr>
              <w:widowControl/>
              <w:jc w:val="center"/>
              <w:textAlignment w:val="center"/>
              <w:rPr>
                <w:rFonts w:hint="eastAsia" w:ascii="仿宋" w:hAnsi="仿宋" w:eastAsia="仿宋"/>
                <w:color w:val="auto"/>
                <w:sz w:val="24"/>
                <w:highlight w:val="none"/>
              </w:rPr>
            </w:pPr>
          </w:p>
        </w:tc>
        <w:tc>
          <w:tcPr>
            <w:tcW w:w="3016" w:type="pct"/>
            <w:tcBorders>
              <w:top w:val="single" w:color="000000" w:sz="4" w:space="0"/>
              <w:left w:val="single" w:color="000000" w:sz="4" w:space="0"/>
              <w:right w:val="single" w:color="000000" w:sz="4" w:space="0"/>
            </w:tcBorders>
            <w:noWrap w:val="0"/>
            <w:vAlign w:val="center"/>
          </w:tcPr>
          <w:p w14:paraId="45CCC7E7">
            <w:pPr>
              <w:pStyle w:val="41"/>
              <w:shd w:val="clear" w:color="auto" w:fill="FCFCFC"/>
              <w:spacing w:before="96" w:beforeAutospacing="0" w:after="144" w:afterAutospacing="0" w:line="21" w:lineRule="atLeast"/>
              <w:jc w:val="both"/>
              <w:textAlignment w:val="baseline"/>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提供近5年石油化工进料加工实施成功案例1项</w:t>
            </w:r>
            <w:r>
              <w:rPr>
                <w:rFonts w:ascii="仿宋" w:hAnsi="仿宋" w:eastAsia="仿宋" w:cs="Times New Roman"/>
                <w:color w:val="auto"/>
                <w:kern w:val="2"/>
                <w:highlight w:val="none"/>
              </w:rPr>
              <w:t>的得4</w:t>
            </w:r>
            <w:r>
              <w:rPr>
                <w:rFonts w:hint="eastAsia" w:ascii="仿宋" w:hAnsi="仿宋" w:eastAsia="仿宋" w:cs="Times New Roman"/>
                <w:color w:val="auto"/>
                <w:kern w:val="2"/>
                <w:highlight w:val="none"/>
              </w:rPr>
              <w:t>分；</w:t>
            </w:r>
            <w:r>
              <w:rPr>
                <w:rFonts w:ascii="仿宋" w:hAnsi="仿宋" w:eastAsia="仿宋" w:cs="Times New Roman"/>
                <w:color w:val="auto"/>
                <w:kern w:val="2"/>
                <w:highlight w:val="none"/>
              </w:rPr>
              <w:t>提供</w:t>
            </w:r>
            <w:r>
              <w:rPr>
                <w:rFonts w:hint="eastAsia" w:ascii="仿宋" w:hAnsi="仿宋" w:eastAsia="仿宋" w:cs="Times New Roman"/>
                <w:color w:val="auto"/>
                <w:kern w:val="2"/>
                <w:highlight w:val="none"/>
              </w:rPr>
              <w:t>石油化工进料加工实施成功</w:t>
            </w:r>
            <w:r>
              <w:rPr>
                <w:rFonts w:ascii="仿宋" w:hAnsi="仿宋" w:eastAsia="仿宋" w:cs="Times New Roman"/>
                <w:color w:val="auto"/>
                <w:kern w:val="2"/>
                <w:highlight w:val="none"/>
              </w:rPr>
              <w:t>案例</w:t>
            </w:r>
            <w:r>
              <w:rPr>
                <w:rFonts w:hint="eastAsia" w:ascii="仿宋" w:hAnsi="仿宋" w:eastAsia="仿宋" w:cs="Times New Roman"/>
                <w:color w:val="auto"/>
                <w:kern w:val="2"/>
                <w:highlight w:val="none"/>
              </w:rPr>
              <w:t>2项</w:t>
            </w:r>
            <w:r>
              <w:rPr>
                <w:rFonts w:ascii="仿宋" w:hAnsi="仿宋" w:eastAsia="仿宋" w:cs="Times New Roman"/>
                <w:color w:val="auto"/>
                <w:kern w:val="2"/>
                <w:highlight w:val="none"/>
              </w:rPr>
              <w:t>的得8</w:t>
            </w:r>
            <w:r>
              <w:rPr>
                <w:rFonts w:hint="eastAsia" w:ascii="仿宋" w:hAnsi="仿宋" w:eastAsia="仿宋" w:cs="Times New Roman"/>
                <w:color w:val="auto"/>
                <w:kern w:val="2"/>
                <w:highlight w:val="none"/>
              </w:rPr>
              <w:t>分；</w:t>
            </w:r>
            <w:r>
              <w:rPr>
                <w:rFonts w:ascii="仿宋" w:hAnsi="仿宋" w:eastAsia="仿宋" w:cs="Times New Roman"/>
                <w:color w:val="auto"/>
                <w:kern w:val="2"/>
                <w:highlight w:val="none"/>
              </w:rPr>
              <w:t>提供</w:t>
            </w:r>
            <w:r>
              <w:rPr>
                <w:rFonts w:hint="eastAsia" w:ascii="仿宋" w:hAnsi="仿宋" w:eastAsia="仿宋" w:cs="Times New Roman"/>
                <w:color w:val="auto"/>
                <w:kern w:val="2"/>
                <w:highlight w:val="none"/>
              </w:rPr>
              <w:t>石油化工油进料加工实施成功</w:t>
            </w:r>
            <w:r>
              <w:rPr>
                <w:rFonts w:ascii="仿宋" w:hAnsi="仿宋" w:eastAsia="仿宋" w:cs="Times New Roman"/>
                <w:color w:val="auto"/>
                <w:kern w:val="2"/>
                <w:highlight w:val="none"/>
              </w:rPr>
              <w:t>案例</w:t>
            </w:r>
            <w:r>
              <w:rPr>
                <w:rFonts w:hint="eastAsia" w:ascii="仿宋" w:hAnsi="仿宋" w:eastAsia="仿宋" w:cs="Times New Roman"/>
                <w:color w:val="auto"/>
                <w:kern w:val="2"/>
                <w:highlight w:val="none"/>
              </w:rPr>
              <w:t>3项及</w:t>
            </w:r>
            <w:r>
              <w:rPr>
                <w:rFonts w:ascii="仿宋" w:hAnsi="仿宋" w:eastAsia="仿宋" w:cs="Times New Roman"/>
                <w:color w:val="auto"/>
                <w:kern w:val="2"/>
                <w:highlight w:val="none"/>
              </w:rPr>
              <w:t>以上成功案例的得15</w:t>
            </w:r>
            <w:r>
              <w:rPr>
                <w:rFonts w:hint="eastAsia" w:ascii="仿宋" w:hAnsi="仿宋" w:eastAsia="仿宋" w:cs="Times New Roman"/>
                <w:color w:val="auto"/>
                <w:kern w:val="2"/>
                <w:highlight w:val="none"/>
              </w:rPr>
              <w:t>分</w:t>
            </w:r>
            <w:r>
              <w:rPr>
                <w:rFonts w:hint="eastAsia" w:ascii="仿宋" w:hAnsi="仿宋" w:eastAsia="仿宋" w:cs="Times New Roman"/>
                <w:color w:val="auto"/>
                <w:kern w:val="2"/>
                <w:highlight w:val="none"/>
                <w:lang w:eastAsia="zh-CN"/>
              </w:rPr>
              <w:t>，</w:t>
            </w:r>
            <w:r>
              <w:rPr>
                <w:rFonts w:hint="eastAsia" w:ascii="仿宋" w:hAnsi="仿宋" w:eastAsia="仿宋" w:cs="Times New Roman"/>
                <w:color w:val="auto"/>
                <w:kern w:val="2"/>
                <w:highlight w:val="none"/>
                <w:lang w:val="en-US" w:eastAsia="zh-CN"/>
              </w:rPr>
              <w:t>未提供</w:t>
            </w:r>
            <w:r>
              <w:rPr>
                <w:rFonts w:hint="eastAsia" w:ascii="仿宋" w:hAnsi="仿宋" w:eastAsia="仿宋" w:cs="Times New Roman"/>
                <w:color w:val="auto"/>
                <w:kern w:val="2"/>
                <w:highlight w:val="none"/>
              </w:rPr>
              <w:t>不得分。</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4E293A3B">
            <w:pPr>
              <w:widowControl/>
              <w:jc w:val="center"/>
              <w:textAlignment w:val="center"/>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5</w:t>
            </w:r>
          </w:p>
        </w:tc>
      </w:tr>
      <w:tr w14:paraId="6248186A">
        <w:tblPrEx>
          <w:tblCellMar>
            <w:top w:w="0" w:type="dxa"/>
            <w:left w:w="108" w:type="dxa"/>
            <w:bottom w:w="0" w:type="dxa"/>
            <w:right w:w="108" w:type="dxa"/>
          </w:tblCellMar>
        </w:tblPrEx>
        <w:trPr>
          <w:trHeight w:val="510" w:hRule="atLeast"/>
        </w:trPr>
        <w:tc>
          <w:tcPr>
            <w:tcW w:w="397" w:type="pct"/>
            <w:tcBorders>
              <w:top w:val="single" w:color="000000" w:sz="4" w:space="0"/>
              <w:left w:val="single" w:color="000000" w:sz="4" w:space="0"/>
              <w:bottom w:val="single" w:color="000000" w:sz="4" w:space="0"/>
              <w:right w:val="single" w:color="000000" w:sz="4" w:space="0"/>
            </w:tcBorders>
            <w:noWrap w:val="0"/>
            <w:vAlign w:val="center"/>
          </w:tcPr>
          <w:p w14:paraId="618CD364">
            <w:pPr>
              <w:jc w:val="center"/>
              <w:rPr>
                <w:rFonts w:ascii="仿宋" w:hAnsi="仿宋" w:eastAsia="仿宋"/>
                <w:color w:val="auto"/>
                <w:sz w:val="24"/>
                <w:highlight w:val="none"/>
              </w:rPr>
            </w:pPr>
            <w:r>
              <w:rPr>
                <w:rFonts w:hint="eastAsia" w:ascii="仿宋" w:hAnsi="仿宋" w:eastAsia="仿宋"/>
                <w:color w:val="auto"/>
                <w:sz w:val="24"/>
                <w:highlight w:val="none"/>
              </w:rPr>
              <w:t>合计</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3AFBA24">
            <w:pPr>
              <w:jc w:val="center"/>
              <w:rPr>
                <w:rFonts w:ascii="仿宋" w:hAnsi="仿宋" w:eastAsia="仿宋"/>
                <w:color w:val="auto"/>
                <w:sz w:val="24"/>
                <w:highlight w:val="none"/>
              </w:rPr>
            </w:pPr>
          </w:p>
        </w:tc>
        <w:tc>
          <w:tcPr>
            <w:tcW w:w="3016" w:type="pct"/>
            <w:tcBorders>
              <w:top w:val="single" w:color="000000" w:sz="4" w:space="0"/>
              <w:left w:val="single" w:color="000000" w:sz="4" w:space="0"/>
              <w:bottom w:val="single" w:color="000000" w:sz="4" w:space="0"/>
              <w:right w:val="single" w:color="000000" w:sz="4" w:space="0"/>
            </w:tcBorders>
            <w:noWrap w:val="0"/>
            <w:vAlign w:val="center"/>
          </w:tcPr>
          <w:p w14:paraId="2A1D5E7D">
            <w:pPr>
              <w:widowControl/>
              <w:jc w:val="center"/>
              <w:textAlignment w:val="center"/>
              <w:rPr>
                <w:rFonts w:ascii="仿宋" w:hAnsi="仿宋" w:eastAsia="仿宋"/>
                <w:color w:val="auto"/>
                <w:sz w:val="24"/>
                <w:highlight w:val="none"/>
              </w:rPr>
            </w:pP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5F20BE3F">
            <w:pPr>
              <w:widowControl/>
              <w:jc w:val="center"/>
              <w:textAlignment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50</w:t>
            </w:r>
          </w:p>
        </w:tc>
      </w:tr>
    </w:tbl>
    <w:p w14:paraId="3F62D281">
      <w:pPr>
        <w:spacing w:line="600" w:lineRule="exact"/>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（二） 商务价格评分：满分50分：</w:t>
      </w:r>
    </w:p>
    <w:p w14:paraId="142A585F">
      <w:pPr>
        <w:pStyle w:val="20"/>
        <w:spacing w:line="336" w:lineRule="auto"/>
        <w:ind w:right="121"/>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1 评标基准价</w:t>
      </w:r>
      <w:r>
        <w:rPr>
          <w:rFonts w:hint="eastAsia" w:ascii="仿宋" w:hAnsi="仿宋" w:eastAsia="仿宋" w:cs="宋体"/>
          <w:color w:val="auto"/>
          <w:sz w:val="24"/>
          <w:szCs w:val="24"/>
          <w:highlight w:val="none"/>
          <w:lang w:val="en-US" w:eastAsia="zh-CN" w:bidi="ar-SA"/>
        </w:rPr>
        <w:br w:type="textWrapping"/>
      </w:r>
      <w:r>
        <w:rPr>
          <w:rFonts w:hint="eastAsia" w:ascii="仿宋" w:hAnsi="仿宋" w:eastAsia="仿宋" w:cs="宋体"/>
          <w:color w:val="auto"/>
          <w:sz w:val="24"/>
          <w:szCs w:val="24"/>
          <w:highlight w:val="none"/>
          <w:lang w:val="en-US" w:eastAsia="zh-CN" w:bidi="ar-SA"/>
        </w:rPr>
        <w:t>1.1 评标委员会对各有效标的投标报价进行审核确定评标价，并将所有投标人的评标价去掉一个最高值后的算术平均数定为评标基准价（如参与评标价平均值计算的投标人少于4家时，不再去掉最高和最低值，直接计算其算术平均数为评标基准价）。</w:t>
      </w:r>
      <w:r>
        <w:rPr>
          <w:rFonts w:hint="eastAsia" w:ascii="仿宋" w:hAnsi="仿宋" w:eastAsia="仿宋" w:cs="宋体"/>
          <w:color w:val="auto"/>
          <w:sz w:val="24"/>
          <w:szCs w:val="24"/>
          <w:highlight w:val="none"/>
          <w:lang w:val="en-US" w:eastAsia="zh-CN" w:bidi="ar-SA"/>
        </w:rPr>
        <w:br w:type="textWrapping"/>
      </w:r>
      <w:r>
        <w:rPr>
          <w:rFonts w:hint="eastAsia" w:ascii="仿宋" w:hAnsi="仿宋" w:eastAsia="仿宋" w:cs="宋体"/>
          <w:color w:val="auto"/>
          <w:sz w:val="24"/>
          <w:szCs w:val="24"/>
          <w:highlight w:val="none"/>
          <w:lang w:val="en-US" w:eastAsia="zh-CN" w:bidi="ar-SA"/>
        </w:rPr>
        <w:t>1.2 有效报价&gt;=5家时，去掉1个最高价后，再计算其投标报价平均值作为评标基准价。</w:t>
      </w:r>
    </w:p>
    <w:p w14:paraId="6C97B5F8">
      <w:pPr>
        <w:pStyle w:val="20"/>
        <w:spacing w:line="336" w:lineRule="auto"/>
        <w:ind w:right="121"/>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1.3 有效报价&lt;5家时，评审基准价计算统一采用投标报价平均值作为评标基准价。</w:t>
      </w:r>
    </w:p>
    <w:p w14:paraId="79DD9421">
      <w:pPr>
        <w:pStyle w:val="20"/>
        <w:spacing w:line="336" w:lineRule="auto"/>
        <w:ind w:right="121"/>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1.4 评审基准价计算统一采用投标报价平均值作为评标基准价，即满足采购文件要求评审价格的加权平均报价作为评审基准价，其价格分为满分。其他投标响应供应商</w:t>
      </w:r>
    </w:p>
    <w:p w14:paraId="6E191D81">
      <w:pPr>
        <w:pStyle w:val="20"/>
        <w:spacing w:line="336" w:lineRule="auto"/>
        <w:ind w:right="121" w:firstLine="480" w:firstLineChars="200"/>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价格分按下列公式计算：投标报价得分=50-（|Ai-评标基准价|÷评标基准价）×100×Q。</w:t>
      </w:r>
    </w:p>
    <w:p w14:paraId="4C32D6A9">
      <w:pPr>
        <w:pStyle w:val="20"/>
        <w:spacing w:line="336" w:lineRule="auto"/>
        <w:ind w:right="121" w:firstLine="480" w:firstLineChars="200"/>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其中，Ai 为通过初步评审的各合格投标人有效报价评标价；</w:t>
      </w:r>
    </w:p>
    <w:p w14:paraId="7A9E53B0">
      <w:pPr>
        <w:pStyle w:val="20"/>
        <w:spacing w:line="336" w:lineRule="auto"/>
        <w:ind w:right="121" w:firstLine="480" w:firstLineChars="200"/>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Q为折价分，即有效报价评标价每偏离本项目评标基准价1%所扣的分数：</w:t>
      </w:r>
    </w:p>
    <w:p w14:paraId="4963EBE4">
      <w:pPr>
        <w:pStyle w:val="20"/>
        <w:spacing w:line="336" w:lineRule="auto"/>
        <w:ind w:right="121" w:firstLine="480" w:firstLineChars="200"/>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当合格投标人的有效报价评标价≤评标基准价时，Q的取值为0.50；</w:t>
      </w:r>
    </w:p>
    <w:p w14:paraId="43F798BE">
      <w:pPr>
        <w:pStyle w:val="20"/>
        <w:spacing w:line="336" w:lineRule="auto"/>
        <w:ind w:right="121" w:firstLine="480" w:firstLineChars="200"/>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当合格投标人的有效报价评标价&gt;评标基准价时，Q的取值为1。</w:t>
      </w:r>
    </w:p>
    <w:p w14:paraId="04086219">
      <w:pPr>
        <w:pStyle w:val="20"/>
        <w:spacing w:line="336" w:lineRule="auto"/>
        <w:ind w:left="920" w:leftChars="200" w:right="121" w:hanging="480" w:hangingChars="200"/>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1.5 投标人评标价=评标基准价；</w:t>
      </w:r>
      <w:r>
        <w:rPr>
          <w:rFonts w:hint="eastAsia" w:ascii="仿宋" w:hAnsi="仿宋" w:eastAsia="仿宋" w:cs="宋体"/>
          <w:color w:val="auto"/>
          <w:sz w:val="24"/>
          <w:szCs w:val="24"/>
          <w:highlight w:val="none"/>
          <w:lang w:val="en-US" w:eastAsia="zh-CN" w:bidi="ar-SA"/>
        </w:rPr>
        <w:br w:type="textWrapping"/>
      </w:r>
      <w:r>
        <w:rPr>
          <w:rFonts w:hint="eastAsia" w:ascii="仿宋" w:hAnsi="仿宋" w:eastAsia="仿宋" w:cs="宋体"/>
          <w:color w:val="auto"/>
          <w:sz w:val="24"/>
          <w:szCs w:val="24"/>
          <w:highlight w:val="none"/>
          <w:lang w:val="en-US" w:eastAsia="zh-CN" w:bidi="ar-SA"/>
        </w:rPr>
        <w:t>评标价得分=50</w:t>
      </w:r>
    </w:p>
    <w:p w14:paraId="61F0209A">
      <w:pPr>
        <w:pStyle w:val="20"/>
        <w:spacing w:line="336" w:lineRule="auto"/>
        <w:ind w:right="121"/>
        <w:jc w:val="both"/>
        <w:rPr>
          <w:rFonts w:hint="eastAsia" w:ascii="仿宋" w:hAnsi="仿宋" w:eastAsia="仿宋" w:cs="宋体"/>
          <w:color w:val="auto"/>
          <w:sz w:val="24"/>
          <w:szCs w:val="24"/>
          <w:highlight w:val="none"/>
          <w:lang w:val="en-US" w:eastAsia="zh-CN" w:bidi="ar-SA"/>
        </w:rPr>
      </w:pPr>
      <w:r>
        <w:rPr>
          <w:rFonts w:hint="eastAsia" w:ascii="仿宋" w:hAnsi="仿宋" w:eastAsia="仿宋" w:cs="宋体"/>
          <w:color w:val="auto"/>
          <w:sz w:val="24"/>
          <w:szCs w:val="24"/>
          <w:highlight w:val="none"/>
          <w:lang w:val="en-US" w:eastAsia="zh-CN" w:bidi="ar-SA"/>
        </w:rPr>
        <w:t>（三）综合得分= 技术评分 + 商务评分。</w:t>
      </w:r>
    </w:p>
    <w:p w14:paraId="465173E7">
      <w:pPr>
        <w:keepNext w:val="0"/>
        <w:keepLines w:val="0"/>
        <w:pageBreakBefore w:val="0"/>
        <w:widowControl w:val="0"/>
        <w:kinsoku/>
        <w:wordWrap/>
        <w:overflowPunct/>
        <w:topLinePunct w:val="0"/>
        <w:autoSpaceDE w:val="0"/>
        <w:autoSpaceDN w:val="0"/>
        <w:bidi w:val="0"/>
        <w:adjustRightInd/>
        <w:snapToGrid/>
        <w:spacing w:before="255" w:line="360" w:lineRule="auto"/>
        <w:ind w:firstLine="572" w:firstLineChars="200"/>
        <w:textAlignment w:val="auto"/>
        <w:rPr>
          <w:rFonts w:ascii="仿宋" w:hAnsi="仿宋" w:eastAsia="仿宋"/>
          <w:b/>
          <w:color w:val="auto"/>
          <w:w w:val="95"/>
          <w:sz w:val="30"/>
          <w:szCs w:val="30"/>
          <w:highlight w:val="none"/>
          <w:lang w:eastAsia="zh-CN"/>
        </w:rPr>
      </w:pPr>
    </w:p>
    <w:p w14:paraId="42F510FB">
      <w:pPr>
        <w:keepNext w:val="0"/>
        <w:keepLines w:val="0"/>
        <w:pageBreakBefore w:val="0"/>
        <w:widowControl w:val="0"/>
        <w:kinsoku/>
        <w:wordWrap/>
        <w:overflowPunct/>
        <w:topLinePunct w:val="0"/>
        <w:autoSpaceDE w:val="0"/>
        <w:autoSpaceDN w:val="0"/>
        <w:bidi w:val="0"/>
        <w:adjustRightInd/>
        <w:snapToGrid/>
        <w:spacing w:before="255" w:line="360" w:lineRule="auto"/>
        <w:ind w:firstLine="572" w:firstLineChars="200"/>
        <w:textAlignment w:val="auto"/>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二、资格审查</w:t>
      </w:r>
    </w:p>
    <w:p w14:paraId="4E99405A">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人组建的评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委员会将按照</w:t>
      </w:r>
      <w:r>
        <w:rPr>
          <w:rFonts w:hint="eastAsia" w:ascii="仿宋" w:hAnsi="仿宋" w:eastAsia="仿宋"/>
          <w:color w:val="auto"/>
          <w:sz w:val="28"/>
          <w:szCs w:val="28"/>
          <w:highlight w:val="none"/>
          <w:lang w:eastAsia="zh-CN"/>
        </w:rPr>
        <w:t>前述的</w:t>
      </w: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人资格”的要求对参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人进行资格审查，以确定是否为符合</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文件规定要求的合格参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委员会将依据参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人提供的资格证明文件审查参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人的法人资格、营业范围、财务，以确定参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人是否有资格履行合同。经上述资格审查合格的参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人进入下一程序的评审，经上述资格审查不合格的</w:t>
      </w:r>
      <w:r>
        <w:rPr>
          <w:rFonts w:hint="eastAsia" w:ascii="仿宋" w:hAnsi="仿宋" w:eastAsia="仿宋"/>
          <w:color w:val="auto"/>
          <w:sz w:val="28"/>
          <w:szCs w:val="28"/>
          <w:highlight w:val="none"/>
          <w:lang w:eastAsia="zh-CN"/>
        </w:rPr>
        <w:t>参比</w:t>
      </w:r>
      <w:r>
        <w:rPr>
          <w:rFonts w:ascii="仿宋" w:hAnsi="仿宋" w:eastAsia="仿宋"/>
          <w:color w:val="auto"/>
          <w:sz w:val="28"/>
          <w:szCs w:val="28"/>
          <w:highlight w:val="none"/>
          <w:lang w:eastAsia="zh-CN"/>
        </w:rPr>
        <w:t>文件，其参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资格将被评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委员会予以否决。</w:t>
      </w:r>
    </w:p>
    <w:p w14:paraId="6846AE5C">
      <w:pPr>
        <w:pStyle w:val="20"/>
        <w:spacing w:line="360" w:lineRule="auto"/>
        <w:ind w:right="121" w:firstLine="572" w:firstLineChars="200"/>
        <w:jc w:val="both"/>
        <w:rPr>
          <w:rFonts w:ascii="仿宋" w:hAnsi="仿宋" w:eastAsia="仿宋"/>
          <w:b/>
          <w:color w:val="auto"/>
          <w:w w:val="95"/>
          <w:sz w:val="30"/>
          <w:szCs w:val="30"/>
          <w:highlight w:val="none"/>
          <w:lang w:eastAsia="zh-CN"/>
        </w:rPr>
      </w:pPr>
      <w:r>
        <w:rPr>
          <w:rFonts w:hint="eastAsia" w:ascii="仿宋" w:hAnsi="仿宋" w:eastAsia="仿宋"/>
          <w:b/>
          <w:color w:val="auto"/>
          <w:w w:val="95"/>
          <w:sz w:val="30"/>
          <w:szCs w:val="30"/>
          <w:highlight w:val="none"/>
          <w:lang w:eastAsia="zh-CN"/>
        </w:rPr>
        <w:t>三</w:t>
      </w:r>
      <w:r>
        <w:rPr>
          <w:rFonts w:ascii="仿宋" w:hAnsi="仿宋" w:eastAsia="仿宋"/>
          <w:b/>
          <w:color w:val="auto"/>
          <w:w w:val="95"/>
          <w:sz w:val="30"/>
          <w:szCs w:val="30"/>
          <w:highlight w:val="none"/>
          <w:lang w:eastAsia="zh-CN"/>
        </w:rPr>
        <w:t>、评</w:t>
      </w:r>
      <w:r>
        <w:rPr>
          <w:rFonts w:hint="eastAsia" w:ascii="仿宋" w:hAnsi="仿宋" w:eastAsia="仿宋"/>
          <w:b/>
          <w:color w:val="auto"/>
          <w:w w:val="95"/>
          <w:sz w:val="30"/>
          <w:szCs w:val="30"/>
          <w:highlight w:val="none"/>
          <w:lang w:eastAsia="zh-CN"/>
        </w:rPr>
        <w:t>审</w:t>
      </w:r>
    </w:p>
    <w:p w14:paraId="7A9BEE50">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人将在参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w:t>
      </w:r>
      <w:r>
        <w:rPr>
          <w:rFonts w:hint="eastAsia" w:ascii="仿宋" w:hAnsi="仿宋" w:eastAsia="仿宋"/>
          <w:color w:val="auto"/>
          <w:sz w:val="28"/>
          <w:szCs w:val="28"/>
          <w:highlight w:val="none"/>
          <w:lang w:eastAsia="zh-CN"/>
        </w:rPr>
        <w:t>递交</w:t>
      </w:r>
      <w:r>
        <w:rPr>
          <w:rFonts w:ascii="仿宋" w:hAnsi="仿宋" w:eastAsia="仿宋"/>
          <w:color w:val="auto"/>
          <w:sz w:val="28"/>
          <w:szCs w:val="28"/>
          <w:highlight w:val="none"/>
          <w:lang w:eastAsia="zh-CN"/>
        </w:rPr>
        <w:t>截止日期后择日组织</w:t>
      </w:r>
      <w:r>
        <w:rPr>
          <w:rFonts w:hint="eastAsia" w:ascii="仿宋" w:hAnsi="仿宋" w:eastAsia="仿宋"/>
          <w:color w:val="auto"/>
          <w:sz w:val="28"/>
          <w:szCs w:val="28"/>
          <w:highlight w:val="none"/>
          <w:lang w:eastAsia="zh-CN"/>
        </w:rPr>
        <w:t>评审</w:t>
      </w:r>
      <w:r>
        <w:rPr>
          <w:rFonts w:ascii="仿宋" w:hAnsi="仿宋" w:eastAsia="仿宋"/>
          <w:color w:val="auto"/>
          <w:sz w:val="28"/>
          <w:szCs w:val="28"/>
          <w:highlight w:val="none"/>
          <w:lang w:eastAsia="zh-CN"/>
        </w:rPr>
        <w:t>会，</w:t>
      </w:r>
      <w:r>
        <w:rPr>
          <w:rFonts w:hint="eastAsia" w:ascii="仿宋" w:hAnsi="仿宋" w:eastAsia="仿宋"/>
          <w:color w:val="auto"/>
          <w:sz w:val="28"/>
          <w:szCs w:val="28"/>
          <w:highlight w:val="none"/>
          <w:lang w:eastAsia="zh-CN"/>
        </w:rPr>
        <w:t>中选人的</w:t>
      </w:r>
      <w:r>
        <w:rPr>
          <w:rFonts w:ascii="仿宋" w:hAnsi="仿宋" w:eastAsia="仿宋"/>
          <w:color w:val="auto"/>
          <w:sz w:val="28"/>
          <w:szCs w:val="28"/>
          <w:highlight w:val="none"/>
          <w:lang w:eastAsia="zh-CN"/>
        </w:rPr>
        <w:t>选定工作在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人有关部门监督下，由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人依法组建的评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委员会负责。</w:t>
      </w:r>
    </w:p>
    <w:p w14:paraId="4B126CAC">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2.在开</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时没有启封和读出的参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文件，在评</w:t>
      </w:r>
      <w:r>
        <w:rPr>
          <w:rFonts w:hint="eastAsia" w:ascii="仿宋" w:hAnsi="仿宋" w:eastAsia="仿宋"/>
          <w:color w:val="auto"/>
          <w:sz w:val="28"/>
          <w:szCs w:val="28"/>
          <w:highlight w:val="none"/>
          <w:lang w:eastAsia="zh-CN"/>
        </w:rPr>
        <w:t>审</w:t>
      </w:r>
      <w:r>
        <w:rPr>
          <w:rFonts w:ascii="仿宋" w:hAnsi="仿宋" w:eastAsia="仿宋"/>
          <w:color w:val="auto"/>
          <w:sz w:val="28"/>
          <w:szCs w:val="28"/>
          <w:highlight w:val="none"/>
          <w:lang w:eastAsia="zh-CN"/>
        </w:rPr>
        <w:t>时将不予考虑。</w:t>
      </w:r>
    </w:p>
    <w:p w14:paraId="1CDFD4D5">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人将做开选记录。</w:t>
      </w:r>
    </w:p>
    <w:p w14:paraId="51F4BAC2">
      <w:pPr>
        <w:pStyle w:val="20"/>
        <w:spacing w:line="360" w:lineRule="auto"/>
        <w:ind w:right="121" w:firstLine="560" w:firstLineChars="200"/>
        <w:jc w:val="both"/>
        <w:rPr>
          <w:rFonts w:ascii="仿宋" w:hAnsi="仿宋" w:eastAsia="仿宋"/>
          <w:b/>
          <w:color w:val="auto"/>
          <w:w w:val="95"/>
          <w:sz w:val="30"/>
          <w:szCs w:val="30"/>
          <w:highlight w:val="none"/>
          <w:lang w:eastAsia="zh-CN"/>
        </w:rPr>
      </w:pPr>
      <w:r>
        <w:rPr>
          <w:rFonts w:hint="eastAsia" w:ascii="仿宋" w:hAnsi="仿宋" w:eastAsia="仿宋"/>
          <w:color w:val="auto"/>
          <w:sz w:val="28"/>
          <w:szCs w:val="28"/>
          <w:highlight w:val="none"/>
          <w:lang w:eastAsia="zh-CN"/>
        </w:rPr>
        <w:t>4.采购人将根据评审结果与中选人签订合同。</w:t>
      </w:r>
    </w:p>
    <w:p w14:paraId="34AD73FA">
      <w:pPr>
        <w:spacing w:before="15" w:line="360" w:lineRule="auto"/>
        <w:ind w:firstLine="572" w:firstLineChars="200"/>
        <w:rPr>
          <w:rFonts w:ascii="仿宋" w:hAnsi="仿宋" w:eastAsia="仿宋"/>
          <w:b/>
          <w:color w:val="auto"/>
          <w:w w:val="95"/>
          <w:sz w:val="30"/>
          <w:szCs w:val="30"/>
          <w:highlight w:val="none"/>
          <w:lang w:eastAsia="zh-CN"/>
        </w:rPr>
      </w:pPr>
      <w:r>
        <w:rPr>
          <w:rFonts w:hint="eastAsia" w:ascii="仿宋" w:hAnsi="仿宋" w:eastAsia="仿宋"/>
          <w:b/>
          <w:color w:val="auto"/>
          <w:w w:val="95"/>
          <w:sz w:val="30"/>
          <w:szCs w:val="30"/>
          <w:highlight w:val="none"/>
          <w:lang w:eastAsia="zh-CN"/>
        </w:rPr>
        <w:t>四</w:t>
      </w:r>
      <w:r>
        <w:rPr>
          <w:rFonts w:ascii="仿宋" w:hAnsi="仿宋" w:eastAsia="仿宋"/>
          <w:b/>
          <w:color w:val="auto"/>
          <w:w w:val="95"/>
          <w:sz w:val="30"/>
          <w:szCs w:val="30"/>
          <w:highlight w:val="none"/>
          <w:lang w:eastAsia="zh-CN"/>
        </w:rPr>
        <w:t>、以下情况作废选处理</w:t>
      </w:r>
    </w:p>
    <w:p w14:paraId="7D470CF1">
      <w:pPr>
        <w:pStyle w:val="20"/>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1.实质性响应要求的内容未按规定由参比人签名或加盖公章的；</w:t>
      </w:r>
    </w:p>
    <w:p w14:paraId="29C87290">
      <w:pPr>
        <w:pStyle w:val="20"/>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2.未按照采购文件要求提交参比保证金的；</w:t>
      </w:r>
    </w:p>
    <w:p w14:paraId="09DFBF47">
      <w:pPr>
        <w:pStyle w:val="20"/>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3.参比人不符合采购文件规定的资格条件；</w:t>
      </w:r>
    </w:p>
    <w:p w14:paraId="67B9CCC6">
      <w:pPr>
        <w:pStyle w:val="20"/>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4.</w:t>
      </w:r>
      <w:r>
        <w:rPr>
          <w:rFonts w:ascii="仿宋" w:hAnsi="仿宋" w:eastAsia="仿宋"/>
          <w:color w:val="auto"/>
          <w:sz w:val="28"/>
          <w:szCs w:val="28"/>
          <w:highlight w:val="none"/>
          <w:lang w:eastAsia="zh-CN"/>
        </w:rPr>
        <w:t>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文件存在重大偏差的</w:t>
      </w:r>
      <w:r>
        <w:rPr>
          <w:rFonts w:hint="eastAsia" w:ascii="仿宋" w:hAnsi="仿宋" w:eastAsia="仿宋"/>
          <w:color w:val="auto"/>
          <w:sz w:val="28"/>
          <w:szCs w:val="28"/>
          <w:highlight w:val="none"/>
          <w:lang w:eastAsia="zh-CN"/>
        </w:rPr>
        <w:t>，不能满足完成本项目采购的相关要求，不能响应比选文件实质性要求的；</w:t>
      </w:r>
    </w:p>
    <w:p w14:paraId="5DF1BACB">
      <w:pPr>
        <w:pStyle w:val="20"/>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5.违反规定影响开评审工作或采取其他方式对采购人施加影响的。</w:t>
      </w:r>
    </w:p>
    <w:p w14:paraId="1D97E90C">
      <w:pPr>
        <w:pStyle w:val="20"/>
        <w:spacing w:line="360" w:lineRule="auto"/>
        <w:ind w:right="121" w:firstLine="560" w:firstLineChars="200"/>
        <w:jc w:val="both"/>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6.参比人串标、相互勾结故意压低标价以排挤竞争对手的公平竞争的，其参比无效。 </w:t>
      </w:r>
    </w:p>
    <w:p w14:paraId="67D42907">
      <w:pPr>
        <w:rPr>
          <w:rFonts w:ascii="仿宋" w:hAnsi="仿宋" w:eastAsia="仿宋"/>
          <w:color w:val="auto"/>
          <w:highlight w:val="none"/>
          <w:lang w:eastAsia="zh-CN"/>
        </w:rPr>
      </w:pPr>
    </w:p>
    <w:p w14:paraId="5136F02C">
      <w:pPr>
        <w:pStyle w:val="20"/>
        <w:spacing w:before="23"/>
        <w:ind w:left="598"/>
        <w:rPr>
          <w:rFonts w:ascii="仿宋" w:hAnsi="仿宋" w:eastAsia="仿宋"/>
          <w:color w:val="auto"/>
          <w:highlight w:val="none"/>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第五章  合同授予</w:t>
      </w:r>
    </w:p>
    <w:p w14:paraId="372CAF23">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人将把合同授予中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人；在授予前，仍需进行资格</w:t>
      </w:r>
      <w:r>
        <w:rPr>
          <w:rFonts w:hint="eastAsia" w:ascii="仿宋" w:hAnsi="仿宋" w:eastAsia="仿宋"/>
          <w:color w:val="auto"/>
          <w:sz w:val="28"/>
          <w:szCs w:val="28"/>
          <w:highlight w:val="none"/>
          <w:lang w:eastAsia="zh-CN"/>
        </w:rPr>
        <w:t>、资信</w:t>
      </w:r>
      <w:r>
        <w:rPr>
          <w:rFonts w:ascii="仿宋" w:hAnsi="仿宋" w:eastAsia="仿宋"/>
          <w:color w:val="auto"/>
          <w:sz w:val="28"/>
          <w:szCs w:val="28"/>
          <w:highlight w:val="none"/>
          <w:lang w:eastAsia="zh-CN"/>
        </w:rPr>
        <w:t>审查。</w:t>
      </w:r>
    </w:p>
    <w:p w14:paraId="48479813">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人确定后，</w:t>
      </w:r>
      <w:r>
        <w:rPr>
          <w:rFonts w:hint="eastAsia" w:ascii="仿宋" w:hAnsi="仿宋" w:eastAsia="仿宋"/>
          <w:color w:val="auto"/>
          <w:sz w:val="28"/>
          <w:szCs w:val="28"/>
          <w:highlight w:val="none"/>
          <w:lang w:eastAsia="zh-CN"/>
        </w:rPr>
        <w:t>采购人</w:t>
      </w:r>
      <w:r>
        <w:rPr>
          <w:rFonts w:ascii="仿宋" w:hAnsi="仿宋" w:eastAsia="仿宋"/>
          <w:color w:val="auto"/>
          <w:sz w:val="28"/>
          <w:szCs w:val="28"/>
          <w:highlight w:val="none"/>
          <w:lang w:eastAsia="zh-CN"/>
        </w:rPr>
        <w:t>将通知中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w:t>
      </w:r>
    </w:p>
    <w:p w14:paraId="7DA1D9E1">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通知对</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人和中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人具有法律效力。</w:t>
      </w:r>
      <w:r>
        <w:rPr>
          <w:rStyle w:val="49"/>
          <w:rFonts w:hint="eastAsia" w:ascii="仿宋" w:hAnsi="仿宋" w:eastAsia="仿宋"/>
          <w:color w:val="auto"/>
          <w:sz w:val="28"/>
          <w:szCs w:val="28"/>
          <w:highlight w:val="none"/>
          <w:lang w:eastAsia="zh-CN"/>
        </w:rPr>
        <w:t>福建福海创石油化工有限公司作为本项目合同执行主体，将于中选结果公示流程结束之日起30日内与中选人完成合同签订事宜</w:t>
      </w:r>
      <w:r>
        <w:rPr>
          <w:rFonts w:ascii="仿宋" w:hAnsi="仿宋" w:eastAsia="仿宋"/>
          <w:color w:val="auto"/>
          <w:sz w:val="28"/>
          <w:szCs w:val="28"/>
          <w:highlight w:val="none"/>
          <w:lang w:eastAsia="zh-CN"/>
        </w:rPr>
        <w:t>。若因中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原因未在规定的时间和地点与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人签署合同，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若有参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保证金的，</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人可没收参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保证金。同时，由此给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453089CB">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4.中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签署合同后必须履行合同要求。若因中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原因未在规定的时间内完成</w:t>
      </w:r>
      <w:r>
        <w:rPr>
          <w:rFonts w:hint="eastAsia" w:ascii="仿宋" w:hAnsi="仿宋" w:eastAsia="仿宋"/>
          <w:color w:val="auto"/>
          <w:sz w:val="28"/>
          <w:szCs w:val="28"/>
          <w:highlight w:val="none"/>
          <w:lang w:eastAsia="zh-CN"/>
        </w:rPr>
        <w:t>合同</w:t>
      </w:r>
      <w:r>
        <w:rPr>
          <w:rFonts w:ascii="仿宋" w:hAnsi="仿宋" w:eastAsia="仿宋"/>
          <w:color w:val="auto"/>
          <w:sz w:val="28"/>
          <w:szCs w:val="28"/>
          <w:highlight w:val="none"/>
          <w:lang w:eastAsia="zh-CN"/>
        </w:rPr>
        <w:t>内容等相关工作，则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人有权单方面取消中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的资格。并取消中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三年内在</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人的业务中的参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资格，由此给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722310BA">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5.</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文件与合同附件作为签订合同的条款，</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 xml:space="preserve">文件合同条款中没有规定的内容， </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认为有必要进行补充，可另行商定解决。</w:t>
      </w:r>
    </w:p>
    <w:p w14:paraId="4645A38F">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6.接受和拒绝任何或所有参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机构和</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人保留在</w:t>
      </w:r>
      <w:r>
        <w:rPr>
          <w:rFonts w:hint="eastAsia" w:ascii="仿宋" w:hAnsi="仿宋" w:eastAsia="仿宋"/>
          <w:color w:val="auto"/>
          <w:sz w:val="28"/>
          <w:szCs w:val="28"/>
          <w:highlight w:val="none"/>
          <w:lang w:eastAsia="zh-CN"/>
        </w:rPr>
        <w:t>授予中选通知书</w:t>
      </w:r>
      <w:r>
        <w:rPr>
          <w:rFonts w:ascii="仿宋" w:hAnsi="仿宋" w:eastAsia="仿宋"/>
          <w:color w:val="auto"/>
          <w:sz w:val="28"/>
          <w:szCs w:val="28"/>
          <w:highlight w:val="none"/>
          <w:lang w:eastAsia="zh-CN"/>
        </w:rPr>
        <w:t>之前任何时候接受或拒绝任何</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，以及宣布</w:t>
      </w:r>
      <w:r>
        <w:rPr>
          <w:rFonts w:hint="eastAsia" w:ascii="仿宋" w:hAnsi="仿宋" w:eastAsia="仿宋"/>
          <w:color w:val="auto"/>
          <w:sz w:val="28"/>
          <w:szCs w:val="28"/>
          <w:highlight w:val="none"/>
          <w:lang w:eastAsia="zh-CN"/>
        </w:rPr>
        <w:t>询比</w:t>
      </w:r>
      <w:r>
        <w:rPr>
          <w:rFonts w:ascii="仿宋" w:hAnsi="仿宋" w:eastAsia="仿宋"/>
          <w:color w:val="auto"/>
          <w:sz w:val="28"/>
          <w:szCs w:val="28"/>
          <w:highlight w:val="none"/>
          <w:lang w:eastAsia="zh-CN"/>
        </w:rPr>
        <w:t>程序无效或拒绝所有参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的权利，对受影响的参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人不承担任何责任。</w:t>
      </w:r>
    </w:p>
    <w:p w14:paraId="7A2C46EB">
      <w:pPr>
        <w:spacing w:line="360" w:lineRule="auto"/>
        <w:jc w:val="both"/>
        <w:rPr>
          <w:rFonts w:ascii="仿宋" w:hAnsi="仿宋" w:eastAsia="仿宋"/>
          <w:color w:val="auto"/>
          <w:highlight w:val="none"/>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第六章</w:t>
      </w:r>
      <w:r>
        <w:rPr>
          <w:rFonts w:hint="eastAsia" w:ascii="仿宋" w:hAnsi="仿宋" w:eastAsia="仿宋"/>
          <w:b/>
          <w:color w:val="auto"/>
          <w:w w:val="95"/>
          <w:sz w:val="30"/>
          <w:szCs w:val="30"/>
          <w:highlight w:val="none"/>
          <w:lang w:eastAsia="zh-CN"/>
        </w:rPr>
        <w:t xml:space="preserve">  </w:t>
      </w:r>
      <w:r>
        <w:rPr>
          <w:rFonts w:ascii="仿宋" w:hAnsi="仿宋" w:eastAsia="仿宋"/>
          <w:b/>
          <w:color w:val="auto"/>
          <w:w w:val="95"/>
          <w:sz w:val="30"/>
          <w:szCs w:val="30"/>
          <w:highlight w:val="none"/>
          <w:lang w:eastAsia="zh-CN"/>
        </w:rPr>
        <w:t>中</w:t>
      </w:r>
      <w:r>
        <w:rPr>
          <w:rFonts w:hint="eastAsia" w:ascii="仿宋" w:hAnsi="仿宋" w:eastAsia="仿宋"/>
          <w:b/>
          <w:color w:val="auto"/>
          <w:w w:val="95"/>
          <w:sz w:val="30"/>
          <w:szCs w:val="30"/>
          <w:highlight w:val="none"/>
          <w:lang w:eastAsia="zh-CN"/>
        </w:rPr>
        <w:t>选</w:t>
      </w:r>
      <w:r>
        <w:rPr>
          <w:rFonts w:ascii="仿宋" w:hAnsi="仿宋" w:eastAsia="仿宋"/>
          <w:b/>
          <w:color w:val="auto"/>
          <w:w w:val="95"/>
          <w:sz w:val="30"/>
          <w:szCs w:val="30"/>
          <w:highlight w:val="none"/>
          <w:lang w:eastAsia="zh-CN"/>
        </w:rPr>
        <w:t>后相关履约要求</w:t>
      </w:r>
    </w:p>
    <w:p w14:paraId="77BB0752">
      <w:pPr>
        <w:pStyle w:val="20"/>
        <w:spacing w:line="360" w:lineRule="auto"/>
        <w:ind w:right="121"/>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要服从</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人的管理规定，不得影响</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人的生产运行，如有违反，取消中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继续履行合同的资格</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lang w:eastAsia="zh-CN"/>
        </w:rPr>
        <w:t>同时，由此给</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人造成的损失，</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人有权追究中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的全部责任。</w:t>
      </w:r>
    </w:p>
    <w:p w14:paraId="5D14C2A2">
      <w:pPr>
        <w:pStyle w:val="20"/>
        <w:spacing w:line="360" w:lineRule="auto"/>
        <w:ind w:right="121"/>
        <w:jc w:val="both"/>
        <w:rPr>
          <w:rFonts w:ascii="仿宋" w:hAnsi="仿宋" w:eastAsia="仿宋"/>
          <w:color w:val="auto"/>
          <w:highlight w:val="none"/>
          <w:lang w:eastAsia="zh-CN"/>
        </w:rPr>
      </w:pPr>
      <w:r>
        <w:rPr>
          <w:rFonts w:ascii="仿宋" w:hAnsi="仿宋" w:eastAsia="仿宋"/>
          <w:color w:val="auto"/>
          <w:sz w:val="28"/>
          <w:szCs w:val="28"/>
          <w:highlight w:val="none"/>
          <w:lang w:eastAsia="zh-CN"/>
        </w:rPr>
        <w:t>2.中</w:t>
      </w:r>
      <w:r>
        <w:rPr>
          <w:rFonts w:hint="eastAsia" w:ascii="仿宋" w:hAnsi="仿宋" w:eastAsia="仿宋"/>
          <w:color w:val="auto"/>
          <w:sz w:val="28"/>
          <w:szCs w:val="28"/>
          <w:highlight w:val="none"/>
          <w:lang w:eastAsia="zh-CN"/>
        </w:rPr>
        <w:t>选人</w:t>
      </w:r>
      <w:r>
        <w:rPr>
          <w:rFonts w:ascii="仿宋" w:hAnsi="仿宋" w:eastAsia="仿宋"/>
          <w:color w:val="auto"/>
          <w:sz w:val="28"/>
          <w:szCs w:val="28"/>
          <w:highlight w:val="none"/>
          <w:lang w:eastAsia="zh-CN"/>
        </w:rPr>
        <w:t>必须严格执行</w:t>
      </w:r>
      <w:r>
        <w:rPr>
          <w:rFonts w:hint="eastAsia" w:ascii="仿宋" w:hAnsi="仿宋" w:eastAsia="仿宋"/>
          <w:color w:val="auto"/>
          <w:sz w:val="28"/>
          <w:szCs w:val="28"/>
          <w:highlight w:val="none"/>
          <w:lang w:eastAsia="zh-CN"/>
        </w:rPr>
        <w:t>采购合同</w:t>
      </w:r>
      <w:r>
        <w:rPr>
          <w:rFonts w:ascii="仿宋" w:hAnsi="仿宋" w:eastAsia="仿宋"/>
          <w:color w:val="auto"/>
          <w:sz w:val="28"/>
          <w:szCs w:val="28"/>
          <w:highlight w:val="none"/>
          <w:lang w:eastAsia="zh-CN"/>
        </w:rPr>
        <w:t>（详见附件一）的规定。</w:t>
      </w:r>
    </w:p>
    <w:p w14:paraId="007BA5C9">
      <w:pPr>
        <w:pStyle w:val="3"/>
        <w:tabs>
          <w:tab w:val="left" w:pos="1912"/>
        </w:tabs>
        <w:spacing w:line="355" w:lineRule="exact"/>
        <w:ind w:left="647" w:firstLine="3092" w:firstLineChars="1100"/>
        <w:jc w:val="both"/>
        <w:rPr>
          <w:rFonts w:ascii="仿宋" w:hAnsi="仿宋" w:eastAsia="仿宋"/>
          <w:color w:val="auto"/>
          <w:highlight w:val="none"/>
          <w:lang w:eastAsia="zh-CN"/>
        </w:rPr>
      </w:pPr>
    </w:p>
    <w:p w14:paraId="2293B6D6">
      <w:pPr>
        <w:spacing w:before="15" w:line="360" w:lineRule="auto"/>
        <w:ind w:firstLine="286" w:firstLineChars="100"/>
        <w:jc w:val="center"/>
        <w:rPr>
          <w:rFonts w:ascii="仿宋" w:hAnsi="仿宋" w:eastAsia="仿宋"/>
          <w:b/>
          <w:color w:val="auto"/>
          <w:w w:val="95"/>
          <w:sz w:val="30"/>
          <w:szCs w:val="30"/>
          <w:highlight w:val="none"/>
          <w:lang w:eastAsia="zh-CN"/>
        </w:rPr>
      </w:pPr>
      <w:r>
        <w:rPr>
          <w:rFonts w:ascii="仿宋" w:hAnsi="仿宋" w:eastAsia="仿宋"/>
          <w:b/>
          <w:color w:val="auto"/>
          <w:w w:val="95"/>
          <w:sz w:val="30"/>
          <w:szCs w:val="30"/>
          <w:highlight w:val="none"/>
          <w:lang w:eastAsia="zh-CN"/>
        </w:rPr>
        <w:t>第七章</w:t>
      </w:r>
      <w:r>
        <w:rPr>
          <w:rFonts w:ascii="仿宋" w:hAnsi="仿宋" w:eastAsia="仿宋"/>
          <w:b/>
          <w:color w:val="auto"/>
          <w:w w:val="95"/>
          <w:sz w:val="30"/>
          <w:szCs w:val="30"/>
          <w:highlight w:val="none"/>
          <w:lang w:eastAsia="zh-CN"/>
        </w:rPr>
        <w:tab/>
      </w:r>
      <w:r>
        <w:rPr>
          <w:rFonts w:ascii="仿宋" w:hAnsi="仿宋" w:eastAsia="仿宋"/>
          <w:b/>
          <w:color w:val="auto"/>
          <w:w w:val="95"/>
          <w:sz w:val="30"/>
          <w:szCs w:val="30"/>
          <w:highlight w:val="none"/>
          <w:lang w:eastAsia="zh-CN"/>
        </w:rPr>
        <w:t>其它</w:t>
      </w:r>
    </w:p>
    <w:p w14:paraId="17D9E6AB">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1.参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文件无论其是否中</w:t>
      </w:r>
      <w:r>
        <w:rPr>
          <w:rFonts w:hint="eastAsia" w:ascii="仿宋" w:hAnsi="仿宋" w:eastAsia="仿宋"/>
          <w:color w:val="auto"/>
          <w:sz w:val="28"/>
          <w:szCs w:val="28"/>
          <w:highlight w:val="none"/>
          <w:lang w:eastAsia="zh-CN"/>
        </w:rPr>
        <w:t>选</w:t>
      </w:r>
      <w:r>
        <w:rPr>
          <w:rFonts w:ascii="仿宋" w:hAnsi="仿宋" w:eastAsia="仿宋"/>
          <w:color w:val="auto"/>
          <w:sz w:val="28"/>
          <w:szCs w:val="28"/>
          <w:highlight w:val="none"/>
          <w:lang w:eastAsia="zh-CN"/>
        </w:rPr>
        <w:t>，均不退回。</w:t>
      </w:r>
    </w:p>
    <w:p w14:paraId="1D72F292">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2.</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人郑重承诺：参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人所提交的参</w:t>
      </w:r>
      <w:r>
        <w:rPr>
          <w:rFonts w:hint="eastAsia" w:ascii="仿宋" w:hAnsi="仿宋" w:eastAsia="仿宋"/>
          <w:color w:val="auto"/>
          <w:sz w:val="28"/>
          <w:szCs w:val="28"/>
          <w:highlight w:val="none"/>
          <w:lang w:eastAsia="zh-CN"/>
        </w:rPr>
        <w:t>比</w:t>
      </w:r>
      <w:r>
        <w:rPr>
          <w:rFonts w:ascii="仿宋" w:hAnsi="仿宋" w:eastAsia="仿宋"/>
          <w:color w:val="auto"/>
          <w:sz w:val="28"/>
          <w:szCs w:val="28"/>
          <w:highlight w:val="none"/>
          <w:lang w:eastAsia="zh-CN"/>
        </w:rPr>
        <w:t>文件及相关资料不向第三方泄露。</w:t>
      </w:r>
    </w:p>
    <w:p w14:paraId="5DD08EF6">
      <w:pPr>
        <w:pStyle w:val="20"/>
        <w:spacing w:line="360" w:lineRule="auto"/>
        <w:ind w:right="121" w:firstLine="560" w:firstLineChars="200"/>
        <w:jc w:val="both"/>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w:t>3.本</w:t>
      </w:r>
      <w:r>
        <w:rPr>
          <w:rFonts w:hint="eastAsia" w:ascii="仿宋" w:hAnsi="仿宋" w:eastAsia="仿宋"/>
          <w:color w:val="auto"/>
          <w:sz w:val="28"/>
          <w:szCs w:val="28"/>
          <w:highlight w:val="none"/>
          <w:lang w:eastAsia="zh-CN"/>
        </w:rPr>
        <w:t>采购</w:t>
      </w:r>
      <w:r>
        <w:rPr>
          <w:rFonts w:ascii="仿宋" w:hAnsi="仿宋" w:eastAsia="仿宋"/>
          <w:color w:val="auto"/>
          <w:sz w:val="28"/>
          <w:szCs w:val="28"/>
          <w:highlight w:val="none"/>
          <w:lang w:eastAsia="zh-CN"/>
        </w:rPr>
        <w:t>文件的解释权归</w:t>
      </w:r>
      <w:r>
        <w:rPr>
          <w:rFonts w:hint="eastAsia" w:ascii="仿宋" w:hAnsi="仿宋" w:eastAsia="仿宋"/>
          <w:color w:val="auto"/>
          <w:sz w:val="28"/>
          <w:szCs w:val="28"/>
          <w:highlight w:val="none"/>
          <w:lang w:eastAsia="zh-CN"/>
        </w:rPr>
        <w:t>采购人。</w:t>
      </w:r>
    </w:p>
    <w:p w14:paraId="2509533D">
      <w:pPr>
        <w:pStyle w:val="20"/>
        <w:spacing w:line="360" w:lineRule="auto"/>
        <w:ind w:left="215"/>
        <w:rPr>
          <w:rFonts w:ascii="仿宋" w:hAnsi="仿宋" w:eastAsia="仿宋"/>
          <w:color w:val="auto"/>
          <w:highlight w:val="none"/>
          <w:lang w:eastAsia="zh-CN"/>
        </w:rPr>
      </w:pPr>
      <w:r>
        <w:rPr>
          <w:rFonts w:ascii="仿宋" w:hAnsi="仿宋" w:eastAsia="仿宋"/>
          <w:color w:val="auto"/>
          <w:highlight w:val="none"/>
          <w:lang w:eastAsia="zh-CN"/>
        </w:rPr>
        <w:br w:type="page"/>
      </w:r>
      <w:bookmarkStart w:id="0" w:name="_Toc251742852"/>
    </w:p>
    <w:p w14:paraId="71CB217A">
      <w:pPr>
        <w:spacing w:line="360" w:lineRule="auto"/>
        <w:jc w:val="center"/>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第八章  采购内容及要求</w:t>
      </w:r>
    </w:p>
    <w:p w14:paraId="0697BCAE">
      <w:pPr>
        <w:spacing w:line="360" w:lineRule="auto"/>
        <w:rPr>
          <w:rFonts w:ascii="Times New Roman" w:hAnsi="Times New Roman" w:cs="Times New Roman"/>
          <w:b/>
          <w:color w:val="auto"/>
          <w:sz w:val="36"/>
          <w:szCs w:val="36"/>
          <w:highlight w:val="none"/>
          <w:lang w:eastAsia="zh-CN"/>
        </w:rPr>
      </w:pPr>
    </w:p>
    <w:p w14:paraId="18D028C1">
      <w:pPr>
        <w:numPr>
          <w:ilvl w:val="0"/>
          <w:numId w:val="9"/>
        </w:numPr>
        <w:spacing w:line="360" w:lineRule="auto"/>
        <w:rPr>
          <w:rFonts w:hint="eastAsia" w:ascii="Times New Roman" w:hAnsi="Times New Roman" w:cs="Times New Roman"/>
          <w:b/>
          <w:color w:val="auto"/>
          <w:sz w:val="36"/>
          <w:szCs w:val="36"/>
          <w:highlight w:val="none"/>
          <w:lang w:eastAsia="zh-CN"/>
        </w:rPr>
      </w:pPr>
      <w:r>
        <w:rPr>
          <w:rFonts w:hint="eastAsia" w:ascii="Times New Roman" w:hAnsi="Times New Roman" w:cs="Times New Roman"/>
          <w:b/>
          <w:color w:val="auto"/>
          <w:sz w:val="36"/>
          <w:szCs w:val="36"/>
          <w:highlight w:val="none"/>
          <w:lang w:eastAsia="zh-CN"/>
        </w:rPr>
        <w:t>采购内容一览表</w:t>
      </w:r>
    </w:p>
    <w:tbl>
      <w:tblPr>
        <w:tblStyle w:val="46"/>
        <w:tblpPr w:leftFromText="180" w:rightFromText="180" w:vertAnchor="text" w:horzAnchor="page" w:tblpX="1781" w:tblpY="38"/>
        <w:tblOverlap w:val="never"/>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13"/>
        <w:gridCol w:w="1111"/>
        <w:gridCol w:w="3802"/>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440" w:lineRule="exact"/>
              <w:rPr>
                <w:rFonts w:cs="宋体"/>
                <w:b/>
                <w:color w:val="auto"/>
                <w:kern w:val="2"/>
                <w:highlight w:val="none"/>
                <w:lang w:eastAsia="zh-CN"/>
              </w:rPr>
            </w:pPr>
          </w:p>
          <w:p w14:paraId="280D1AF1">
            <w:pPr>
              <w:pStyle w:val="213"/>
              <w:adjustRightInd w:val="0"/>
              <w:snapToGrid w:val="0"/>
              <w:spacing w:before="0" w:beforeAutospacing="0" w:after="0" w:afterAutospacing="0" w:line="440" w:lineRule="exact"/>
              <w:rPr>
                <w:rFonts w:cs="宋体"/>
                <w:b/>
                <w:color w:val="auto"/>
                <w:kern w:val="2"/>
                <w:highlight w:val="none"/>
              </w:rPr>
            </w:pPr>
            <w:r>
              <w:rPr>
                <w:rFonts w:hint="eastAsia" w:cs="宋体"/>
                <w:b/>
                <w:color w:val="auto"/>
                <w:kern w:val="2"/>
                <w:highlight w:val="none"/>
              </w:rPr>
              <w:t>合同包</w:t>
            </w:r>
          </w:p>
          <w:p w14:paraId="19CF6340">
            <w:pPr>
              <w:pStyle w:val="213"/>
              <w:adjustRightInd w:val="0"/>
              <w:snapToGrid w:val="0"/>
              <w:spacing w:before="0" w:beforeAutospacing="0" w:after="0" w:afterAutospacing="0" w:line="440" w:lineRule="exact"/>
              <w:rPr>
                <w:rFonts w:cs="宋体"/>
                <w:b/>
                <w:color w:val="auto"/>
                <w:highlight w:val="none"/>
              </w:rPr>
            </w:pPr>
          </w:p>
        </w:tc>
        <w:tc>
          <w:tcPr>
            <w:tcW w:w="24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440" w:lineRule="exact"/>
              <w:rPr>
                <w:rFonts w:cs="宋体"/>
                <w:b/>
                <w:color w:val="auto"/>
                <w:kern w:val="2"/>
                <w:highlight w:val="none"/>
              </w:rPr>
            </w:pPr>
            <w:r>
              <w:rPr>
                <w:rFonts w:hint="eastAsia" w:cs="宋体"/>
                <w:b/>
                <w:color w:val="auto"/>
                <w:kern w:val="2"/>
                <w:highlight w:val="none"/>
              </w:rPr>
              <w:t>货物名称</w:t>
            </w:r>
          </w:p>
        </w:tc>
        <w:tc>
          <w:tcPr>
            <w:tcW w:w="11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440" w:lineRule="exact"/>
              <w:rPr>
                <w:rFonts w:cs="宋体"/>
                <w:b/>
                <w:color w:val="auto"/>
                <w:kern w:val="2"/>
                <w:highlight w:val="none"/>
              </w:rPr>
            </w:pPr>
            <w:r>
              <w:rPr>
                <w:rFonts w:hint="eastAsia" w:cs="宋体"/>
                <w:b/>
                <w:color w:val="auto"/>
                <w:highlight w:val="none"/>
              </w:rPr>
              <w:t>采购数量</w:t>
            </w:r>
          </w:p>
        </w:tc>
        <w:tc>
          <w:tcPr>
            <w:tcW w:w="38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440" w:lineRule="exact"/>
              <w:rPr>
                <w:rFonts w:cs="宋体"/>
                <w:b/>
                <w:color w:val="auto"/>
                <w:kern w:val="2"/>
                <w:highlight w:val="none"/>
              </w:rPr>
            </w:pPr>
            <w:r>
              <w:rPr>
                <w:rFonts w:hint="eastAsia" w:cs="宋体"/>
                <w:b/>
                <w:color w:val="auto"/>
                <w:kern w:val="2"/>
                <w:highlight w:val="none"/>
                <w:lang w:eastAsia="zh-CN"/>
              </w:rPr>
              <w:t>主要技术规格和服务要求</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440" w:lineRule="exact"/>
              <w:rPr>
                <w:color w:val="auto"/>
                <w:highlight w:val="none"/>
              </w:rPr>
            </w:pPr>
            <w:r>
              <w:rPr>
                <w:rFonts w:hint="eastAsia" w:cs="宋体"/>
                <w:color w:val="auto"/>
                <w:highlight w:val="none"/>
              </w:rPr>
              <w:t>1</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B0CEB52">
            <w:pPr>
              <w:spacing w:line="360" w:lineRule="auto"/>
              <w:jc w:val="center"/>
              <w:rPr>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开展生产船燃的进料加工业务服务出具专业报告项目</w:t>
            </w:r>
          </w:p>
        </w:tc>
        <w:tc>
          <w:tcPr>
            <w:tcW w:w="1111"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9AC7FA2">
            <w:pPr>
              <w:pStyle w:val="213"/>
              <w:adjustRightInd w:val="0"/>
              <w:snapToGrid w:val="0"/>
              <w:spacing w:before="0" w:beforeAutospacing="0" w:after="0" w:afterAutospacing="0" w:line="440" w:lineRule="exact"/>
              <w:rPr>
                <w:rFonts w:hint="default"/>
                <w:color w:val="auto"/>
                <w:highlight w:val="none"/>
                <w:lang w:val="en-US" w:eastAsia="zh-CN"/>
              </w:rPr>
            </w:pPr>
            <w:r>
              <w:rPr>
                <w:rFonts w:hint="eastAsia"/>
                <w:color w:val="auto"/>
                <w:highlight w:val="none"/>
                <w:lang w:val="en-US" w:eastAsia="zh-CN"/>
              </w:rPr>
              <w:t>1项</w:t>
            </w:r>
          </w:p>
        </w:tc>
        <w:tc>
          <w:tcPr>
            <w:tcW w:w="380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rPr>
                <w:rFonts w:cs="Times New Roman"/>
                <w:color w:val="auto"/>
                <w:sz w:val="24"/>
                <w:szCs w:val="24"/>
                <w:highlight w:val="none"/>
              </w:rPr>
            </w:pPr>
            <w:r>
              <w:rPr>
                <w:rFonts w:hint="eastAsia" w:asciiTheme="minorEastAsia" w:hAnsiTheme="minorEastAsia" w:eastAsiaTheme="minorEastAsia"/>
                <w:color w:val="auto"/>
                <w:sz w:val="24"/>
                <w:szCs w:val="24"/>
                <w:highlight w:val="none"/>
                <w:lang w:val="en-US" w:eastAsia="zh-CN"/>
              </w:rPr>
              <w:t>详见附件《关于燃料油(常压渣油)生产船用燃料油的进料加工业务服务发包说明》</w:t>
            </w: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357" w:type="dxa"/>
            <w:gridSpan w:val="4"/>
            <w:tcMar>
              <w:left w:w="28" w:type="dxa"/>
              <w:right w:w="28" w:type="dxa"/>
            </w:tcMar>
            <w:vAlign w:val="center"/>
          </w:tcPr>
          <w:p w14:paraId="42381461">
            <w:pPr>
              <w:snapToGrid w:val="0"/>
              <w:spacing w:line="440" w:lineRule="exact"/>
              <w:rPr>
                <w:b/>
                <w:color w:val="auto"/>
                <w:spacing w:val="10"/>
                <w:sz w:val="24"/>
                <w:szCs w:val="24"/>
                <w:highlight w:val="none"/>
                <w:lang w:eastAsia="zh-CN"/>
              </w:rPr>
            </w:pPr>
            <w:r>
              <w:rPr>
                <w:rFonts w:hint="eastAsia"/>
                <w:b/>
                <w:color w:val="auto"/>
                <w:sz w:val="24"/>
                <w:szCs w:val="24"/>
                <w:highlight w:val="none"/>
                <w:lang w:eastAsia="zh-CN"/>
              </w:rPr>
              <w:t>交货地点：</w:t>
            </w:r>
            <w:r>
              <w:rPr>
                <w:rFonts w:hint="eastAsia"/>
                <w:bCs/>
                <w:color w:val="auto"/>
                <w:sz w:val="24"/>
                <w:szCs w:val="24"/>
                <w:highlight w:val="none"/>
                <w:lang w:eastAsia="zh-CN"/>
              </w:rPr>
              <w:t>福建省漳州古雷港经济开发区采购人指定地点。</w:t>
            </w:r>
          </w:p>
          <w:p w14:paraId="7C72ABCB">
            <w:pPr>
              <w:snapToGrid w:val="0"/>
              <w:spacing w:line="440" w:lineRule="exact"/>
              <w:rPr>
                <w:color w:val="auto"/>
                <w:sz w:val="24"/>
                <w:szCs w:val="24"/>
                <w:highlight w:val="none"/>
                <w:lang w:eastAsia="zh-CN"/>
              </w:rPr>
            </w:pPr>
            <w:r>
              <w:rPr>
                <w:rFonts w:hint="eastAsia"/>
                <w:b/>
                <w:color w:val="auto"/>
                <w:spacing w:val="10"/>
                <w:sz w:val="24"/>
                <w:szCs w:val="24"/>
                <w:highlight w:val="none"/>
                <w:lang w:eastAsia="zh-CN"/>
              </w:rPr>
              <w:t>交货期要求</w:t>
            </w:r>
            <w:r>
              <w:rPr>
                <w:rFonts w:hint="eastAsia"/>
                <w:color w:val="auto"/>
                <w:sz w:val="24"/>
                <w:szCs w:val="24"/>
                <w:highlight w:val="none"/>
                <w:lang w:eastAsia="zh-CN"/>
              </w:rPr>
              <w:t>：2025年  月   日前送至招标人指定地点。</w:t>
            </w:r>
          </w:p>
          <w:p w14:paraId="563593CA">
            <w:pPr>
              <w:snapToGrid w:val="0"/>
              <w:spacing w:line="440" w:lineRule="exact"/>
              <w:rPr>
                <w:b/>
                <w:bCs/>
                <w:color w:val="auto"/>
                <w:sz w:val="24"/>
                <w:szCs w:val="24"/>
                <w:highlight w:val="none"/>
                <w:lang w:eastAsia="zh-CN"/>
              </w:rPr>
            </w:pPr>
            <w:r>
              <w:rPr>
                <w:rFonts w:hint="eastAsia"/>
                <w:b/>
                <w:bCs/>
                <w:color w:val="auto"/>
                <w:sz w:val="24"/>
                <w:szCs w:val="24"/>
                <w:highlight w:val="none"/>
                <w:lang w:eastAsia="zh-CN"/>
              </w:rPr>
              <w:t>质量要求：</w:t>
            </w:r>
            <w:r>
              <w:rPr>
                <w:rFonts w:hint="eastAsia"/>
                <w:color w:val="auto"/>
                <w:sz w:val="24"/>
                <w:szCs w:val="24"/>
                <w:highlight w:val="none"/>
                <w:lang w:eastAsia="zh-CN"/>
              </w:rPr>
              <w:t>符合国家有关验收标准、规范及本项目的技术要求。</w:t>
            </w:r>
          </w:p>
        </w:tc>
      </w:tr>
    </w:tbl>
    <w:p w14:paraId="0B5FE68D">
      <w:pPr>
        <w:pStyle w:val="2"/>
        <w:rPr>
          <w:rFonts w:hint="eastAsia"/>
          <w:color w:val="auto"/>
          <w:highlight w:val="none"/>
          <w:lang w:eastAsia="zh-CN"/>
        </w:rPr>
      </w:pPr>
    </w:p>
    <w:p w14:paraId="5BA8D768">
      <w:pPr>
        <w:pStyle w:val="2"/>
        <w:numPr>
          <w:ilvl w:val="0"/>
          <w:numId w:val="0"/>
        </w:numPr>
        <w:rPr>
          <w:color w:val="auto"/>
          <w:highlight w:val="none"/>
          <w:lang w:eastAsia="zh-CN"/>
        </w:rPr>
      </w:pPr>
    </w:p>
    <w:p w14:paraId="4497CE23">
      <w:pPr>
        <w:pStyle w:val="10"/>
        <w:rPr>
          <w:color w:val="auto"/>
          <w:highlight w:val="none"/>
        </w:rPr>
      </w:pPr>
    </w:p>
    <w:p w14:paraId="0B8A7867">
      <w:pPr>
        <w:pStyle w:val="10"/>
        <w:rPr>
          <w:color w:val="auto"/>
          <w:highlight w:val="none"/>
        </w:rPr>
      </w:pPr>
    </w:p>
    <w:p w14:paraId="46302DDD">
      <w:pPr>
        <w:pStyle w:val="10"/>
        <w:rPr>
          <w:color w:val="auto"/>
          <w:highlight w:val="none"/>
        </w:rPr>
      </w:pPr>
    </w:p>
    <w:p w14:paraId="5CA162E0">
      <w:pPr>
        <w:pStyle w:val="10"/>
        <w:rPr>
          <w:color w:val="auto"/>
          <w:highlight w:val="none"/>
        </w:rPr>
      </w:pPr>
    </w:p>
    <w:p w14:paraId="2B42A614">
      <w:pPr>
        <w:pStyle w:val="10"/>
        <w:rPr>
          <w:color w:val="auto"/>
          <w:highlight w:val="none"/>
        </w:rPr>
      </w:pPr>
    </w:p>
    <w:p w14:paraId="4729B3E2">
      <w:pPr>
        <w:pStyle w:val="10"/>
        <w:rPr>
          <w:color w:val="auto"/>
          <w:highlight w:val="none"/>
        </w:rPr>
      </w:pPr>
    </w:p>
    <w:p w14:paraId="2112881F">
      <w:pPr>
        <w:pStyle w:val="10"/>
        <w:rPr>
          <w:color w:val="auto"/>
          <w:highlight w:val="none"/>
        </w:rPr>
      </w:pPr>
    </w:p>
    <w:p w14:paraId="6A9E3927">
      <w:pPr>
        <w:pStyle w:val="10"/>
        <w:rPr>
          <w:color w:val="auto"/>
          <w:highlight w:val="none"/>
        </w:rPr>
      </w:pPr>
    </w:p>
    <w:p w14:paraId="14BF3DCE">
      <w:pPr>
        <w:pStyle w:val="10"/>
        <w:rPr>
          <w:color w:val="auto"/>
          <w:highlight w:val="none"/>
        </w:rPr>
      </w:pPr>
    </w:p>
    <w:p w14:paraId="669EC61E">
      <w:pPr>
        <w:pStyle w:val="10"/>
        <w:rPr>
          <w:color w:val="auto"/>
          <w:highlight w:val="none"/>
        </w:rPr>
      </w:pPr>
    </w:p>
    <w:p w14:paraId="6343CAD0">
      <w:pPr>
        <w:pStyle w:val="10"/>
        <w:rPr>
          <w:color w:val="auto"/>
          <w:highlight w:val="none"/>
        </w:rPr>
      </w:pPr>
    </w:p>
    <w:p w14:paraId="2E176412">
      <w:pPr>
        <w:pStyle w:val="10"/>
        <w:rPr>
          <w:color w:val="auto"/>
          <w:highlight w:val="none"/>
        </w:rPr>
      </w:pPr>
    </w:p>
    <w:p w14:paraId="254DB59D">
      <w:pPr>
        <w:pStyle w:val="10"/>
        <w:rPr>
          <w:color w:val="auto"/>
          <w:highlight w:val="none"/>
        </w:rPr>
      </w:pPr>
    </w:p>
    <w:p w14:paraId="75426743">
      <w:pPr>
        <w:pStyle w:val="10"/>
        <w:rPr>
          <w:color w:val="auto"/>
          <w:highlight w:val="none"/>
        </w:rPr>
      </w:pPr>
    </w:p>
    <w:p w14:paraId="4EDB6ED2">
      <w:pPr>
        <w:pStyle w:val="10"/>
        <w:rPr>
          <w:color w:val="auto"/>
          <w:highlight w:val="none"/>
        </w:rPr>
      </w:pPr>
    </w:p>
    <w:p w14:paraId="1AB4BD8F">
      <w:pPr>
        <w:pStyle w:val="10"/>
        <w:rPr>
          <w:color w:val="auto"/>
          <w:highlight w:val="none"/>
        </w:rPr>
      </w:pPr>
    </w:p>
    <w:p w14:paraId="3FCA3358">
      <w:pPr>
        <w:pStyle w:val="10"/>
        <w:rPr>
          <w:color w:val="auto"/>
          <w:highlight w:val="none"/>
        </w:rPr>
      </w:pPr>
    </w:p>
    <w:p w14:paraId="6475E77B">
      <w:pPr>
        <w:pStyle w:val="10"/>
        <w:rPr>
          <w:color w:val="auto"/>
          <w:highlight w:val="none"/>
        </w:rPr>
      </w:pPr>
    </w:p>
    <w:p w14:paraId="0CB55F45">
      <w:pPr>
        <w:pStyle w:val="10"/>
        <w:rPr>
          <w:color w:val="auto"/>
          <w:highlight w:val="none"/>
        </w:rPr>
      </w:pPr>
    </w:p>
    <w:p w14:paraId="3E4219D4">
      <w:pPr>
        <w:numPr>
          <w:ilvl w:val="0"/>
          <w:numId w:val="10"/>
        </w:numPr>
        <w:spacing w:line="360" w:lineRule="auto"/>
        <w:rPr>
          <w:rFonts w:ascii="Times New Roman" w:hAnsi="Times New Roman" w:cs="Times New Roman"/>
          <w:b/>
          <w:color w:val="auto"/>
          <w:sz w:val="36"/>
          <w:szCs w:val="36"/>
          <w:highlight w:val="none"/>
          <w:lang w:eastAsia="zh-CN"/>
        </w:rPr>
      </w:pPr>
      <w:r>
        <w:rPr>
          <w:rFonts w:hint="eastAsia" w:ascii="Times New Roman" w:hAnsi="Times New Roman" w:cs="Times New Roman"/>
          <w:b/>
          <w:color w:val="auto"/>
          <w:sz w:val="36"/>
          <w:szCs w:val="36"/>
          <w:highlight w:val="none"/>
          <w:lang w:eastAsia="zh-CN"/>
        </w:rPr>
        <w:t>技术要求</w:t>
      </w:r>
    </w:p>
    <w:p w14:paraId="08E5BA4D">
      <w:pPr>
        <w:pStyle w:val="10"/>
        <w:ind w:firstLine="0"/>
        <w:rPr>
          <w:b/>
          <w:bCs/>
          <w:color w:val="auto"/>
          <w:sz w:val="24"/>
          <w:szCs w:val="24"/>
          <w:highlight w:val="none"/>
        </w:rPr>
      </w:pPr>
      <w:r>
        <w:rPr>
          <w:rFonts w:hint="eastAsia"/>
          <w:color w:val="auto"/>
          <w:highlight w:val="none"/>
        </w:rPr>
        <w:t xml:space="preserve">  </w:t>
      </w:r>
      <w:r>
        <w:rPr>
          <w:rFonts w:hint="eastAsia"/>
          <w:b/>
          <w:bCs/>
          <w:color w:val="auto"/>
          <w:sz w:val="24"/>
          <w:szCs w:val="24"/>
          <w:highlight w:val="none"/>
        </w:rPr>
        <w:t xml:space="preserve"> 详见附件1</w:t>
      </w:r>
      <w:r>
        <w:rPr>
          <w:rFonts w:hint="eastAsia" w:asciiTheme="minorEastAsia" w:hAnsiTheme="minorEastAsia" w:eastAsiaTheme="minorEastAsia"/>
          <w:b/>
          <w:bCs/>
          <w:color w:val="auto"/>
          <w:sz w:val="24"/>
          <w:szCs w:val="24"/>
          <w:highlight w:val="none"/>
          <w:lang w:val="en-US" w:eastAsia="zh-CN"/>
        </w:rPr>
        <w:t>《关于燃料油(常压渣油)生产船用燃料油的进料加工业务服务发包说明》</w:t>
      </w:r>
    </w:p>
    <w:p w14:paraId="3B439CE4">
      <w:pPr>
        <w:pStyle w:val="10"/>
        <w:ind w:firstLine="0"/>
        <w:rPr>
          <w:color w:val="auto"/>
          <w:highlight w:val="none"/>
        </w:rPr>
      </w:pPr>
    </w:p>
    <w:p w14:paraId="5E500C46">
      <w:pPr>
        <w:pStyle w:val="10"/>
        <w:rPr>
          <w:rFonts w:ascii="仿宋" w:hAnsi="仿宋" w:eastAsia="仿宋"/>
          <w:b/>
          <w:color w:val="auto"/>
          <w:sz w:val="36"/>
          <w:szCs w:val="36"/>
          <w:highlight w:val="none"/>
        </w:rPr>
      </w:pPr>
    </w:p>
    <w:p w14:paraId="00B1872D">
      <w:pPr>
        <w:pStyle w:val="10"/>
        <w:rPr>
          <w:rFonts w:ascii="仿宋" w:hAnsi="仿宋" w:eastAsia="仿宋"/>
          <w:b/>
          <w:color w:val="auto"/>
          <w:sz w:val="36"/>
          <w:szCs w:val="36"/>
          <w:highlight w:val="none"/>
        </w:rPr>
      </w:pPr>
    </w:p>
    <w:p w14:paraId="09622B7F">
      <w:pPr>
        <w:pStyle w:val="10"/>
        <w:rPr>
          <w:rFonts w:ascii="仿宋" w:hAnsi="仿宋" w:eastAsia="仿宋"/>
          <w:b/>
          <w:color w:val="auto"/>
          <w:sz w:val="36"/>
          <w:szCs w:val="36"/>
          <w:highlight w:val="none"/>
        </w:rPr>
      </w:pPr>
    </w:p>
    <w:p w14:paraId="6AF03944">
      <w:pPr>
        <w:pStyle w:val="10"/>
        <w:rPr>
          <w:rFonts w:ascii="仿宋" w:hAnsi="仿宋" w:eastAsia="仿宋"/>
          <w:b/>
          <w:color w:val="auto"/>
          <w:sz w:val="36"/>
          <w:szCs w:val="36"/>
          <w:highlight w:val="none"/>
        </w:rPr>
      </w:pPr>
    </w:p>
    <w:p w14:paraId="359B6E23">
      <w:pPr>
        <w:pStyle w:val="10"/>
        <w:rPr>
          <w:rFonts w:ascii="仿宋" w:hAnsi="仿宋" w:eastAsia="仿宋"/>
          <w:b/>
          <w:color w:val="auto"/>
          <w:sz w:val="36"/>
          <w:szCs w:val="36"/>
          <w:highlight w:val="none"/>
        </w:rPr>
      </w:pPr>
    </w:p>
    <w:p w14:paraId="28866464">
      <w:pPr>
        <w:pStyle w:val="10"/>
        <w:numPr>
          <w:ilvl w:val="0"/>
          <w:numId w:val="11"/>
        </w:numPr>
        <w:ind w:firstLine="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 xml:space="preserve"> 合同主要条款</w:t>
      </w:r>
    </w:p>
    <w:p w14:paraId="542D4A4D">
      <w:pPr>
        <w:jc w:val="both"/>
        <w:rPr>
          <w:rFonts w:ascii="仿宋" w:hAnsi="仿宋" w:eastAsia="仿宋" w:cs="Times New Roman"/>
          <w:b/>
          <w:color w:val="auto"/>
          <w:sz w:val="36"/>
          <w:szCs w:val="36"/>
          <w:highlight w:val="none"/>
          <w:lang w:eastAsia="zh-CN"/>
        </w:rPr>
      </w:pPr>
    </w:p>
    <w:p w14:paraId="46355543">
      <w:pPr>
        <w:jc w:val="both"/>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合同范本详见附件一</w:t>
      </w:r>
    </w:p>
    <w:p w14:paraId="422DEF46">
      <w:pPr>
        <w:jc w:val="both"/>
        <w:rPr>
          <w:rFonts w:ascii="仿宋" w:hAnsi="仿宋" w:eastAsia="仿宋" w:cs="Times New Roman"/>
          <w:b/>
          <w:color w:val="auto"/>
          <w:sz w:val="36"/>
          <w:szCs w:val="36"/>
          <w:highlight w:val="none"/>
          <w:lang w:eastAsia="zh-CN"/>
        </w:rPr>
      </w:pPr>
    </w:p>
    <w:p w14:paraId="46C61F01">
      <w:pPr>
        <w:jc w:val="center"/>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w:t>
      </w:r>
      <w:r>
        <w:rPr>
          <w:rFonts w:ascii="仿宋" w:hAnsi="仿宋" w:eastAsia="仿宋" w:cs="Times New Roman"/>
          <w:b/>
          <w:color w:val="auto"/>
          <w:sz w:val="36"/>
          <w:szCs w:val="36"/>
          <w:highlight w:val="none"/>
          <w:lang w:eastAsia="zh-CN"/>
        </w:rPr>
        <w:t>合同</w:t>
      </w:r>
      <w:r>
        <w:rPr>
          <w:rFonts w:hint="eastAsia" w:ascii="仿宋" w:hAnsi="仿宋" w:eastAsia="仿宋" w:cs="Times New Roman"/>
          <w:b/>
          <w:color w:val="auto"/>
          <w:sz w:val="36"/>
          <w:szCs w:val="36"/>
          <w:highlight w:val="none"/>
          <w:lang w:eastAsia="zh-CN"/>
        </w:rPr>
        <w:t>》</w:t>
      </w:r>
    </w:p>
    <w:p w14:paraId="5894087B">
      <w:pPr>
        <w:pStyle w:val="3"/>
        <w:rPr>
          <w:color w:val="auto"/>
          <w:highlight w:val="none"/>
          <w:lang w:eastAsia="zh-CN"/>
        </w:rPr>
      </w:pPr>
    </w:p>
    <w:p w14:paraId="42162CED">
      <w:pPr>
        <w:rPr>
          <w:color w:val="auto"/>
          <w:highlight w:val="none"/>
          <w:lang w:eastAsia="zh-CN"/>
        </w:rPr>
      </w:pPr>
    </w:p>
    <w:p w14:paraId="67C65C8F">
      <w:pPr>
        <w:pStyle w:val="3"/>
        <w:rPr>
          <w:color w:val="auto"/>
          <w:highlight w:val="none"/>
          <w:lang w:eastAsia="zh-CN"/>
        </w:rPr>
      </w:pPr>
    </w:p>
    <w:p w14:paraId="3FD9B955">
      <w:pPr>
        <w:rPr>
          <w:color w:val="auto"/>
          <w:highlight w:val="none"/>
          <w:lang w:eastAsia="zh-CN"/>
        </w:rPr>
      </w:pPr>
    </w:p>
    <w:p w14:paraId="1EA7D47D">
      <w:pPr>
        <w:pStyle w:val="3"/>
        <w:rPr>
          <w:color w:val="auto"/>
          <w:highlight w:val="none"/>
          <w:lang w:eastAsia="zh-CN"/>
        </w:rPr>
      </w:pPr>
    </w:p>
    <w:p w14:paraId="278F7463">
      <w:pPr>
        <w:rPr>
          <w:color w:val="auto"/>
          <w:highlight w:val="none"/>
          <w:lang w:eastAsia="zh-CN"/>
        </w:rPr>
      </w:pPr>
    </w:p>
    <w:p w14:paraId="4570BD8D">
      <w:pPr>
        <w:pStyle w:val="3"/>
        <w:rPr>
          <w:color w:val="auto"/>
          <w:highlight w:val="none"/>
          <w:lang w:eastAsia="zh-CN"/>
        </w:rPr>
      </w:pPr>
    </w:p>
    <w:p w14:paraId="11249DEC">
      <w:pPr>
        <w:rPr>
          <w:color w:val="auto"/>
          <w:highlight w:val="none"/>
          <w:lang w:eastAsia="zh-CN"/>
        </w:rPr>
      </w:pPr>
    </w:p>
    <w:p w14:paraId="44CB1617">
      <w:pPr>
        <w:pStyle w:val="3"/>
        <w:rPr>
          <w:color w:val="auto"/>
          <w:highlight w:val="none"/>
          <w:lang w:eastAsia="zh-CN"/>
        </w:rPr>
      </w:pPr>
    </w:p>
    <w:p w14:paraId="3E1B4267">
      <w:pPr>
        <w:rPr>
          <w:color w:val="auto"/>
          <w:highlight w:val="none"/>
          <w:lang w:eastAsia="zh-CN"/>
        </w:rPr>
      </w:pPr>
    </w:p>
    <w:p w14:paraId="36CF3F49">
      <w:pPr>
        <w:pStyle w:val="3"/>
        <w:rPr>
          <w:color w:val="auto"/>
          <w:highlight w:val="none"/>
          <w:lang w:eastAsia="zh-CN"/>
        </w:rPr>
      </w:pPr>
    </w:p>
    <w:p w14:paraId="47BBB381">
      <w:pPr>
        <w:rPr>
          <w:color w:val="auto"/>
          <w:highlight w:val="none"/>
          <w:lang w:eastAsia="zh-CN"/>
        </w:rPr>
      </w:pPr>
    </w:p>
    <w:p w14:paraId="06E2297E">
      <w:pPr>
        <w:pStyle w:val="3"/>
        <w:rPr>
          <w:color w:val="auto"/>
          <w:highlight w:val="none"/>
          <w:lang w:eastAsia="zh-CN"/>
        </w:rPr>
      </w:pPr>
    </w:p>
    <w:p w14:paraId="2D5E8125">
      <w:pPr>
        <w:rPr>
          <w:color w:val="auto"/>
          <w:highlight w:val="none"/>
          <w:lang w:eastAsia="zh-CN"/>
        </w:rPr>
      </w:pPr>
    </w:p>
    <w:p w14:paraId="4C51D710">
      <w:pPr>
        <w:rPr>
          <w:color w:val="auto"/>
          <w:highlight w:val="none"/>
          <w:lang w:eastAsia="zh-CN"/>
        </w:rPr>
      </w:pPr>
    </w:p>
    <w:p w14:paraId="7396998E">
      <w:pPr>
        <w:pStyle w:val="10"/>
        <w:numPr>
          <w:ilvl w:val="0"/>
          <w:numId w:val="11"/>
        </w:numPr>
        <w:ind w:firstLine="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参比文件格式</w:t>
      </w:r>
    </w:p>
    <w:p w14:paraId="738DD84A">
      <w:pPr>
        <w:pStyle w:val="10"/>
        <w:ind w:firstLine="0"/>
        <w:jc w:val="both"/>
        <w:rPr>
          <w:rFonts w:ascii="仿宋" w:hAnsi="仿宋" w:eastAsia="仿宋"/>
          <w:b/>
          <w:color w:val="auto"/>
          <w:sz w:val="36"/>
          <w:szCs w:val="36"/>
          <w:highlight w:val="none"/>
        </w:rPr>
      </w:pPr>
    </w:p>
    <w:p w14:paraId="23AF8AE4">
      <w:pPr>
        <w:spacing w:line="480" w:lineRule="exact"/>
        <w:rPr>
          <w:rFonts w:ascii="仿宋" w:hAnsi="仿宋" w:eastAsia="仿宋" w:cs="Times New Roman"/>
          <w:b/>
          <w:bCs/>
          <w:color w:val="auto"/>
          <w:sz w:val="28"/>
          <w:szCs w:val="28"/>
          <w:highlight w:val="none"/>
          <w:lang w:eastAsia="zh-CN"/>
        </w:rPr>
      </w:pPr>
      <w:r>
        <w:rPr>
          <w:rFonts w:hint="eastAsia" w:ascii="仿宋" w:hAnsi="仿宋" w:eastAsia="仿宋" w:cs="Times New Roman"/>
          <w:b/>
          <w:bCs/>
          <w:color w:val="auto"/>
          <w:sz w:val="28"/>
          <w:szCs w:val="28"/>
          <w:highlight w:val="none"/>
          <w:lang w:eastAsia="zh-CN"/>
        </w:rPr>
        <w:t>参比文件编写说明：（线下递交形式）</w:t>
      </w:r>
    </w:p>
    <w:p w14:paraId="207017FC">
      <w:pPr>
        <w:spacing w:line="480" w:lineRule="exact"/>
        <w:rPr>
          <w:rFonts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 xml:space="preserve">  1.参比文件分为二册，第一册为商务文件，第二册为技术文件。</w:t>
      </w:r>
    </w:p>
    <w:p w14:paraId="0754D925">
      <w:pPr>
        <w:pStyle w:val="72"/>
        <w:spacing w:beforeLines="0" w:afterLines="0"/>
        <w:ind w:firstLine="280" w:firstLineChars="100"/>
        <w:rPr>
          <w:rFonts w:ascii="仿宋" w:hAnsi="仿宋" w:eastAsia="仿宋" w:cs="Times New Roman"/>
          <w:bCs w:val="0"/>
          <w:color w:val="auto"/>
          <w:highlight w:val="none"/>
          <w:lang w:eastAsia="zh-CN"/>
        </w:rPr>
      </w:pPr>
      <w:r>
        <w:rPr>
          <w:rFonts w:hint="eastAsia" w:ascii="仿宋" w:hAnsi="仿宋" w:eastAsia="仿宋" w:cs="Times New Roman"/>
          <w:bCs w:val="0"/>
          <w:color w:val="auto"/>
          <w:highlight w:val="none"/>
          <w:lang w:eastAsia="zh-CN"/>
        </w:rPr>
        <w:t>2.参比人应按规定，向采购人递交参比纸质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pPr>
        <w:pStyle w:val="72"/>
        <w:spacing w:beforeLines="0" w:afterLines="0"/>
        <w:ind w:firstLine="280" w:firstLineChars="100"/>
        <w:rPr>
          <w:rFonts w:ascii="仿宋" w:hAnsi="仿宋" w:eastAsia="仿宋" w:cs="Times New Roman"/>
          <w:bCs w:val="0"/>
          <w:color w:val="auto"/>
          <w:highlight w:val="none"/>
          <w:lang w:eastAsia="zh-CN"/>
        </w:rPr>
      </w:pPr>
      <w:r>
        <w:rPr>
          <w:rFonts w:hint="eastAsia" w:ascii="仿宋" w:hAnsi="仿宋" w:eastAsia="仿宋" w:cs="Times New Roman"/>
          <w:bCs w:val="0"/>
          <w:color w:val="auto"/>
          <w:highlight w:val="none"/>
          <w:lang w:eastAsia="zh-CN"/>
        </w:rPr>
        <w:t>3.所有纸质文件采用</w:t>
      </w:r>
      <w:r>
        <w:rPr>
          <w:rFonts w:ascii="仿宋" w:hAnsi="仿宋" w:eastAsia="仿宋" w:cs="Times New Roman"/>
          <w:bCs w:val="0"/>
          <w:color w:val="auto"/>
          <w:highlight w:val="none"/>
          <w:lang w:eastAsia="zh-CN"/>
        </w:rPr>
        <w:t>A4</w:t>
      </w:r>
      <w:r>
        <w:rPr>
          <w:rFonts w:hint="eastAsia" w:ascii="仿宋" w:hAnsi="仿宋" w:eastAsia="仿宋" w:cs="Times New Roman"/>
          <w:bCs w:val="0"/>
          <w:color w:val="auto"/>
          <w:highlight w:val="none"/>
          <w:lang w:eastAsia="zh-CN"/>
        </w:rPr>
        <w:t>纸胶装、平装。所有参比文件应增加统一外层包封。</w:t>
      </w:r>
    </w:p>
    <w:p w14:paraId="5B2DC8FB">
      <w:pPr>
        <w:pStyle w:val="72"/>
        <w:spacing w:beforeLines="0" w:afterLines="0"/>
        <w:ind w:firstLine="280" w:firstLineChars="100"/>
        <w:rPr>
          <w:rFonts w:ascii="仿宋" w:hAnsi="仿宋" w:eastAsia="仿宋" w:cs="Times New Roman"/>
          <w:bCs w:val="0"/>
          <w:color w:val="auto"/>
          <w:highlight w:val="none"/>
          <w:lang w:eastAsia="zh-CN"/>
        </w:rPr>
      </w:pPr>
      <w:r>
        <w:rPr>
          <w:rFonts w:hint="eastAsia" w:ascii="仿宋" w:hAnsi="仿宋" w:eastAsia="仿宋" w:cs="Times New Roman"/>
          <w:bCs w:val="0"/>
          <w:color w:val="auto"/>
          <w:highlight w:val="none"/>
          <w:lang w:eastAsia="zh-CN"/>
        </w:rPr>
        <w:t>4.提交参比文件时提供两个包装，商务文件（报价单）一个包装、技术文件一个包装</w:t>
      </w:r>
      <w:r>
        <w:rPr>
          <w:rFonts w:ascii="仿宋" w:hAnsi="仿宋" w:eastAsia="仿宋" w:cs="Times New Roman"/>
          <w:bCs w:val="0"/>
          <w:color w:val="auto"/>
          <w:highlight w:val="none"/>
          <w:lang w:eastAsia="zh-CN"/>
        </w:rPr>
        <w:t>,</w:t>
      </w:r>
      <w:r>
        <w:rPr>
          <w:rFonts w:hint="eastAsia" w:ascii="仿宋" w:hAnsi="仿宋" w:eastAsia="仿宋" w:cs="Times New Roman"/>
          <w:bCs w:val="0"/>
          <w:color w:val="auto"/>
          <w:highlight w:val="none"/>
          <w:lang w:eastAsia="zh-CN"/>
        </w:rPr>
        <w:t>封口处均需加盖骑缝章。商务文件和技术文件盖章扫描P</w:t>
      </w:r>
      <w:r>
        <w:rPr>
          <w:rFonts w:ascii="仿宋" w:hAnsi="仿宋" w:eastAsia="仿宋" w:cs="Times New Roman"/>
          <w:bCs w:val="0"/>
          <w:color w:val="auto"/>
          <w:highlight w:val="none"/>
          <w:lang w:eastAsia="zh-CN"/>
        </w:rPr>
        <w:t>DF版本（需有相应页码）</w:t>
      </w:r>
      <w:r>
        <w:rPr>
          <w:rFonts w:hint="eastAsia" w:ascii="仿宋" w:hAnsi="仿宋" w:eastAsia="仿宋" w:cs="Times New Roman"/>
          <w:b/>
          <w:bCs w:val="0"/>
          <w:color w:val="auto"/>
          <w:highlight w:val="none"/>
          <w:lang w:eastAsia="zh-CN"/>
        </w:rPr>
        <w:t>电子</w:t>
      </w:r>
      <w:r>
        <w:rPr>
          <w:rFonts w:ascii="仿宋" w:hAnsi="仿宋" w:eastAsia="仿宋" w:cs="Times New Roman"/>
          <w:b/>
          <w:bCs w:val="0"/>
          <w:color w:val="auto"/>
          <w:highlight w:val="none"/>
          <w:lang w:eastAsia="zh-CN"/>
        </w:rPr>
        <w:t>U盘</w:t>
      </w:r>
      <w:r>
        <w:rPr>
          <w:rFonts w:hint="eastAsia" w:ascii="仿宋" w:hAnsi="仿宋" w:eastAsia="仿宋" w:cs="Times New Roman"/>
          <w:b/>
          <w:bCs w:val="0"/>
          <w:color w:val="auto"/>
          <w:highlight w:val="none"/>
          <w:lang w:eastAsia="zh-CN"/>
        </w:rPr>
        <w:t>拷贝一份</w:t>
      </w:r>
      <w:r>
        <w:rPr>
          <w:rFonts w:hint="eastAsia" w:ascii="仿宋" w:hAnsi="仿宋" w:eastAsia="仿宋" w:cs="Times New Roman"/>
          <w:bCs w:val="0"/>
          <w:color w:val="auto"/>
          <w:highlight w:val="none"/>
          <w:lang w:eastAsia="zh-CN"/>
        </w:rPr>
        <w:t>（随商务文件包装）。</w:t>
      </w:r>
    </w:p>
    <w:p w14:paraId="06841BBB">
      <w:pPr>
        <w:pStyle w:val="72"/>
        <w:spacing w:beforeLines="0" w:afterLines="0"/>
        <w:ind w:firstLine="280" w:firstLineChars="100"/>
        <w:rPr>
          <w:rFonts w:ascii="仿宋" w:hAnsi="仿宋" w:eastAsia="仿宋" w:cs="Times New Roman"/>
          <w:bCs w:val="0"/>
          <w:color w:val="auto"/>
          <w:highlight w:val="none"/>
          <w:lang w:eastAsia="zh-CN"/>
        </w:rPr>
      </w:pPr>
      <w:r>
        <w:rPr>
          <w:rFonts w:hint="eastAsia" w:ascii="仿宋" w:hAnsi="仿宋" w:eastAsia="仿宋" w:cs="Times New Roman"/>
          <w:bCs w:val="0"/>
          <w:color w:val="auto"/>
          <w:highlight w:val="none"/>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ascii="仿宋" w:hAnsi="仿宋" w:eastAsia="仿宋" w:cs="Times New Roman"/>
          <w:bCs w:val="0"/>
          <w:color w:val="auto"/>
          <w:highlight w:val="none"/>
          <w:lang w:eastAsia="zh-CN"/>
        </w:rPr>
      </w:pPr>
      <w:r>
        <w:rPr>
          <w:rFonts w:hint="eastAsia" w:ascii="仿宋" w:hAnsi="仿宋" w:eastAsia="仿宋" w:cs="Times New Roman"/>
          <w:bCs w:val="0"/>
          <w:color w:val="auto"/>
          <w:highlight w:val="none"/>
          <w:lang w:eastAsia="zh-CN"/>
        </w:rPr>
        <w:t>6.在外层包封上应写明参比人的名称与地址、邮政编码，以便参审出现逾期送达时能原封退回。具体样式如下：</w:t>
      </w:r>
    </w:p>
    <w:p w14:paraId="4DD82365">
      <w:pPr>
        <w:rPr>
          <w:rFonts w:ascii="仿宋" w:hAnsi="仿宋" w:eastAsia="仿宋"/>
          <w:color w:val="auto"/>
          <w:sz w:val="28"/>
          <w:szCs w:val="28"/>
          <w:highlight w:val="none"/>
          <w:lang w:eastAsia="zh-CN"/>
        </w:rPr>
      </w:pPr>
      <w:r>
        <w:rPr>
          <w:rFonts w:ascii="仿宋" w:hAnsi="仿宋" w:eastAsia="仿宋"/>
          <w:color w:val="auto"/>
          <w:sz w:val="28"/>
          <w:szCs w:val="28"/>
          <w:highlight w:val="none"/>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ascii="仿宋" w:hAnsi="仿宋" w:eastAsia="仿宋"/>
          <w:color w:val="auto"/>
          <w:sz w:val="28"/>
          <w:szCs w:val="28"/>
          <w:highlight w:val="none"/>
          <w:lang w:eastAsia="zh-CN"/>
        </w:rPr>
      </w:pPr>
    </w:p>
    <w:p w14:paraId="3C64D4BF">
      <w:pPr>
        <w:rPr>
          <w:rFonts w:ascii="仿宋" w:hAnsi="仿宋" w:eastAsia="仿宋"/>
          <w:color w:val="auto"/>
          <w:sz w:val="28"/>
          <w:szCs w:val="28"/>
          <w:highlight w:val="none"/>
          <w:lang w:eastAsia="zh-CN"/>
        </w:rPr>
      </w:pPr>
    </w:p>
    <w:p w14:paraId="03427BA8">
      <w:pPr>
        <w:rPr>
          <w:rFonts w:ascii="仿宋" w:hAnsi="仿宋" w:eastAsia="仿宋"/>
          <w:color w:val="auto"/>
          <w:sz w:val="28"/>
          <w:szCs w:val="28"/>
          <w:highlight w:val="none"/>
          <w:lang w:eastAsia="zh-CN"/>
        </w:rPr>
      </w:pPr>
    </w:p>
    <w:p w14:paraId="288E8E76">
      <w:pPr>
        <w:pStyle w:val="72"/>
        <w:spacing w:beforeLines="0" w:afterLines="0" w:line="240" w:lineRule="auto"/>
        <w:ind w:firstLine="0" w:firstLineChars="0"/>
        <w:rPr>
          <w:rFonts w:ascii="仿宋" w:hAnsi="仿宋" w:eastAsia="仿宋" w:cs="Times New Roman"/>
          <w:bCs w:val="0"/>
          <w:color w:val="auto"/>
          <w:highlight w:val="none"/>
          <w:lang w:eastAsia="zh-CN"/>
        </w:rPr>
      </w:pPr>
    </w:p>
    <w:p w14:paraId="5B5FBAD7">
      <w:pPr>
        <w:jc w:val="center"/>
        <w:rPr>
          <w:rFonts w:ascii="仿宋" w:hAnsi="仿宋" w:eastAsia="仿宋" w:cs="方正小标宋简体"/>
          <w:b/>
          <w:color w:val="auto"/>
          <w:sz w:val="44"/>
          <w:szCs w:val="44"/>
          <w:highlight w:val="none"/>
          <w:lang w:eastAsia="zh-CN"/>
        </w:rPr>
      </w:pPr>
      <w:r>
        <w:rPr>
          <w:rFonts w:hint="eastAsia" w:ascii="仿宋" w:hAnsi="仿宋" w:eastAsia="仿宋" w:cs="Times New Roman"/>
          <w:b/>
          <w:color w:val="auto"/>
          <w:sz w:val="36"/>
          <w:szCs w:val="36"/>
          <w:highlight w:val="none"/>
          <w:lang w:eastAsia="zh-CN"/>
        </w:rPr>
        <w:br w:type="page"/>
      </w:r>
      <w:r>
        <w:rPr>
          <w:rFonts w:hint="eastAsia" w:ascii="仿宋" w:hAnsi="仿宋" w:eastAsia="仿宋" w:cs="方正小标宋简体"/>
          <w:b/>
          <w:color w:val="auto"/>
          <w:sz w:val="44"/>
          <w:szCs w:val="44"/>
          <w:highlight w:val="none"/>
          <w:lang w:eastAsia="zh-CN"/>
        </w:rPr>
        <w:t>福建福海创石油化工有限公司</w:t>
      </w:r>
    </w:p>
    <w:p w14:paraId="32FFE4B2">
      <w:pPr>
        <w:pStyle w:val="25"/>
        <w:spacing w:line="615" w:lineRule="exact"/>
        <w:jc w:val="center"/>
        <w:rPr>
          <w:rFonts w:ascii="仿宋" w:hAnsi="仿宋" w:eastAsia="仿宋" w:cs="方正小标宋简体"/>
          <w:b/>
          <w:color w:val="auto"/>
          <w:sz w:val="44"/>
          <w:szCs w:val="44"/>
          <w:highlight w:val="none"/>
          <w:lang w:eastAsia="zh-CN"/>
        </w:rPr>
      </w:pPr>
    </w:p>
    <w:p w14:paraId="629B2F1A">
      <w:pPr>
        <w:pStyle w:val="25"/>
        <w:spacing w:line="615" w:lineRule="exact"/>
        <w:jc w:val="center"/>
        <w:rPr>
          <w:rFonts w:ascii="仿宋" w:hAnsi="仿宋" w:eastAsia="仿宋" w:cs="方正小标宋简体"/>
          <w:b/>
          <w:color w:val="auto"/>
          <w:sz w:val="44"/>
          <w:szCs w:val="44"/>
          <w:highlight w:val="none"/>
          <w:lang w:eastAsia="zh-CN"/>
        </w:rPr>
      </w:pPr>
    </w:p>
    <w:p w14:paraId="028FB8B4">
      <w:pPr>
        <w:spacing w:line="1000" w:lineRule="exact"/>
        <w:jc w:val="center"/>
        <w:rPr>
          <w:rFonts w:hint="eastAsia" w:ascii="仿宋" w:hAnsi="仿宋" w:eastAsia="仿宋" w:cs="宋体"/>
          <w:b/>
          <w:color w:val="auto"/>
          <w:sz w:val="36"/>
          <w:szCs w:val="36"/>
          <w:highlight w:val="none"/>
          <w:lang w:eastAsia="zh-CN"/>
        </w:rPr>
      </w:pPr>
      <w:r>
        <w:rPr>
          <w:rFonts w:hint="eastAsia" w:ascii="仿宋" w:hAnsi="仿宋" w:eastAsia="仿宋" w:cs="宋体"/>
          <w:b/>
          <w:color w:val="auto"/>
          <w:sz w:val="36"/>
          <w:szCs w:val="36"/>
          <w:highlight w:val="none"/>
          <w:lang w:eastAsia="zh-CN"/>
        </w:rPr>
        <w:t>开展生产船燃的进料加工业务服务出具专业报告项目</w:t>
      </w:r>
    </w:p>
    <w:p w14:paraId="616B8B71">
      <w:pPr>
        <w:spacing w:line="1000" w:lineRule="exact"/>
        <w:jc w:val="center"/>
        <w:rPr>
          <w:rFonts w:ascii="仿宋" w:hAnsi="仿宋" w:eastAsia="仿宋"/>
          <w:b/>
          <w:color w:val="auto"/>
          <w:sz w:val="44"/>
          <w:szCs w:val="44"/>
          <w:highlight w:val="none"/>
          <w:lang w:eastAsia="zh-CN"/>
        </w:rPr>
      </w:pPr>
    </w:p>
    <w:p w14:paraId="5EAD88C3">
      <w:pPr>
        <w:spacing w:line="1000" w:lineRule="exact"/>
        <w:jc w:val="center"/>
        <w:rPr>
          <w:rFonts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参比</w:t>
      </w:r>
      <w:r>
        <w:rPr>
          <w:rFonts w:ascii="仿宋" w:hAnsi="仿宋" w:eastAsia="仿宋"/>
          <w:b/>
          <w:color w:val="auto"/>
          <w:sz w:val="44"/>
          <w:szCs w:val="44"/>
          <w:highlight w:val="none"/>
          <w:lang w:eastAsia="zh-CN"/>
        </w:rPr>
        <w:t>文件</w:t>
      </w:r>
    </w:p>
    <w:p w14:paraId="42648399">
      <w:pPr>
        <w:pStyle w:val="2"/>
        <w:rPr>
          <w:rFonts w:ascii="仿宋" w:hAnsi="仿宋" w:eastAsia="仿宋"/>
          <w:color w:val="auto"/>
          <w:highlight w:val="none"/>
        </w:rPr>
      </w:pPr>
    </w:p>
    <w:p w14:paraId="25195E7F">
      <w:pPr>
        <w:pStyle w:val="25"/>
        <w:rPr>
          <w:rFonts w:ascii="仿宋" w:hAnsi="仿宋" w:eastAsia="仿宋"/>
          <w:color w:val="auto"/>
          <w:highlight w:val="none"/>
          <w:lang w:eastAsia="zh-CN"/>
        </w:rPr>
      </w:pPr>
    </w:p>
    <w:p w14:paraId="594B06C7">
      <w:pPr>
        <w:pStyle w:val="25"/>
        <w:rPr>
          <w:rFonts w:ascii="仿宋" w:hAnsi="仿宋" w:eastAsia="仿宋"/>
          <w:color w:val="auto"/>
          <w:highlight w:val="none"/>
          <w:lang w:eastAsia="zh-CN"/>
        </w:rPr>
      </w:pPr>
    </w:p>
    <w:p w14:paraId="2E4FD590">
      <w:pPr>
        <w:pStyle w:val="25"/>
        <w:rPr>
          <w:rFonts w:ascii="仿宋" w:hAnsi="仿宋" w:eastAsia="仿宋"/>
          <w:color w:val="auto"/>
          <w:highlight w:val="none"/>
          <w:lang w:eastAsia="zh-CN"/>
        </w:rPr>
      </w:pPr>
    </w:p>
    <w:p w14:paraId="47C0C3EA">
      <w:pPr>
        <w:pStyle w:val="25"/>
        <w:rPr>
          <w:rFonts w:ascii="仿宋" w:hAnsi="仿宋" w:eastAsia="仿宋"/>
          <w:color w:val="auto"/>
          <w:highlight w:val="none"/>
          <w:lang w:eastAsia="zh-CN"/>
        </w:rPr>
      </w:pPr>
    </w:p>
    <w:p w14:paraId="4928B03D">
      <w:pPr>
        <w:pStyle w:val="25"/>
        <w:rPr>
          <w:rFonts w:ascii="仿宋" w:hAnsi="仿宋" w:eastAsia="仿宋"/>
          <w:color w:val="auto"/>
          <w:highlight w:val="none"/>
          <w:lang w:eastAsia="zh-CN"/>
        </w:rPr>
      </w:pPr>
    </w:p>
    <w:p w14:paraId="766AE337">
      <w:pPr>
        <w:pStyle w:val="25"/>
        <w:rPr>
          <w:rFonts w:ascii="仿宋" w:hAnsi="仿宋" w:eastAsia="仿宋"/>
          <w:color w:val="auto"/>
          <w:highlight w:val="none"/>
          <w:lang w:eastAsia="zh-CN"/>
        </w:rPr>
      </w:pPr>
    </w:p>
    <w:p w14:paraId="7D9BAEF6">
      <w:pPr>
        <w:pStyle w:val="25"/>
        <w:rPr>
          <w:rFonts w:ascii="仿宋" w:hAnsi="仿宋" w:eastAsia="仿宋"/>
          <w:color w:val="auto"/>
          <w:highlight w:val="none"/>
          <w:lang w:eastAsia="zh-CN"/>
        </w:rPr>
      </w:pPr>
    </w:p>
    <w:p w14:paraId="38FDF1E5">
      <w:pPr>
        <w:pStyle w:val="25"/>
        <w:rPr>
          <w:rFonts w:ascii="仿宋" w:hAnsi="仿宋" w:eastAsia="仿宋"/>
          <w:b/>
          <w:bCs/>
          <w:color w:val="auto"/>
          <w:sz w:val="32"/>
          <w:szCs w:val="32"/>
          <w:highlight w:val="none"/>
          <w:lang w:eastAsia="zh-CN"/>
        </w:rPr>
      </w:pPr>
    </w:p>
    <w:p w14:paraId="0637ED31">
      <w:pPr>
        <w:pStyle w:val="25"/>
        <w:rPr>
          <w:rFonts w:ascii="仿宋" w:hAnsi="仿宋" w:eastAsia="仿宋"/>
          <w:b/>
          <w:bCs/>
          <w:color w:val="auto"/>
          <w:sz w:val="32"/>
          <w:szCs w:val="32"/>
          <w:highlight w:val="none"/>
          <w:lang w:eastAsia="zh-CN"/>
        </w:rPr>
      </w:pPr>
    </w:p>
    <w:p w14:paraId="75D14603">
      <w:pPr>
        <w:pStyle w:val="25"/>
        <w:rPr>
          <w:rFonts w:ascii="仿宋" w:hAnsi="仿宋" w:eastAsia="仿宋"/>
          <w:b/>
          <w:bCs/>
          <w:color w:val="auto"/>
          <w:sz w:val="32"/>
          <w:szCs w:val="32"/>
          <w:highlight w:val="none"/>
          <w:lang w:eastAsia="zh-CN"/>
        </w:rPr>
      </w:pPr>
    </w:p>
    <w:p w14:paraId="2A932C26">
      <w:pPr>
        <w:pStyle w:val="25"/>
        <w:rPr>
          <w:rFonts w:ascii="仿宋" w:hAnsi="仿宋" w:eastAsia="仿宋"/>
          <w:b/>
          <w:bCs/>
          <w:color w:val="auto"/>
          <w:sz w:val="32"/>
          <w:szCs w:val="36"/>
          <w:highlight w:val="none"/>
          <w:lang w:eastAsia="zh-CN"/>
        </w:rPr>
      </w:pPr>
    </w:p>
    <w:p w14:paraId="6B116761">
      <w:pPr>
        <w:pStyle w:val="25"/>
        <w:jc w:val="center"/>
        <w:rPr>
          <w:rFonts w:ascii="仿宋" w:hAnsi="仿宋" w:eastAsia="仿宋"/>
          <w:b/>
          <w:bCs/>
          <w:color w:val="auto"/>
          <w:sz w:val="32"/>
          <w:szCs w:val="32"/>
          <w:highlight w:val="none"/>
          <w:lang w:eastAsia="zh-CN"/>
        </w:rPr>
      </w:pPr>
      <w:r>
        <w:rPr>
          <w:rFonts w:hint="eastAsia" w:ascii="仿宋" w:hAnsi="仿宋" w:eastAsia="仿宋"/>
          <w:b/>
          <w:bCs/>
          <w:color w:val="auto"/>
          <w:w w:val="95"/>
          <w:sz w:val="32"/>
          <w:szCs w:val="32"/>
          <w:highlight w:val="none"/>
          <w:lang w:eastAsia="zh-CN"/>
        </w:rPr>
        <w:t>参比</w:t>
      </w:r>
      <w:r>
        <w:rPr>
          <w:rFonts w:ascii="仿宋" w:hAnsi="仿宋" w:eastAsia="仿宋"/>
          <w:b/>
          <w:bCs/>
          <w:color w:val="auto"/>
          <w:w w:val="95"/>
          <w:sz w:val="32"/>
          <w:szCs w:val="32"/>
          <w:highlight w:val="none"/>
          <w:lang w:eastAsia="zh-CN"/>
        </w:rPr>
        <w:t>人：</w:t>
      </w:r>
      <w:r>
        <w:rPr>
          <w:rFonts w:hint="eastAsia" w:ascii="仿宋" w:hAnsi="仿宋" w:eastAsia="仿宋"/>
          <w:b/>
          <w:bCs/>
          <w:color w:val="auto"/>
          <w:sz w:val="32"/>
          <w:szCs w:val="32"/>
          <w:highlight w:val="none"/>
          <w:lang w:eastAsia="zh-CN"/>
        </w:rPr>
        <w:t>*</w:t>
      </w:r>
      <w:r>
        <w:rPr>
          <w:rFonts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eastAsia="zh-CN"/>
        </w:rPr>
        <w:t>有限公司</w:t>
      </w:r>
    </w:p>
    <w:p w14:paraId="15B7F049">
      <w:pPr>
        <w:pStyle w:val="25"/>
        <w:jc w:val="center"/>
        <w:rPr>
          <w:rFonts w:ascii="仿宋" w:hAnsi="仿宋" w:eastAsia="仿宋"/>
          <w:b/>
          <w:bCs/>
          <w:color w:val="auto"/>
          <w:w w:val="95"/>
          <w:sz w:val="32"/>
          <w:highlight w:val="none"/>
          <w:lang w:eastAsia="zh-CN"/>
        </w:rPr>
      </w:pPr>
      <w:r>
        <w:rPr>
          <w:rFonts w:hint="eastAsia" w:ascii="仿宋" w:hAnsi="仿宋" w:eastAsia="仿宋"/>
          <w:b/>
          <w:bCs/>
          <w:color w:val="auto"/>
          <w:w w:val="95"/>
          <w:sz w:val="32"/>
          <w:highlight w:val="none"/>
          <w:lang w:eastAsia="zh-CN"/>
        </w:rPr>
        <w:t xml:space="preserve"> 20</w:t>
      </w:r>
      <w:r>
        <w:rPr>
          <w:rFonts w:ascii="仿宋" w:hAnsi="仿宋" w:eastAsia="仿宋"/>
          <w:b/>
          <w:bCs/>
          <w:color w:val="auto"/>
          <w:w w:val="95"/>
          <w:sz w:val="32"/>
          <w:highlight w:val="none"/>
          <w:lang w:eastAsia="zh-CN"/>
        </w:rPr>
        <w:t>2</w:t>
      </w:r>
      <w:r>
        <w:rPr>
          <w:rFonts w:hint="eastAsia" w:ascii="仿宋" w:hAnsi="仿宋" w:eastAsia="仿宋"/>
          <w:b/>
          <w:bCs/>
          <w:color w:val="auto"/>
          <w:w w:val="95"/>
          <w:sz w:val="32"/>
          <w:highlight w:val="none"/>
          <w:lang w:eastAsia="zh-CN"/>
        </w:rPr>
        <w:t>5</w:t>
      </w:r>
      <w:r>
        <w:rPr>
          <w:rFonts w:ascii="仿宋" w:hAnsi="仿宋" w:eastAsia="仿宋"/>
          <w:b/>
          <w:bCs/>
          <w:color w:val="auto"/>
          <w:w w:val="95"/>
          <w:sz w:val="32"/>
          <w:highlight w:val="none"/>
          <w:lang w:eastAsia="zh-CN"/>
        </w:rPr>
        <w:t>年</w:t>
      </w:r>
      <w:r>
        <w:rPr>
          <w:rFonts w:hint="eastAsia" w:ascii="仿宋" w:hAnsi="仿宋" w:eastAsia="仿宋"/>
          <w:b/>
          <w:bCs/>
          <w:color w:val="auto"/>
          <w:w w:val="95"/>
          <w:sz w:val="32"/>
          <w:highlight w:val="none"/>
          <w:lang w:val="en-US" w:eastAsia="zh-CN"/>
        </w:rPr>
        <w:t>7</w:t>
      </w:r>
      <w:r>
        <w:rPr>
          <w:rFonts w:ascii="仿宋" w:hAnsi="仿宋" w:eastAsia="仿宋"/>
          <w:b/>
          <w:bCs/>
          <w:color w:val="auto"/>
          <w:w w:val="95"/>
          <w:sz w:val="32"/>
          <w:highlight w:val="none"/>
          <w:lang w:eastAsia="zh-CN"/>
        </w:rPr>
        <w:t>月</w:t>
      </w:r>
    </w:p>
    <w:p w14:paraId="4C89DBF0">
      <w:pPr>
        <w:pStyle w:val="10"/>
        <w:jc w:val="both"/>
        <w:rPr>
          <w:rFonts w:ascii="仿宋" w:hAnsi="仿宋" w:eastAsia="仿宋"/>
          <w:b/>
          <w:color w:val="auto"/>
          <w:sz w:val="36"/>
          <w:szCs w:val="36"/>
          <w:highlight w:val="none"/>
        </w:rPr>
      </w:pPr>
    </w:p>
    <w:p w14:paraId="5FC76199">
      <w:pPr>
        <w:spacing w:line="360" w:lineRule="auto"/>
        <w:ind w:firstLine="3292" w:firstLineChars="911"/>
        <w:rPr>
          <w:rFonts w:ascii="仿宋" w:hAnsi="仿宋" w:eastAsia="仿宋" w:cs="Times New Roman"/>
          <w:b/>
          <w:color w:val="auto"/>
          <w:sz w:val="36"/>
          <w:szCs w:val="36"/>
          <w:highlight w:val="none"/>
          <w:lang w:eastAsia="zh-CN"/>
        </w:rPr>
      </w:pPr>
    </w:p>
    <w:p w14:paraId="47C350A0">
      <w:pPr>
        <w:pStyle w:val="3"/>
        <w:rPr>
          <w:color w:val="auto"/>
          <w:highlight w:val="none"/>
          <w:lang w:eastAsia="zh-CN"/>
        </w:rPr>
      </w:pPr>
    </w:p>
    <w:p w14:paraId="2AF8E5D7">
      <w:pPr>
        <w:rPr>
          <w:color w:val="auto"/>
          <w:highlight w:val="none"/>
          <w:lang w:eastAsia="zh-CN"/>
        </w:rPr>
      </w:pPr>
    </w:p>
    <w:p w14:paraId="7EF81B7F">
      <w:pPr>
        <w:pStyle w:val="3"/>
        <w:rPr>
          <w:rFonts w:ascii="仿宋" w:hAnsi="仿宋" w:eastAsia="仿宋" w:cs="Times New Roman"/>
          <w:color w:val="auto"/>
          <w:sz w:val="36"/>
          <w:szCs w:val="36"/>
          <w:highlight w:val="none"/>
          <w:lang w:eastAsia="zh-CN"/>
        </w:rPr>
      </w:pPr>
    </w:p>
    <w:p w14:paraId="0F43CD14">
      <w:pPr>
        <w:rPr>
          <w:rFonts w:ascii="仿宋" w:hAnsi="仿宋" w:eastAsia="仿宋" w:cs="Times New Roman"/>
          <w:b/>
          <w:color w:val="auto"/>
          <w:sz w:val="36"/>
          <w:szCs w:val="36"/>
          <w:highlight w:val="none"/>
          <w:lang w:eastAsia="zh-CN"/>
        </w:rPr>
      </w:pPr>
    </w:p>
    <w:p w14:paraId="13F8151B">
      <w:pPr>
        <w:spacing w:line="360" w:lineRule="auto"/>
        <w:ind w:firstLine="3292" w:firstLineChars="911"/>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商务报价函</w:t>
      </w:r>
    </w:p>
    <w:p w14:paraId="29ED40C3">
      <w:pPr>
        <w:spacing w:line="360" w:lineRule="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致：福建福海创石油化工有限公司</w:t>
      </w:r>
    </w:p>
    <w:p w14:paraId="0DDA3BAE">
      <w:pPr>
        <w:spacing w:line="360" w:lineRule="auto"/>
        <w:ind w:firstLine="420" w:firstLineChars="150"/>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在充分研究福建福海创石油化工有限公司</w:t>
      </w:r>
      <w:r>
        <w:rPr>
          <w:rFonts w:hint="eastAsia" w:ascii="Times New Roman" w:hAnsi="Times New Roman" w:eastAsia="宋体" w:cs="Times New Roman"/>
          <w:color w:val="auto"/>
          <w:sz w:val="28"/>
          <w:szCs w:val="28"/>
          <w:highlight w:val="none"/>
          <w:lang w:eastAsia="zh-CN"/>
        </w:rPr>
        <w:t>开展生产船燃的进料加工业务服务出具专业报告项目</w:t>
      </w:r>
      <w:r>
        <w:rPr>
          <w:rFonts w:hint="eastAsia" w:ascii="Times New Roman" w:hAnsi="Times New Roman" w:eastAsia="宋体" w:cs="Times New Roman"/>
          <w:color w:val="auto"/>
          <w:sz w:val="28"/>
          <w:szCs w:val="28"/>
          <w:highlight w:val="none"/>
          <w:lang w:val="en-US" w:eastAsia="zh-CN"/>
        </w:rPr>
        <w:t>询比采购</w:t>
      </w:r>
      <w:r>
        <w:rPr>
          <w:rFonts w:ascii="Times New Roman" w:hAnsi="Times New Roman" w:cs="Times New Roman"/>
          <w:color w:val="auto"/>
          <w:sz w:val="28"/>
          <w:szCs w:val="28"/>
          <w:highlight w:val="none"/>
          <w:lang w:eastAsia="zh-CN"/>
        </w:rPr>
        <w:t>文件的全部内容后，我方愿以以下报价，严格按照自主</w:t>
      </w:r>
      <w:r>
        <w:rPr>
          <w:rFonts w:hint="eastAsia" w:ascii="Times New Roman" w:hAnsi="Times New Roman" w:cs="Times New Roman"/>
          <w:color w:val="auto"/>
          <w:sz w:val="28"/>
          <w:szCs w:val="28"/>
          <w:highlight w:val="none"/>
          <w:lang w:val="en-US" w:eastAsia="zh-CN"/>
        </w:rPr>
        <w:t>询</w:t>
      </w:r>
      <w:r>
        <w:rPr>
          <w:rFonts w:ascii="Times New Roman" w:hAnsi="Times New Roman" w:cs="Times New Roman"/>
          <w:color w:val="auto"/>
          <w:sz w:val="28"/>
          <w:szCs w:val="28"/>
          <w:highlight w:val="none"/>
          <w:lang w:eastAsia="zh-CN"/>
        </w:rPr>
        <w:t>选文件的要求，交付本项目其中的任何缺陷。</w:t>
      </w:r>
    </w:p>
    <w:p w14:paraId="08303697">
      <w:pPr>
        <w:spacing w:line="360" w:lineRule="auto"/>
        <w:rPr>
          <w:rFonts w:ascii="Times New Roman" w:hAnsi="Times New Roman" w:cs="Times New Roman"/>
          <w:color w:val="auto"/>
          <w:sz w:val="28"/>
          <w:szCs w:val="28"/>
          <w:highlight w:val="none"/>
          <w:lang w:eastAsia="zh-CN"/>
        </w:rPr>
      </w:pPr>
      <w:r>
        <w:rPr>
          <w:rFonts w:ascii="Times New Roman" w:hAnsi="Times New Roman" w:cs="Times New Roman"/>
          <w:b/>
          <w:bCs/>
          <w:color w:val="auto"/>
          <w:sz w:val="28"/>
          <w:szCs w:val="28"/>
          <w:highlight w:val="none"/>
          <w:lang w:eastAsia="zh-CN"/>
        </w:rPr>
        <w:t>本项目含税包干固定总价</w:t>
      </w:r>
      <w:r>
        <w:rPr>
          <w:rFonts w:ascii="Times New Roman" w:hAnsi="Times New Roman" w:cs="Times New Roman"/>
          <w:color w:val="auto"/>
          <w:sz w:val="28"/>
          <w:szCs w:val="28"/>
          <w:highlight w:val="none"/>
          <w:lang w:eastAsia="zh-CN"/>
        </w:rPr>
        <w:t xml:space="preserve">（大写）： </w:t>
      </w:r>
      <w:r>
        <w:rPr>
          <w:rFonts w:ascii="Times New Roman" w:hAnsi="Times New Roman" w:cs="Times New Roman"/>
          <w:color w:val="auto"/>
          <w:sz w:val="28"/>
          <w:szCs w:val="28"/>
          <w:highlight w:val="none"/>
          <w:u w:val="single"/>
          <w:lang w:eastAsia="zh-CN"/>
        </w:rPr>
        <w:t xml:space="preserve">                                                     </w:t>
      </w:r>
    </w:p>
    <w:p w14:paraId="3CAAF10F">
      <w:pPr>
        <w:spacing w:line="360" w:lineRule="auto"/>
        <w:ind w:firstLine="3220" w:firstLineChars="1150"/>
        <w:rPr>
          <w:rFonts w:ascii="Times New Roman" w:hAnsi="Times New Roman" w:cs="Times New Roman"/>
          <w:color w:val="auto"/>
          <w:sz w:val="28"/>
          <w:szCs w:val="28"/>
          <w:highlight w:val="none"/>
          <w:u w:val="single"/>
          <w:lang w:eastAsia="zh-CN"/>
        </w:rPr>
      </w:pPr>
      <w:r>
        <w:rPr>
          <w:rFonts w:ascii="Times New Roman" w:hAnsi="Times New Roman" w:cs="Times New Roman"/>
          <w:color w:val="auto"/>
          <w:sz w:val="28"/>
          <w:szCs w:val="28"/>
          <w:highlight w:val="none"/>
          <w:lang w:eastAsia="zh-CN"/>
        </w:rPr>
        <w:t>（小写）：</w:t>
      </w:r>
      <w:r>
        <w:rPr>
          <w:rFonts w:ascii="Times New Roman" w:hAnsi="Times New Roman" w:cs="Times New Roman"/>
          <w:color w:val="auto"/>
          <w:sz w:val="28"/>
          <w:szCs w:val="28"/>
          <w:highlight w:val="none"/>
          <w:u w:val="single"/>
          <w:lang w:eastAsia="zh-CN"/>
        </w:rPr>
        <w:t xml:space="preserve">                    元（增值税税     %） </w:t>
      </w:r>
    </w:p>
    <w:p w14:paraId="04EE9AC1">
      <w:pPr>
        <w:pStyle w:val="214"/>
        <w:spacing w:line="360" w:lineRule="auto"/>
        <w:rPr>
          <w:rFonts w:ascii="Times New Roman" w:hAnsi="Times New Roman" w:cs="Times New Roman"/>
          <w:color w:val="auto"/>
          <w:szCs w:val="24"/>
          <w:highlight w:val="none"/>
          <w:lang w:eastAsia="zh-CN"/>
        </w:rPr>
      </w:pPr>
    </w:p>
    <w:p w14:paraId="50B38A78">
      <w:pPr>
        <w:pStyle w:val="214"/>
        <w:spacing w:line="360" w:lineRule="auto"/>
        <w:jc w:val="left"/>
        <w:rPr>
          <w:rFonts w:ascii="Times New Roman" w:hAnsi="Times New Roman" w:cs="Times New Roman"/>
          <w:b/>
          <w:color w:val="auto"/>
          <w:sz w:val="32"/>
          <w:szCs w:val="32"/>
          <w:highlight w:val="none"/>
          <w:lang w:eastAsia="zh-CN"/>
        </w:rPr>
      </w:pPr>
    </w:p>
    <w:tbl>
      <w:tblPr>
        <w:tblStyle w:val="46"/>
        <w:tblW w:w="9924" w:type="dxa"/>
        <w:tblInd w:w="-4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10"/>
        <w:gridCol w:w="3118"/>
        <w:gridCol w:w="6096"/>
      </w:tblGrid>
      <w:tr w14:paraId="2CAD0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tblHeader/>
        </w:trPr>
        <w:tc>
          <w:tcPr>
            <w:tcW w:w="710" w:type="dxa"/>
            <w:tcBorders>
              <w:top w:val="single" w:color="auto" w:sz="2" w:space="0"/>
              <w:left w:val="single" w:color="auto" w:sz="2" w:space="0"/>
              <w:bottom w:val="single" w:color="auto" w:sz="2" w:space="0"/>
              <w:right w:val="single" w:color="auto" w:sz="2" w:space="0"/>
            </w:tcBorders>
            <w:vAlign w:val="center"/>
          </w:tcPr>
          <w:p w14:paraId="12D40BD1">
            <w:pPr>
              <w:pStyle w:val="215"/>
              <w:spacing w:line="360" w:lineRule="auto"/>
              <w:rPr>
                <w:rFonts w:ascii="Times New Roman"/>
                <w:color w:val="auto"/>
                <w:kern w:val="2"/>
                <w:sz w:val="24"/>
                <w:szCs w:val="24"/>
                <w:highlight w:val="none"/>
                <w:lang w:eastAsia="zh-CN"/>
              </w:rPr>
            </w:pPr>
            <w:r>
              <w:rPr>
                <w:rFonts w:ascii="Times New Roman"/>
                <w:color w:val="auto"/>
                <w:kern w:val="2"/>
                <w:sz w:val="24"/>
                <w:szCs w:val="24"/>
                <w:highlight w:val="none"/>
                <w:lang w:eastAsia="zh-CN"/>
              </w:rPr>
              <w:t>序号</w:t>
            </w:r>
          </w:p>
        </w:tc>
        <w:tc>
          <w:tcPr>
            <w:tcW w:w="3118" w:type="dxa"/>
            <w:tcBorders>
              <w:top w:val="single" w:color="auto" w:sz="2" w:space="0"/>
              <w:left w:val="single" w:color="auto" w:sz="2" w:space="0"/>
              <w:bottom w:val="single" w:color="auto" w:sz="2" w:space="0"/>
              <w:right w:val="single" w:color="auto" w:sz="2" w:space="0"/>
            </w:tcBorders>
            <w:vAlign w:val="center"/>
          </w:tcPr>
          <w:p w14:paraId="7331FFFE">
            <w:pPr>
              <w:pStyle w:val="215"/>
              <w:spacing w:line="360" w:lineRule="auto"/>
              <w:rPr>
                <w:rFonts w:ascii="Times New Roman"/>
                <w:color w:val="auto"/>
                <w:kern w:val="2"/>
                <w:sz w:val="24"/>
                <w:szCs w:val="24"/>
                <w:highlight w:val="none"/>
                <w:lang w:eastAsia="zh-CN"/>
              </w:rPr>
            </w:pPr>
            <w:r>
              <w:rPr>
                <w:rFonts w:ascii="Times New Roman"/>
                <w:color w:val="auto"/>
                <w:kern w:val="2"/>
                <w:sz w:val="24"/>
                <w:szCs w:val="24"/>
                <w:highlight w:val="none"/>
                <w:lang w:eastAsia="zh-CN"/>
              </w:rPr>
              <w:t>项目</w:t>
            </w:r>
          </w:p>
        </w:tc>
        <w:tc>
          <w:tcPr>
            <w:tcW w:w="6096" w:type="dxa"/>
            <w:tcBorders>
              <w:top w:val="single" w:color="auto" w:sz="2" w:space="0"/>
              <w:left w:val="single" w:color="auto" w:sz="2" w:space="0"/>
              <w:bottom w:val="single" w:color="auto" w:sz="2" w:space="0"/>
              <w:right w:val="single" w:color="auto" w:sz="2" w:space="0"/>
            </w:tcBorders>
            <w:vAlign w:val="center"/>
          </w:tcPr>
          <w:p w14:paraId="6036AD8E">
            <w:pPr>
              <w:pStyle w:val="215"/>
              <w:spacing w:line="360" w:lineRule="auto"/>
              <w:rPr>
                <w:rFonts w:ascii="Times New Roman"/>
                <w:color w:val="auto"/>
                <w:kern w:val="2"/>
                <w:sz w:val="24"/>
                <w:szCs w:val="24"/>
                <w:highlight w:val="none"/>
                <w:lang w:eastAsia="zh-CN"/>
              </w:rPr>
            </w:pPr>
            <w:r>
              <w:rPr>
                <w:rFonts w:hint="eastAsia" w:ascii="Times New Roman"/>
                <w:color w:val="auto"/>
                <w:kern w:val="2"/>
                <w:sz w:val="24"/>
                <w:szCs w:val="24"/>
                <w:highlight w:val="none"/>
                <w:lang w:eastAsia="zh-CN"/>
              </w:rPr>
              <w:t>项目内容</w:t>
            </w:r>
          </w:p>
        </w:tc>
      </w:tr>
      <w:tr w14:paraId="3CF92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98" w:hRule="atLeast"/>
        </w:trPr>
        <w:tc>
          <w:tcPr>
            <w:tcW w:w="710" w:type="dxa"/>
            <w:tcBorders>
              <w:top w:val="single" w:color="auto" w:sz="2" w:space="0"/>
              <w:left w:val="single" w:color="auto" w:sz="2" w:space="0"/>
              <w:bottom w:val="single" w:color="auto" w:sz="2" w:space="0"/>
              <w:right w:val="single" w:color="auto" w:sz="2" w:space="0"/>
            </w:tcBorders>
            <w:vAlign w:val="center"/>
          </w:tcPr>
          <w:p w14:paraId="0593DC4E">
            <w:pPr>
              <w:pStyle w:val="215"/>
              <w:spacing w:line="360" w:lineRule="auto"/>
              <w:rPr>
                <w:rFonts w:ascii="Times New Roman"/>
                <w:color w:val="auto"/>
                <w:kern w:val="2"/>
                <w:sz w:val="24"/>
                <w:szCs w:val="24"/>
                <w:highlight w:val="none"/>
                <w:lang w:eastAsia="zh-CN"/>
              </w:rPr>
            </w:pPr>
            <w:r>
              <w:rPr>
                <w:rFonts w:hint="eastAsia" w:ascii="Times New Roman"/>
                <w:color w:val="auto"/>
                <w:kern w:val="2"/>
                <w:sz w:val="24"/>
                <w:szCs w:val="24"/>
                <w:highlight w:val="none"/>
                <w:lang w:eastAsia="zh-CN"/>
              </w:rPr>
              <w:t>1</w:t>
            </w:r>
          </w:p>
        </w:tc>
        <w:tc>
          <w:tcPr>
            <w:tcW w:w="3118" w:type="dxa"/>
            <w:tcBorders>
              <w:top w:val="single" w:color="auto" w:sz="2" w:space="0"/>
              <w:left w:val="single" w:color="auto" w:sz="2" w:space="0"/>
              <w:bottom w:val="single" w:color="auto" w:sz="2" w:space="0"/>
              <w:right w:val="single" w:color="auto" w:sz="2" w:space="0"/>
            </w:tcBorders>
            <w:vAlign w:val="center"/>
          </w:tcPr>
          <w:p w14:paraId="3FD07526">
            <w:pPr>
              <w:pStyle w:val="215"/>
              <w:spacing w:line="360" w:lineRule="auto"/>
              <w:jc w:val="center"/>
              <w:rPr>
                <w:rFonts w:ascii="Times New Roman"/>
                <w:color w:val="auto"/>
                <w:kern w:val="2"/>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开展生产船燃的进料加工业务服务出具专业报告项目</w:t>
            </w:r>
          </w:p>
        </w:tc>
        <w:tc>
          <w:tcPr>
            <w:tcW w:w="6096" w:type="dxa"/>
            <w:tcBorders>
              <w:top w:val="single" w:color="auto" w:sz="2" w:space="0"/>
              <w:left w:val="single" w:color="auto" w:sz="2" w:space="0"/>
              <w:right w:val="single" w:color="auto" w:sz="2" w:space="0"/>
            </w:tcBorders>
            <w:vAlign w:val="center"/>
          </w:tcPr>
          <w:p w14:paraId="110AFFD6">
            <w:pPr>
              <w:adjustRightInd w:val="0"/>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详见附件《关于燃料油(常压渣油)生产船用燃料油的</w:t>
            </w:r>
          </w:p>
          <w:p w14:paraId="7DF862F4">
            <w:pPr>
              <w:adjustRightInd w:val="0"/>
              <w:spacing w:line="360" w:lineRule="auto"/>
              <w:jc w:val="center"/>
              <w:rPr>
                <w:rFonts w:ascii="Times New Roman"/>
                <w:color w:val="auto"/>
                <w:kern w:val="2"/>
                <w:sz w:val="24"/>
                <w:szCs w:val="24"/>
                <w:highlight w:val="none"/>
                <w:lang w:eastAsia="zh-CN"/>
              </w:rPr>
            </w:pPr>
            <w:r>
              <w:rPr>
                <w:rFonts w:hint="eastAsia" w:asciiTheme="minorEastAsia" w:hAnsiTheme="minorEastAsia" w:eastAsiaTheme="minorEastAsia"/>
                <w:color w:val="auto"/>
                <w:sz w:val="24"/>
                <w:szCs w:val="24"/>
                <w:highlight w:val="none"/>
                <w:lang w:val="en-US" w:eastAsia="zh-CN"/>
              </w:rPr>
              <w:t>进料加工业务服务发包说明》</w:t>
            </w:r>
          </w:p>
        </w:tc>
      </w:tr>
    </w:tbl>
    <w:p w14:paraId="61312391">
      <w:pPr>
        <w:spacing w:line="360" w:lineRule="auto"/>
        <w:ind w:firstLine="480" w:firstLineChars="200"/>
        <w:jc w:val="right"/>
        <w:rPr>
          <w:rFonts w:ascii="Times New Roman" w:hAnsi="Times New Roman" w:cs="Times New Roman"/>
          <w:color w:val="auto"/>
          <w:sz w:val="24"/>
          <w:szCs w:val="24"/>
          <w:highlight w:val="none"/>
          <w:lang w:eastAsia="zh-CN"/>
        </w:rPr>
      </w:pPr>
    </w:p>
    <w:p w14:paraId="5D120007">
      <w:pPr>
        <w:spacing w:line="360" w:lineRule="auto"/>
        <w:ind w:firstLine="480" w:firstLineChars="200"/>
        <w:jc w:val="right"/>
        <w:rPr>
          <w:rFonts w:ascii="Times New Roman" w:hAnsi="Times New Roman" w:cs="Times New Roman"/>
          <w:color w:val="auto"/>
          <w:sz w:val="24"/>
          <w:szCs w:val="24"/>
          <w:highlight w:val="none"/>
          <w:u w:val="single"/>
          <w:lang w:eastAsia="zh-CN"/>
        </w:rPr>
      </w:pPr>
      <w:r>
        <w:rPr>
          <w:rFonts w:ascii="Times New Roman" w:hAnsi="Times New Roman" w:cs="Times New Roman"/>
          <w:color w:val="auto"/>
          <w:sz w:val="24"/>
          <w:szCs w:val="24"/>
          <w:highlight w:val="none"/>
          <w:lang w:eastAsia="zh-CN"/>
        </w:rPr>
        <w:t>参选人：</w:t>
      </w:r>
      <w:r>
        <w:rPr>
          <w:rFonts w:ascii="Times New Roman" w:hAnsi="Times New Roman" w:cs="Times New Roman"/>
          <w:color w:val="auto"/>
          <w:sz w:val="24"/>
          <w:szCs w:val="24"/>
          <w:highlight w:val="none"/>
          <w:u w:val="single"/>
          <w:lang w:eastAsia="zh-CN"/>
        </w:rPr>
        <w:t xml:space="preserve">      </w:t>
      </w:r>
      <w:r>
        <w:rPr>
          <w:rFonts w:ascii="Times New Roman" w:hAnsi="Times New Roman" w:cs="Times New Roman"/>
          <w:color w:val="auto"/>
          <w:sz w:val="24"/>
          <w:szCs w:val="24"/>
          <w:highlight w:val="none"/>
          <w:lang w:eastAsia="zh-CN"/>
        </w:rPr>
        <w:t>（加盖参选单位章）</w:t>
      </w:r>
    </w:p>
    <w:p w14:paraId="1697EB08">
      <w:pPr>
        <w:spacing w:line="360" w:lineRule="auto"/>
        <w:ind w:firstLine="480" w:firstLineChars="200"/>
        <w:jc w:val="right"/>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w:t>
      </w:r>
      <w:r>
        <w:rPr>
          <w:rFonts w:ascii="Times New Roman" w:hAnsi="Times New Roman" w:cs="Times New Roman"/>
          <w:color w:val="auto"/>
          <w:sz w:val="24"/>
          <w:szCs w:val="24"/>
          <w:highlight w:val="none"/>
          <w:u w:val="single"/>
          <w:lang w:eastAsia="zh-CN"/>
        </w:rPr>
        <w:t xml:space="preserve">                 </w:t>
      </w:r>
      <w:r>
        <w:rPr>
          <w:rFonts w:ascii="Times New Roman" w:hAnsi="Times New Roman" w:cs="Times New Roman"/>
          <w:color w:val="auto"/>
          <w:sz w:val="24"/>
          <w:szCs w:val="24"/>
          <w:highlight w:val="none"/>
          <w:lang w:eastAsia="zh-CN"/>
        </w:rPr>
        <w:t>（签字）</w:t>
      </w:r>
    </w:p>
    <w:p w14:paraId="5D204741">
      <w:pPr>
        <w:spacing w:line="360" w:lineRule="auto"/>
        <w:ind w:firstLine="480" w:firstLineChars="200"/>
        <w:jc w:val="right"/>
        <w:rPr>
          <w:rFonts w:ascii="Times New Roman" w:hAnsi="Times New Roman" w:cs="Times New Roman"/>
          <w:color w:val="auto"/>
          <w:sz w:val="24"/>
          <w:szCs w:val="24"/>
          <w:highlight w:val="none"/>
          <w:u w:val="single"/>
          <w:lang w:eastAsia="zh-CN"/>
        </w:rPr>
      </w:pPr>
      <w:r>
        <w:rPr>
          <w:rFonts w:ascii="Times New Roman" w:hAnsi="Times New Roman" w:cs="Times New Roman"/>
          <w:color w:val="auto"/>
          <w:sz w:val="24"/>
          <w:szCs w:val="24"/>
          <w:highlight w:val="none"/>
          <w:lang w:eastAsia="zh-CN"/>
        </w:rPr>
        <w:t>或其授权委托代理人：</w:t>
      </w:r>
      <w:r>
        <w:rPr>
          <w:rFonts w:ascii="Times New Roman" w:hAnsi="Times New Roman" w:cs="Times New Roman"/>
          <w:color w:val="auto"/>
          <w:sz w:val="24"/>
          <w:szCs w:val="24"/>
          <w:highlight w:val="none"/>
          <w:u w:val="single"/>
          <w:lang w:eastAsia="zh-CN"/>
        </w:rPr>
        <w:t xml:space="preserve">                 </w:t>
      </w:r>
      <w:r>
        <w:rPr>
          <w:rFonts w:ascii="Times New Roman" w:hAnsi="Times New Roman" w:cs="Times New Roman"/>
          <w:color w:val="auto"/>
          <w:sz w:val="24"/>
          <w:szCs w:val="24"/>
          <w:highlight w:val="none"/>
          <w:lang w:eastAsia="zh-CN"/>
        </w:rPr>
        <w:t>_（签字）</w:t>
      </w:r>
    </w:p>
    <w:p w14:paraId="3A5A6F0A">
      <w:pPr>
        <w:spacing w:line="360" w:lineRule="auto"/>
        <w:ind w:firstLine="480" w:firstLineChars="200"/>
        <w:jc w:val="right"/>
        <w:rPr>
          <w:rFonts w:ascii="Times New Roman" w:hAnsi="Times New Roman" w:cs="Times New Roman"/>
          <w:color w:val="auto"/>
          <w:sz w:val="24"/>
          <w:szCs w:val="24"/>
          <w:highlight w:val="none"/>
          <w:u w:val="single"/>
          <w:lang w:eastAsia="zh-CN"/>
        </w:rPr>
      </w:pPr>
      <w:r>
        <w:rPr>
          <w:rFonts w:ascii="Times New Roman" w:hAnsi="Times New Roman" w:cs="Times New Roman"/>
          <w:color w:val="auto"/>
          <w:sz w:val="24"/>
          <w:szCs w:val="24"/>
          <w:highlight w:val="none"/>
          <w:lang w:eastAsia="zh-CN"/>
        </w:rPr>
        <w:t xml:space="preserve">编制时间： </w:t>
      </w:r>
      <w:r>
        <w:rPr>
          <w:rFonts w:ascii="Times New Roman" w:hAnsi="Times New Roman" w:cs="Times New Roman"/>
          <w:color w:val="auto"/>
          <w:sz w:val="24"/>
          <w:szCs w:val="24"/>
          <w:highlight w:val="none"/>
          <w:u w:val="single"/>
          <w:lang w:eastAsia="zh-CN"/>
        </w:rPr>
        <w:t xml:space="preserve">      年   月   日</w:t>
      </w:r>
    </w:p>
    <w:p w14:paraId="3BC7C864">
      <w:pPr>
        <w:widowControl/>
        <w:autoSpaceDE/>
        <w:autoSpaceDN/>
        <w:rPr>
          <w:b/>
          <w:bCs/>
          <w:color w:val="auto"/>
          <w:highlight w:val="none"/>
          <w:lang w:eastAsia="zh-CN"/>
        </w:rPr>
      </w:pPr>
      <w:r>
        <w:rPr>
          <w:b/>
          <w:bCs/>
          <w:color w:val="auto"/>
          <w:highlight w:val="none"/>
          <w:lang w:eastAsia="zh-CN"/>
        </w:rPr>
        <w:br w:type="page"/>
      </w:r>
    </w:p>
    <w:p w14:paraId="7A5F8A3A">
      <w:pPr>
        <w:spacing w:line="100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目</w:t>
      </w:r>
      <w:r>
        <w:rPr>
          <w:rFonts w:hint="eastAsia" w:ascii="仿宋" w:hAnsi="仿宋" w:eastAsia="仿宋"/>
          <w:b/>
          <w:color w:val="auto"/>
          <w:sz w:val="44"/>
          <w:szCs w:val="44"/>
          <w:highlight w:val="none"/>
          <w:lang w:eastAsia="zh-CN"/>
        </w:rPr>
        <w:tab/>
      </w:r>
      <w:r>
        <w:rPr>
          <w:rFonts w:hint="eastAsia" w:ascii="仿宋" w:hAnsi="仿宋" w:eastAsia="仿宋"/>
          <w:b/>
          <w:color w:val="auto"/>
          <w:sz w:val="44"/>
          <w:szCs w:val="44"/>
          <w:highlight w:val="none"/>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6023" w:type="dxa"/>
          </w:tcPr>
          <w:p w14:paraId="3E51F41C">
            <w:pPr>
              <w:spacing w:line="5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内容</w:t>
            </w:r>
          </w:p>
        </w:tc>
        <w:tc>
          <w:tcPr>
            <w:tcW w:w="1843" w:type="dxa"/>
          </w:tcPr>
          <w:p w14:paraId="690E9AF4">
            <w:pPr>
              <w:spacing w:line="50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6023" w:type="dxa"/>
          </w:tcPr>
          <w:p w14:paraId="74ADFAAE">
            <w:pPr>
              <w:spacing w:line="500" w:lineRule="exact"/>
              <w:rPr>
                <w:rFonts w:ascii="仿宋" w:hAnsi="仿宋" w:eastAsia="仿宋"/>
                <w:color w:val="auto"/>
                <w:sz w:val="24"/>
                <w:highlight w:val="none"/>
              </w:rPr>
            </w:pPr>
            <w:r>
              <w:rPr>
                <w:rFonts w:hint="eastAsia" w:ascii="仿宋" w:hAnsi="仿宋" w:eastAsia="仿宋"/>
                <w:color w:val="auto"/>
                <w:sz w:val="24"/>
                <w:highlight w:val="none"/>
              </w:rPr>
              <w:t>参</w:t>
            </w:r>
            <w:r>
              <w:rPr>
                <w:rFonts w:hint="eastAsia" w:ascii="仿宋" w:hAnsi="仿宋" w:eastAsia="仿宋"/>
                <w:color w:val="auto"/>
                <w:sz w:val="24"/>
                <w:highlight w:val="none"/>
                <w:lang w:eastAsia="zh-CN"/>
              </w:rPr>
              <w:t>比</w:t>
            </w:r>
            <w:r>
              <w:rPr>
                <w:rFonts w:hint="eastAsia" w:ascii="仿宋" w:hAnsi="仿宋" w:eastAsia="仿宋"/>
                <w:color w:val="auto"/>
                <w:sz w:val="24"/>
                <w:highlight w:val="none"/>
              </w:rPr>
              <w:t>书</w:t>
            </w:r>
          </w:p>
        </w:tc>
        <w:tc>
          <w:tcPr>
            <w:tcW w:w="1843" w:type="dxa"/>
          </w:tcPr>
          <w:p w14:paraId="5176CF76">
            <w:pPr>
              <w:spacing w:line="500" w:lineRule="exact"/>
              <w:jc w:val="center"/>
              <w:rPr>
                <w:rFonts w:ascii="仿宋" w:hAnsi="仿宋" w:eastAsia="仿宋"/>
                <w:color w:val="auto"/>
                <w:sz w:val="24"/>
                <w:highlight w:val="none"/>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6023" w:type="dxa"/>
          </w:tcPr>
          <w:p w14:paraId="4D902644">
            <w:pPr>
              <w:spacing w:line="500" w:lineRule="exact"/>
              <w:rPr>
                <w:rFonts w:ascii="仿宋" w:hAnsi="仿宋" w:eastAsia="仿宋"/>
                <w:color w:val="auto"/>
                <w:sz w:val="24"/>
                <w:highlight w:val="none"/>
              </w:rPr>
            </w:pPr>
            <w:r>
              <w:rPr>
                <w:rFonts w:hint="eastAsia" w:ascii="仿宋" w:hAnsi="仿宋" w:eastAsia="仿宋"/>
                <w:color w:val="auto"/>
                <w:sz w:val="24"/>
                <w:highlight w:val="none"/>
              </w:rPr>
              <w:t>法定代表人授权书</w:t>
            </w:r>
          </w:p>
        </w:tc>
        <w:tc>
          <w:tcPr>
            <w:tcW w:w="1843" w:type="dxa"/>
          </w:tcPr>
          <w:p w14:paraId="2E18E80E">
            <w:pPr>
              <w:spacing w:line="500" w:lineRule="exact"/>
              <w:jc w:val="center"/>
              <w:rPr>
                <w:rFonts w:ascii="仿宋" w:hAnsi="仿宋" w:eastAsia="仿宋"/>
                <w:color w:val="auto"/>
                <w:sz w:val="24"/>
                <w:highlight w:val="none"/>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6023" w:type="dxa"/>
          </w:tcPr>
          <w:p w14:paraId="4F1BE849">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法定代表人身份证复印件</w:t>
            </w:r>
          </w:p>
        </w:tc>
        <w:tc>
          <w:tcPr>
            <w:tcW w:w="1843" w:type="dxa"/>
          </w:tcPr>
          <w:p w14:paraId="7CAB2A8F">
            <w:pPr>
              <w:spacing w:line="500" w:lineRule="exact"/>
              <w:jc w:val="center"/>
              <w:rPr>
                <w:rFonts w:ascii="仿宋" w:hAnsi="仿宋" w:eastAsia="仿宋"/>
                <w:color w:val="auto"/>
                <w:sz w:val="24"/>
                <w:highlight w:val="none"/>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6023" w:type="dxa"/>
          </w:tcPr>
          <w:p w14:paraId="06FC88C4">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授权代表身份证复印件</w:t>
            </w:r>
          </w:p>
        </w:tc>
        <w:tc>
          <w:tcPr>
            <w:tcW w:w="1843" w:type="dxa"/>
          </w:tcPr>
          <w:p w14:paraId="211775E3">
            <w:pPr>
              <w:spacing w:line="500" w:lineRule="exact"/>
              <w:jc w:val="center"/>
              <w:rPr>
                <w:rFonts w:ascii="仿宋" w:hAnsi="仿宋" w:eastAsia="仿宋"/>
                <w:color w:val="auto"/>
                <w:sz w:val="24"/>
                <w:highlight w:val="none"/>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6023" w:type="dxa"/>
          </w:tcPr>
          <w:p w14:paraId="45D08406">
            <w:pPr>
              <w:spacing w:line="500" w:lineRule="exact"/>
              <w:rPr>
                <w:rFonts w:ascii="仿宋" w:hAnsi="仿宋" w:eastAsia="仿宋"/>
                <w:color w:val="auto"/>
                <w:sz w:val="24"/>
                <w:highlight w:val="none"/>
                <w:lang w:eastAsia="zh-CN"/>
              </w:rPr>
            </w:pPr>
            <w:r>
              <w:rPr>
                <w:rFonts w:hint="eastAsia" w:ascii="仿宋" w:hAnsi="仿宋" w:eastAsia="仿宋"/>
                <w:color w:val="auto"/>
                <w:sz w:val="24"/>
                <w:szCs w:val="28"/>
                <w:highlight w:val="none"/>
                <w:lang w:eastAsia="zh-CN"/>
              </w:rPr>
              <w:t>企业概况</w:t>
            </w:r>
          </w:p>
        </w:tc>
        <w:tc>
          <w:tcPr>
            <w:tcW w:w="1843" w:type="dxa"/>
          </w:tcPr>
          <w:p w14:paraId="6B65A123">
            <w:pPr>
              <w:spacing w:line="500" w:lineRule="exact"/>
              <w:jc w:val="center"/>
              <w:rPr>
                <w:rFonts w:ascii="仿宋" w:hAnsi="仿宋" w:eastAsia="仿宋"/>
                <w:color w:val="auto"/>
                <w:sz w:val="24"/>
                <w:highlight w:val="none"/>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6023" w:type="dxa"/>
          </w:tcPr>
          <w:p w14:paraId="7F4190E7">
            <w:pPr>
              <w:spacing w:line="500" w:lineRule="exact"/>
              <w:rPr>
                <w:rFonts w:ascii="仿宋" w:hAnsi="仿宋" w:eastAsia="仿宋"/>
                <w:color w:val="auto"/>
                <w:sz w:val="24"/>
                <w:highlight w:val="none"/>
              </w:rPr>
            </w:pPr>
            <w:r>
              <w:rPr>
                <w:rFonts w:hint="eastAsia" w:ascii="仿宋" w:hAnsi="仿宋" w:eastAsia="仿宋"/>
                <w:color w:val="auto"/>
                <w:sz w:val="24"/>
                <w:highlight w:val="none"/>
              </w:rPr>
              <w:t>营业执照复印件</w:t>
            </w:r>
          </w:p>
        </w:tc>
        <w:tc>
          <w:tcPr>
            <w:tcW w:w="1843" w:type="dxa"/>
          </w:tcPr>
          <w:p w14:paraId="1160E0F0">
            <w:pPr>
              <w:spacing w:line="500" w:lineRule="exact"/>
              <w:jc w:val="center"/>
              <w:rPr>
                <w:rFonts w:ascii="仿宋" w:hAnsi="仿宋" w:eastAsia="仿宋"/>
                <w:color w:val="auto"/>
                <w:sz w:val="24"/>
                <w:highlight w:val="none"/>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6023" w:type="dxa"/>
          </w:tcPr>
          <w:p w14:paraId="48766069">
            <w:pPr>
              <w:spacing w:line="500" w:lineRule="exact"/>
              <w:rPr>
                <w:rFonts w:ascii="仿宋" w:hAnsi="仿宋" w:eastAsia="仿宋"/>
                <w:color w:val="auto"/>
                <w:sz w:val="24"/>
                <w:highlight w:val="none"/>
                <w:lang w:eastAsia="zh-CN"/>
              </w:rPr>
            </w:pPr>
            <w:r>
              <w:rPr>
                <w:rFonts w:hint="eastAsia" w:ascii="仿宋" w:hAnsi="仿宋" w:eastAsia="仿宋"/>
                <w:color w:val="auto"/>
                <w:highlight w:val="none"/>
                <w:lang w:eastAsia="zh-CN"/>
              </w:rPr>
              <w:t>商务报价函</w:t>
            </w:r>
          </w:p>
        </w:tc>
        <w:tc>
          <w:tcPr>
            <w:tcW w:w="1843" w:type="dxa"/>
          </w:tcPr>
          <w:p w14:paraId="005D6E58">
            <w:pPr>
              <w:spacing w:line="500" w:lineRule="exact"/>
              <w:jc w:val="center"/>
              <w:rPr>
                <w:rFonts w:ascii="仿宋" w:hAnsi="仿宋" w:eastAsia="仿宋"/>
                <w:color w:val="auto"/>
                <w:sz w:val="24"/>
                <w:highlight w:val="none"/>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color w:val="auto"/>
                <w:sz w:val="24"/>
                <w:highlight w:val="none"/>
                <w:lang w:eastAsia="zh-CN"/>
              </w:rPr>
            </w:pPr>
            <w:r>
              <w:rPr>
                <w:rFonts w:hint="eastAsia" w:ascii="仿宋" w:hAnsi="仿宋" w:eastAsia="仿宋"/>
                <w:color w:val="auto"/>
                <w:sz w:val="24"/>
                <w:highlight w:val="none"/>
                <w:lang w:eastAsia="zh-CN"/>
              </w:rPr>
              <w:t>8</w:t>
            </w:r>
          </w:p>
        </w:tc>
        <w:tc>
          <w:tcPr>
            <w:tcW w:w="6023" w:type="dxa"/>
          </w:tcPr>
          <w:p w14:paraId="1A79833B">
            <w:pPr>
              <w:spacing w:line="500" w:lineRule="exact"/>
              <w:rPr>
                <w:rFonts w:ascii="仿宋" w:hAnsi="仿宋" w:eastAsia="仿宋"/>
                <w:color w:val="auto"/>
                <w:sz w:val="24"/>
                <w:highlight w:val="none"/>
                <w:lang w:eastAsia="zh-CN"/>
              </w:rPr>
            </w:pPr>
            <w:r>
              <w:rPr>
                <w:rFonts w:hint="eastAsia" w:ascii="仿宋" w:hAnsi="仿宋" w:eastAsia="仿宋"/>
                <w:color w:val="auto"/>
                <w:highlight w:val="none"/>
                <w:lang w:eastAsia="zh-CN"/>
              </w:rPr>
              <w:t>承诺函</w:t>
            </w:r>
          </w:p>
        </w:tc>
        <w:tc>
          <w:tcPr>
            <w:tcW w:w="1843" w:type="dxa"/>
          </w:tcPr>
          <w:p w14:paraId="42AC1CF7">
            <w:pPr>
              <w:spacing w:line="500" w:lineRule="exact"/>
              <w:jc w:val="center"/>
              <w:rPr>
                <w:rFonts w:ascii="仿宋" w:hAnsi="仿宋" w:eastAsia="仿宋"/>
                <w:color w:val="auto"/>
                <w:sz w:val="24"/>
                <w:highlight w:val="none"/>
                <w:lang w:eastAsia="zh-CN"/>
              </w:rPr>
            </w:pPr>
          </w:p>
        </w:tc>
      </w:tr>
    </w:tbl>
    <w:p w14:paraId="2FB3E508">
      <w:pPr>
        <w:spacing w:line="500" w:lineRule="exact"/>
        <w:jc w:val="center"/>
        <w:rPr>
          <w:rFonts w:ascii="仿宋" w:hAnsi="仿宋" w:eastAsia="仿宋"/>
          <w:b/>
          <w:bCs/>
          <w:color w:val="auto"/>
          <w:sz w:val="24"/>
          <w:highlight w:val="none"/>
        </w:rPr>
      </w:pPr>
    </w:p>
    <w:p w14:paraId="23663FC5">
      <w:pPr>
        <w:pStyle w:val="2"/>
        <w:rPr>
          <w:rFonts w:ascii="仿宋" w:hAnsi="仿宋" w:eastAsia="仿宋"/>
          <w:b/>
          <w:bCs/>
          <w:color w:val="auto"/>
          <w:sz w:val="36"/>
          <w:szCs w:val="36"/>
          <w:highlight w:val="none"/>
        </w:rPr>
      </w:pPr>
    </w:p>
    <w:p w14:paraId="24A93692">
      <w:pPr>
        <w:pStyle w:val="2"/>
        <w:rPr>
          <w:rFonts w:ascii="仿宋" w:hAnsi="仿宋" w:eastAsia="仿宋"/>
          <w:b/>
          <w:bCs/>
          <w:color w:val="auto"/>
          <w:sz w:val="36"/>
          <w:szCs w:val="36"/>
          <w:highlight w:val="none"/>
        </w:rPr>
      </w:pPr>
    </w:p>
    <w:p w14:paraId="0A9F35E4">
      <w:pPr>
        <w:pStyle w:val="2"/>
        <w:rPr>
          <w:rFonts w:ascii="仿宋" w:hAnsi="仿宋" w:eastAsia="仿宋"/>
          <w:b/>
          <w:bCs/>
          <w:color w:val="auto"/>
          <w:sz w:val="36"/>
          <w:szCs w:val="36"/>
          <w:highlight w:val="none"/>
        </w:rPr>
      </w:pPr>
    </w:p>
    <w:p w14:paraId="18E31DCF">
      <w:pPr>
        <w:spacing w:line="500" w:lineRule="exact"/>
        <w:rPr>
          <w:rFonts w:ascii="仿宋" w:hAnsi="仿宋" w:eastAsia="仿宋"/>
          <w:b/>
          <w:bCs/>
          <w:color w:val="auto"/>
          <w:sz w:val="36"/>
          <w:szCs w:val="36"/>
          <w:highlight w:val="none"/>
          <w:lang w:eastAsia="zh-CN"/>
        </w:rPr>
      </w:pPr>
    </w:p>
    <w:p w14:paraId="5BFB4798">
      <w:pPr>
        <w:pStyle w:val="2"/>
        <w:rPr>
          <w:rFonts w:ascii="仿宋" w:hAnsi="仿宋" w:eastAsia="仿宋"/>
          <w:b/>
          <w:bCs/>
          <w:color w:val="auto"/>
          <w:sz w:val="36"/>
          <w:szCs w:val="36"/>
          <w:highlight w:val="none"/>
        </w:rPr>
      </w:pPr>
    </w:p>
    <w:p w14:paraId="51F6714D">
      <w:pPr>
        <w:pStyle w:val="2"/>
        <w:rPr>
          <w:rFonts w:ascii="仿宋" w:hAnsi="仿宋" w:eastAsia="仿宋"/>
          <w:b/>
          <w:bCs/>
          <w:color w:val="auto"/>
          <w:sz w:val="36"/>
          <w:szCs w:val="36"/>
          <w:highlight w:val="none"/>
        </w:rPr>
      </w:pPr>
    </w:p>
    <w:p w14:paraId="76658411">
      <w:pPr>
        <w:pStyle w:val="2"/>
        <w:rPr>
          <w:rFonts w:ascii="仿宋" w:hAnsi="仿宋" w:eastAsia="仿宋"/>
          <w:color w:val="auto"/>
          <w:highlight w:val="none"/>
        </w:rPr>
      </w:pPr>
    </w:p>
    <w:p w14:paraId="2F886C00">
      <w:pPr>
        <w:pStyle w:val="2"/>
        <w:rPr>
          <w:rFonts w:ascii="仿宋" w:hAnsi="仿宋" w:eastAsia="仿宋"/>
          <w:color w:val="auto"/>
          <w:highlight w:val="none"/>
        </w:rPr>
      </w:pPr>
    </w:p>
    <w:p w14:paraId="1FA3FE2A">
      <w:pPr>
        <w:pStyle w:val="2"/>
        <w:rPr>
          <w:rFonts w:ascii="仿宋" w:hAnsi="仿宋" w:eastAsia="仿宋"/>
          <w:color w:val="auto"/>
          <w:highlight w:val="none"/>
        </w:rPr>
      </w:pPr>
    </w:p>
    <w:p w14:paraId="715A53A4">
      <w:pPr>
        <w:pStyle w:val="2"/>
        <w:rPr>
          <w:rFonts w:ascii="仿宋" w:hAnsi="仿宋" w:eastAsia="仿宋"/>
          <w:color w:val="auto"/>
          <w:highlight w:val="none"/>
        </w:rPr>
      </w:pPr>
    </w:p>
    <w:p w14:paraId="3147B83C">
      <w:pPr>
        <w:pStyle w:val="2"/>
        <w:rPr>
          <w:rFonts w:ascii="仿宋" w:hAnsi="仿宋" w:eastAsia="仿宋"/>
          <w:color w:val="auto"/>
          <w:highlight w:val="none"/>
        </w:rPr>
      </w:pPr>
    </w:p>
    <w:p w14:paraId="2773A0CD">
      <w:pPr>
        <w:pStyle w:val="2"/>
        <w:rPr>
          <w:rFonts w:ascii="仿宋" w:hAnsi="仿宋" w:eastAsia="仿宋"/>
          <w:color w:val="auto"/>
          <w:highlight w:val="none"/>
        </w:rPr>
      </w:pPr>
    </w:p>
    <w:p w14:paraId="19ECAB7F">
      <w:pPr>
        <w:pStyle w:val="2"/>
        <w:rPr>
          <w:rFonts w:ascii="仿宋" w:hAnsi="仿宋" w:eastAsia="仿宋"/>
          <w:color w:val="auto"/>
          <w:highlight w:val="none"/>
        </w:rPr>
      </w:pPr>
    </w:p>
    <w:p w14:paraId="277BE481">
      <w:pPr>
        <w:pStyle w:val="2"/>
        <w:rPr>
          <w:rFonts w:ascii="仿宋" w:hAnsi="仿宋" w:eastAsia="仿宋"/>
          <w:color w:val="auto"/>
          <w:highlight w:val="none"/>
        </w:rPr>
      </w:pPr>
    </w:p>
    <w:p w14:paraId="56F9F9A3">
      <w:pPr>
        <w:spacing w:line="500" w:lineRule="exact"/>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参</w:t>
      </w:r>
      <w:r>
        <w:rPr>
          <w:rFonts w:hint="eastAsia" w:ascii="仿宋" w:hAnsi="仿宋" w:eastAsia="仿宋"/>
          <w:b/>
          <w:bCs/>
          <w:color w:val="auto"/>
          <w:sz w:val="36"/>
          <w:szCs w:val="36"/>
          <w:highlight w:val="none"/>
          <w:lang w:eastAsia="zh-CN"/>
        </w:rPr>
        <w:t>比</w:t>
      </w:r>
      <w:r>
        <w:rPr>
          <w:rFonts w:hint="eastAsia" w:ascii="仿宋" w:hAnsi="仿宋" w:eastAsia="仿宋"/>
          <w:b/>
          <w:bCs/>
          <w:color w:val="auto"/>
          <w:sz w:val="36"/>
          <w:szCs w:val="36"/>
          <w:highlight w:val="none"/>
        </w:rPr>
        <w:t>书</w:t>
      </w:r>
    </w:p>
    <w:p w14:paraId="4EEAB4B6">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致：福建福海创石油化工有限公司</w:t>
      </w:r>
    </w:p>
    <w:p w14:paraId="1D23836F">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根据贵方的采购文件， </w:t>
      </w:r>
      <w:r>
        <w:rPr>
          <w:rFonts w:hint="eastAsia" w:ascii="仿宋" w:hAnsi="仿宋" w:eastAsia="仿宋" w:cs="Times New Roman"/>
          <w:color w:val="auto"/>
          <w:sz w:val="28"/>
          <w:szCs w:val="28"/>
          <w:highlight w:val="none"/>
          <w:u w:val="single"/>
          <w:lang w:eastAsia="zh-CN"/>
        </w:rPr>
        <w:t>被授权代表人姓名</w:t>
      </w:r>
      <w:r>
        <w:rPr>
          <w:rFonts w:hint="eastAsia" w:ascii="仿宋" w:hAnsi="仿宋" w:eastAsia="仿宋"/>
          <w:color w:val="auto"/>
          <w:sz w:val="24"/>
          <w:highlight w:val="none"/>
          <w:lang w:eastAsia="zh-CN"/>
        </w:rPr>
        <w:t>被我方正式授权并代表我公司</w:t>
      </w:r>
      <w:r>
        <w:rPr>
          <w:rFonts w:hint="eastAsia" w:ascii="仿宋" w:hAnsi="仿宋" w:eastAsia="仿宋" w:cs="Times New Roman"/>
          <w:color w:val="auto"/>
          <w:sz w:val="28"/>
          <w:szCs w:val="28"/>
          <w:highlight w:val="none"/>
          <w:u w:val="single"/>
          <w:lang w:eastAsia="zh-CN"/>
        </w:rPr>
        <w:t>单位名称</w:t>
      </w:r>
      <w:r>
        <w:rPr>
          <w:rFonts w:hint="eastAsia" w:ascii="仿宋" w:hAnsi="仿宋" w:eastAsia="仿宋"/>
          <w:color w:val="auto"/>
          <w:sz w:val="24"/>
          <w:highlight w:val="none"/>
          <w:lang w:eastAsia="zh-CN"/>
        </w:rPr>
        <w:t>递交下述文件，并对此负责。</w:t>
      </w:r>
    </w:p>
    <w:p w14:paraId="76760094">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（1）参比文件</w:t>
      </w:r>
    </w:p>
    <w:p w14:paraId="28012401">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（2）法定代表人授权委托书</w:t>
      </w:r>
    </w:p>
    <w:p w14:paraId="4ECF061D">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（3）参比报价单</w:t>
      </w:r>
    </w:p>
    <w:p w14:paraId="772A78DF">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（3）参比报价单</w:t>
      </w:r>
    </w:p>
    <w:p w14:paraId="336C0A42">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据此参比书，我公司及签字代表宣布同意如下：</w:t>
      </w:r>
    </w:p>
    <w:p w14:paraId="52D25A92">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1、所递交的文件真实合法有效，且不存在任何虚假陈述或记载。</w:t>
      </w:r>
    </w:p>
    <w:p w14:paraId="6AE96FA6">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2、我方将履行比选文件规定的每一项要求：如中标，将严格按照合同约定履行各项义务。</w:t>
      </w:r>
    </w:p>
    <w:p w14:paraId="186D20A1">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color w:val="auto"/>
          <w:sz w:val="24"/>
          <w:highlight w:val="none"/>
          <w:lang w:eastAsia="zh-CN"/>
        </w:rPr>
      </w:pPr>
    </w:p>
    <w:p w14:paraId="0D499B5F">
      <w:pPr>
        <w:spacing w:line="500" w:lineRule="exact"/>
        <w:ind w:firstLine="480" w:firstLineChars="200"/>
        <w:rPr>
          <w:rFonts w:ascii="仿宋" w:hAnsi="仿宋" w:eastAsia="仿宋"/>
          <w:color w:val="auto"/>
          <w:sz w:val="24"/>
          <w:highlight w:val="none"/>
          <w:lang w:eastAsia="zh-CN"/>
        </w:rPr>
      </w:pPr>
    </w:p>
    <w:p w14:paraId="5BDA43EE">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被授权代表姓名：</w:t>
      </w:r>
    </w:p>
    <w:p w14:paraId="5F6CF90B">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职          务：</w:t>
      </w:r>
    </w:p>
    <w:p w14:paraId="729B174D">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联系方式及邮箱：</w:t>
      </w:r>
    </w:p>
    <w:p w14:paraId="42D9CBED">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被授权代表签字：</w:t>
      </w:r>
    </w:p>
    <w:p w14:paraId="38710CC1">
      <w:pPr>
        <w:pStyle w:val="2"/>
        <w:rPr>
          <w:rFonts w:ascii="仿宋" w:hAnsi="仿宋" w:eastAsia="仿宋"/>
          <w:color w:val="auto"/>
          <w:highlight w:val="none"/>
        </w:rPr>
      </w:pPr>
    </w:p>
    <w:p w14:paraId="640310CB">
      <w:pPr>
        <w:pStyle w:val="2"/>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rPr>
        <w:t>参  比  人：</w:t>
      </w:r>
      <w:r>
        <w:rPr>
          <w:rFonts w:hint="eastAsia" w:ascii="仿宋" w:hAnsi="仿宋" w:eastAsia="仿宋"/>
          <w:color w:val="auto"/>
          <w:kern w:val="2"/>
          <w:sz w:val="28"/>
          <w:szCs w:val="28"/>
          <w:highlight w:val="none"/>
        </w:rPr>
        <w:t>（单位名称）</w:t>
      </w:r>
    </w:p>
    <w:p w14:paraId="64A81CED">
      <w:pPr>
        <w:pStyle w:val="2"/>
        <w:ind w:firstLine="420"/>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 xml:space="preserve">       </w:t>
      </w:r>
      <w:r>
        <w:rPr>
          <w:rFonts w:ascii="仿宋" w:hAnsi="仿宋" w:eastAsia="仿宋"/>
          <w:color w:val="auto"/>
          <w:kern w:val="2"/>
          <w:sz w:val="24"/>
          <w:szCs w:val="24"/>
          <w:highlight w:val="none"/>
        </w:rPr>
        <w:t xml:space="preserve">           </w:t>
      </w:r>
      <w:r>
        <w:rPr>
          <w:rFonts w:hint="eastAsia" w:ascii="仿宋" w:hAnsi="仿宋" w:eastAsia="仿宋"/>
          <w:color w:val="auto"/>
          <w:kern w:val="2"/>
          <w:sz w:val="24"/>
          <w:szCs w:val="24"/>
          <w:highlight w:val="none"/>
        </w:rPr>
        <w:t>法定代表人：</w:t>
      </w:r>
    </w:p>
    <w:p w14:paraId="206AA07E">
      <w:pPr>
        <w:pStyle w:val="2"/>
        <w:jc w:val="center"/>
        <w:rPr>
          <w:rFonts w:ascii="仿宋" w:hAnsi="仿宋" w:eastAsia="仿宋"/>
          <w:color w:val="auto"/>
          <w:highlight w:val="none"/>
        </w:rPr>
      </w:pPr>
    </w:p>
    <w:p w14:paraId="359BC6EF">
      <w:pPr>
        <w:pStyle w:val="2"/>
        <w:jc w:val="center"/>
        <w:rPr>
          <w:rFonts w:ascii="仿宋" w:hAnsi="仿宋" w:eastAsia="仿宋"/>
          <w:color w:val="auto"/>
          <w:highlight w:val="none"/>
        </w:rPr>
      </w:pPr>
    </w:p>
    <w:p w14:paraId="342B8B67">
      <w:pPr>
        <w:pStyle w:val="2"/>
        <w:jc w:val="center"/>
        <w:rPr>
          <w:rFonts w:ascii="仿宋" w:hAnsi="仿宋" w:eastAsia="仿宋"/>
          <w:color w:val="auto"/>
          <w:highlight w:val="none"/>
        </w:rPr>
      </w:pPr>
    </w:p>
    <w:p w14:paraId="6EA69307">
      <w:pPr>
        <w:spacing w:line="500" w:lineRule="exact"/>
        <w:jc w:val="center"/>
        <w:rPr>
          <w:rFonts w:ascii="仿宋" w:hAnsi="仿宋" w:eastAsia="仿宋"/>
          <w:b/>
          <w:bCs/>
          <w:color w:val="auto"/>
          <w:sz w:val="36"/>
          <w:szCs w:val="36"/>
          <w:highlight w:val="none"/>
          <w:lang w:eastAsia="zh-CN"/>
        </w:rPr>
      </w:pPr>
      <w:r>
        <w:rPr>
          <w:rFonts w:hint="eastAsia" w:ascii="仿宋" w:hAnsi="仿宋" w:eastAsia="仿宋"/>
          <w:b/>
          <w:bCs/>
          <w:color w:val="auto"/>
          <w:sz w:val="36"/>
          <w:szCs w:val="36"/>
          <w:highlight w:val="none"/>
          <w:lang w:eastAsia="zh-CN"/>
        </w:rPr>
        <w:t>法定代表人授权委托书</w:t>
      </w:r>
    </w:p>
    <w:p w14:paraId="07636F41">
      <w:pPr>
        <w:pStyle w:val="2"/>
        <w:jc w:val="center"/>
        <w:rPr>
          <w:rFonts w:ascii="仿宋" w:hAnsi="仿宋" w:eastAsia="仿宋"/>
          <w:color w:val="auto"/>
          <w:highlight w:val="none"/>
        </w:rPr>
      </w:pPr>
    </w:p>
    <w:p w14:paraId="0CAFBFE6">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本授权书声明：注册于</w:t>
      </w:r>
      <w:r>
        <w:rPr>
          <w:rFonts w:hint="eastAsia" w:ascii="仿宋" w:hAnsi="仿宋" w:eastAsia="仿宋" w:cs="Times New Roman"/>
          <w:color w:val="auto"/>
          <w:sz w:val="28"/>
          <w:szCs w:val="28"/>
          <w:highlight w:val="none"/>
          <w:u w:val="single"/>
          <w:lang w:eastAsia="zh-CN"/>
        </w:rPr>
        <w:t>注册地址</w:t>
      </w:r>
      <w:r>
        <w:rPr>
          <w:rFonts w:hint="eastAsia" w:ascii="仿宋" w:hAnsi="仿宋" w:eastAsia="仿宋"/>
          <w:color w:val="auto"/>
          <w:sz w:val="24"/>
          <w:highlight w:val="none"/>
          <w:lang w:eastAsia="zh-CN"/>
        </w:rPr>
        <w:t>的</w:t>
      </w:r>
      <w:r>
        <w:rPr>
          <w:rFonts w:hint="eastAsia" w:ascii="仿宋" w:hAnsi="仿宋" w:eastAsia="仿宋" w:cs="Times New Roman"/>
          <w:color w:val="auto"/>
          <w:sz w:val="28"/>
          <w:szCs w:val="28"/>
          <w:highlight w:val="none"/>
          <w:u w:val="single"/>
          <w:lang w:eastAsia="zh-CN"/>
        </w:rPr>
        <w:t>公司名称</w:t>
      </w:r>
      <w:r>
        <w:rPr>
          <w:rFonts w:hint="eastAsia" w:ascii="仿宋" w:hAnsi="仿宋" w:eastAsia="仿宋"/>
          <w:color w:val="auto"/>
          <w:sz w:val="24"/>
          <w:highlight w:val="none"/>
          <w:lang w:eastAsia="zh-CN"/>
        </w:rPr>
        <w:t>的在下方签字（或签章）的</w:t>
      </w:r>
      <w:r>
        <w:rPr>
          <w:rFonts w:hint="eastAsia" w:ascii="仿宋" w:hAnsi="仿宋" w:eastAsia="仿宋" w:cs="Times New Roman"/>
          <w:color w:val="auto"/>
          <w:sz w:val="28"/>
          <w:szCs w:val="28"/>
          <w:highlight w:val="none"/>
          <w:u w:val="single"/>
          <w:lang w:eastAsia="zh-CN"/>
        </w:rPr>
        <w:t>法人代表姓名</w:t>
      </w:r>
      <w:r>
        <w:rPr>
          <w:rFonts w:hint="eastAsia" w:ascii="仿宋" w:hAnsi="仿宋" w:eastAsia="仿宋"/>
          <w:color w:val="auto"/>
          <w:sz w:val="24"/>
          <w:highlight w:val="none"/>
          <w:lang w:eastAsia="zh-CN"/>
        </w:rPr>
        <w:t>代表本公司授权</w:t>
      </w:r>
      <w:r>
        <w:rPr>
          <w:rFonts w:hint="eastAsia" w:ascii="仿宋" w:hAnsi="仿宋" w:eastAsia="仿宋" w:cs="Times New Roman"/>
          <w:color w:val="auto"/>
          <w:sz w:val="28"/>
          <w:szCs w:val="28"/>
          <w:highlight w:val="none"/>
          <w:u w:val="single"/>
          <w:lang w:eastAsia="zh-CN"/>
        </w:rPr>
        <w:t>被授权代表人姓名、职务</w:t>
      </w:r>
      <w:r>
        <w:rPr>
          <w:rFonts w:hint="eastAsia" w:ascii="仿宋" w:hAnsi="仿宋" w:eastAsia="仿宋"/>
          <w:color w:val="auto"/>
          <w:sz w:val="24"/>
          <w:highlight w:val="none"/>
          <w:lang w:eastAsia="zh-CN"/>
        </w:rPr>
        <w:t>为本公司的合法代理人，就贵司</w:t>
      </w:r>
      <w:r>
        <w:rPr>
          <w:rFonts w:hint="eastAsia" w:ascii="仿宋" w:hAnsi="仿宋" w:eastAsia="仿宋" w:cs="Times New Roman"/>
          <w:color w:val="auto"/>
          <w:sz w:val="28"/>
          <w:szCs w:val="28"/>
          <w:highlight w:val="none"/>
          <w:u w:val="single"/>
          <w:lang w:eastAsia="zh-CN"/>
        </w:rPr>
        <w:t>开展生产船燃的进料加工业务服务出具专业报告项目，</w:t>
      </w:r>
      <w:r>
        <w:rPr>
          <w:rFonts w:hint="eastAsia" w:ascii="仿宋" w:hAnsi="仿宋" w:eastAsia="仿宋"/>
          <w:color w:val="auto"/>
          <w:sz w:val="24"/>
          <w:highlight w:val="none"/>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本授权书于</w:t>
      </w:r>
      <w:r>
        <w:rPr>
          <w:rFonts w:hint="eastAsia" w:ascii="仿宋" w:hAnsi="仿宋" w:eastAsia="仿宋" w:cs="Times New Roman"/>
          <w:color w:val="auto"/>
          <w:sz w:val="28"/>
          <w:szCs w:val="28"/>
          <w:highlight w:val="none"/>
          <w:u w:val="single"/>
          <w:lang w:eastAsia="zh-CN"/>
        </w:rPr>
        <w:t>20</w:t>
      </w:r>
      <w:r>
        <w:rPr>
          <w:rFonts w:ascii="仿宋" w:hAnsi="仿宋" w:eastAsia="仿宋" w:cs="Times New Roman"/>
          <w:color w:val="auto"/>
          <w:sz w:val="28"/>
          <w:szCs w:val="28"/>
          <w:highlight w:val="none"/>
          <w:u w:val="single"/>
          <w:lang w:eastAsia="zh-CN"/>
        </w:rPr>
        <w:t>25</w:t>
      </w:r>
      <w:r>
        <w:rPr>
          <w:rFonts w:hint="eastAsia" w:ascii="仿宋" w:hAnsi="仿宋" w:eastAsia="仿宋" w:cs="Times New Roman"/>
          <w:color w:val="auto"/>
          <w:sz w:val="28"/>
          <w:szCs w:val="28"/>
          <w:highlight w:val="none"/>
          <w:u w:val="single"/>
          <w:lang w:eastAsia="zh-CN"/>
        </w:rPr>
        <w:t>年**月   日</w:t>
      </w:r>
      <w:r>
        <w:rPr>
          <w:rFonts w:hint="eastAsia" w:ascii="仿宋" w:hAnsi="仿宋" w:eastAsia="仿宋"/>
          <w:color w:val="auto"/>
          <w:sz w:val="24"/>
          <w:highlight w:val="none"/>
          <w:lang w:eastAsia="zh-CN"/>
        </w:rPr>
        <w:t>生效，本授权书有效期至此项目报价，以及合同履行完毕时止。</w:t>
      </w:r>
    </w:p>
    <w:p w14:paraId="305C540E">
      <w:pPr>
        <w:spacing w:line="500" w:lineRule="exact"/>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特此声明。</w:t>
      </w:r>
    </w:p>
    <w:p w14:paraId="61117CB1">
      <w:pPr>
        <w:pStyle w:val="2"/>
        <w:rPr>
          <w:rFonts w:ascii="仿宋" w:hAnsi="仿宋" w:eastAsia="仿宋"/>
          <w:color w:val="auto"/>
          <w:highlight w:val="none"/>
        </w:rPr>
      </w:pPr>
    </w:p>
    <w:p w14:paraId="76E989CF">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法人代表人（签字）：</w:t>
      </w:r>
    </w:p>
    <w:p w14:paraId="7858BF89">
      <w:pPr>
        <w:spacing w:line="500" w:lineRule="exact"/>
        <w:rPr>
          <w:rFonts w:ascii="仿宋" w:hAnsi="仿宋" w:eastAsia="仿宋"/>
          <w:color w:val="auto"/>
          <w:sz w:val="24"/>
          <w:highlight w:val="none"/>
          <w:lang w:eastAsia="zh-CN"/>
        </w:rPr>
      </w:pPr>
    </w:p>
    <w:p w14:paraId="7FB8D5FD">
      <w:pPr>
        <w:spacing w:line="500" w:lineRule="exact"/>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    被授权代表人（签字）：</w:t>
      </w:r>
    </w:p>
    <w:p w14:paraId="70F6486A">
      <w:pPr>
        <w:spacing w:line="500" w:lineRule="exact"/>
        <w:rPr>
          <w:rFonts w:ascii="仿宋" w:hAnsi="仿宋" w:eastAsia="仿宋"/>
          <w:color w:val="auto"/>
          <w:sz w:val="24"/>
          <w:highlight w:val="none"/>
          <w:lang w:eastAsia="zh-CN"/>
        </w:rPr>
      </w:pPr>
    </w:p>
    <w:p w14:paraId="3344EDF0">
      <w:pPr>
        <w:pStyle w:val="2"/>
        <w:rPr>
          <w:rFonts w:ascii="仿宋" w:hAnsi="仿宋" w:eastAsia="仿宋"/>
          <w:color w:val="auto"/>
          <w:sz w:val="24"/>
          <w:highlight w:val="none"/>
        </w:rPr>
      </w:pPr>
    </w:p>
    <w:p w14:paraId="7668EB86">
      <w:pPr>
        <w:pStyle w:val="2"/>
        <w:rPr>
          <w:rFonts w:ascii="仿宋" w:hAnsi="仿宋" w:eastAsia="仿宋"/>
          <w:color w:val="auto"/>
          <w:sz w:val="24"/>
          <w:highlight w:val="none"/>
        </w:rPr>
      </w:pPr>
    </w:p>
    <w:p w14:paraId="32205DA1">
      <w:pPr>
        <w:pStyle w:val="2"/>
        <w:jc w:val="center"/>
        <w:rPr>
          <w:rFonts w:ascii="仿宋" w:hAnsi="仿宋" w:eastAsia="仿宋"/>
          <w:color w:val="auto"/>
          <w:highlight w:val="none"/>
        </w:rPr>
      </w:pPr>
      <w:r>
        <w:rPr>
          <w:rFonts w:hint="eastAsia" w:ascii="仿宋" w:hAnsi="仿宋" w:eastAsia="仿宋"/>
          <w:color w:val="auto"/>
          <w:sz w:val="24"/>
          <w:szCs w:val="24"/>
          <w:highlight w:val="none"/>
        </w:rPr>
        <w:t xml:space="preserve">              单位名称：</w:t>
      </w:r>
      <w:r>
        <w:rPr>
          <w:rFonts w:hint="eastAsia" w:ascii="仿宋" w:hAnsi="仿宋" w:eastAsia="仿宋"/>
          <w:color w:val="auto"/>
          <w:kern w:val="2"/>
          <w:sz w:val="28"/>
          <w:szCs w:val="28"/>
          <w:highlight w:val="none"/>
        </w:rPr>
        <w:t>（公章）</w:t>
      </w:r>
    </w:p>
    <w:p w14:paraId="1EB4BD56">
      <w:pPr>
        <w:pStyle w:val="2"/>
        <w:jc w:val="center"/>
        <w:rPr>
          <w:rFonts w:ascii="仿宋" w:hAnsi="仿宋" w:eastAsia="仿宋"/>
          <w:color w:val="auto"/>
          <w:highlight w:val="none"/>
        </w:rPr>
      </w:pPr>
    </w:p>
    <w:p w14:paraId="16D04989">
      <w:pPr>
        <w:pStyle w:val="2"/>
        <w:jc w:val="center"/>
        <w:rPr>
          <w:rFonts w:ascii="仿宋" w:hAnsi="仿宋" w:eastAsia="仿宋"/>
          <w:color w:val="auto"/>
          <w:highlight w:val="none"/>
        </w:rPr>
      </w:pPr>
    </w:p>
    <w:p w14:paraId="4FA1D693">
      <w:pPr>
        <w:pStyle w:val="2"/>
        <w:jc w:val="center"/>
        <w:rPr>
          <w:rFonts w:ascii="仿宋" w:hAnsi="仿宋" w:eastAsia="仿宋"/>
          <w:color w:val="auto"/>
          <w:highlight w:val="none"/>
        </w:rPr>
      </w:pPr>
    </w:p>
    <w:p w14:paraId="0EB19C06">
      <w:pPr>
        <w:pStyle w:val="2"/>
        <w:jc w:val="center"/>
        <w:rPr>
          <w:rFonts w:ascii="仿宋" w:hAnsi="仿宋" w:eastAsia="仿宋"/>
          <w:color w:val="auto"/>
          <w:highlight w:val="none"/>
        </w:rPr>
      </w:pPr>
    </w:p>
    <w:p w14:paraId="4EBB44C1">
      <w:pPr>
        <w:pStyle w:val="2"/>
        <w:jc w:val="center"/>
        <w:rPr>
          <w:rFonts w:ascii="仿宋" w:hAnsi="仿宋" w:eastAsia="仿宋"/>
          <w:color w:val="auto"/>
          <w:highlight w:val="none"/>
        </w:rPr>
      </w:pPr>
    </w:p>
    <w:p w14:paraId="01499142">
      <w:pPr>
        <w:pStyle w:val="2"/>
        <w:jc w:val="center"/>
        <w:rPr>
          <w:rFonts w:ascii="仿宋" w:hAnsi="仿宋" w:eastAsia="仿宋"/>
          <w:color w:val="auto"/>
          <w:highlight w:val="none"/>
        </w:rPr>
      </w:pPr>
    </w:p>
    <w:p w14:paraId="7E564F17">
      <w:pPr>
        <w:pStyle w:val="2"/>
        <w:jc w:val="center"/>
        <w:rPr>
          <w:rFonts w:ascii="仿宋" w:hAnsi="仿宋" w:eastAsia="仿宋"/>
          <w:color w:val="auto"/>
          <w:highlight w:val="none"/>
        </w:rPr>
      </w:pPr>
    </w:p>
    <w:p w14:paraId="50251573">
      <w:pPr>
        <w:pStyle w:val="2"/>
        <w:jc w:val="center"/>
        <w:rPr>
          <w:rFonts w:ascii="仿宋" w:hAnsi="仿宋" w:eastAsia="仿宋"/>
          <w:color w:val="auto"/>
          <w:highlight w:val="none"/>
        </w:rPr>
      </w:pPr>
    </w:p>
    <w:p w14:paraId="39B4B7F7">
      <w:pPr>
        <w:pStyle w:val="2"/>
        <w:jc w:val="center"/>
        <w:rPr>
          <w:rFonts w:ascii="仿宋" w:hAnsi="仿宋" w:eastAsia="仿宋"/>
          <w:color w:val="auto"/>
          <w:highlight w:val="none"/>
        </w:rPr>
      </w:pPr>
    </w:p>
    <w:p w14:paraId="65025ABE">
      <w:pPr>
        <w:pStyle w:val="2"/>
        <w:jc w:val="center"/>
        <w:rPr>
          <w:rFonts w:ascii="仿宋" w:hAnsi="仿宋" w:eastAsia="仿宋"/>
          <w:color w:val="auto"/>
          <w:highlight w:val="none"/>
        </w:rPr>
      </w:pPr>
    </w:p>
    <w:p w14:paraId="266006F6">
      <w:pPr>
        <w:pStyle w:val="2"/>
        <w:jc w:val="center"/>
        <w:rPr>
          <w:rFonts w:ascii="仿宋" w:hAnsi="仿宋" w:eastAsia="仿宋"/>
          <w:color w:val="auto"/>
          <w:highlight w:val="none"/>
        </w:rPr>
      </w:pPr>
    </w:p>
    <w:p w14:paraId="4CF7E056">
      <w:pPr>
        <w:spacing w:line="500" w:lineRule="exact"/>
        <w:jc w:val="center"/>
        <w:rPr>
          <w:rFonts w:ascii="仿宋" w:hAnsi="仿宋" w:eastAsia="仿宋" w:cs="Times New Roman"/>
          <w:b/>
          <w:bCs/>
          <w:color w:val="auto"/>
          <w:sz w:val="36"/>
          <w:szCs w:val="36"/>
          <w:highlight w:val="none"/>
          <w:lang w:eastAsia="zh-CN"/>
        </w:rPr>
      </w:pPr>
      <w:r>
        <w:rPr>
          <w:rFonts w:hint="eastAsia" w:ascii="仿宋" w:hAnsi="仿宋" w:eastAsia="仿宋" w:cs="Times New Roman"/>
          <w:b/>
          <w:bCs/>
          <w:color w:val="auto"/>
          <w:sz w:val="36"/>
          <w:szCs w:val="36"/>
          <w:highlight w:val="none"/>
          <w:lang w:eastAsia="zh-CN"/>
        </w:rPr>
        <w:t>法定代表人身份证复印件（正反面）</w:t>
      </w:r>
    </w:p>
    <w:p w14:paraId="5C661C55">
      <w:pPr>
        <w:spacing w:line="500" w:lineRule="exact"/>
        <w:jc w:val="center"/>
        <w:rPr>
          <w:rFonts w:ascii="仿宋" w:hAnsi="仿宋" w:eastAsia="仿宋"/>
          <w:b/>
          <w:bCs/>
          <w:color w:val="auto"/>
          <w:sz w:val="36"/>
          <w:szCs w:val="36"/>
          <w:highlight w:val="none"/>
          <w:lang w:eastAsia="zh-CN"/>
        </w:rPr>
      </w:pPr>
    </w:p>
    <w:p w14:paraId="5459C198">
      <w:pPr>
        <w:spacing w:line="500" w:lineRule="exact"/>
        <w:jc w:val="center"/>
        <w:rPr>
          <w:rFonts w:ascii="仿宋" w:hAnsi="仿宋" w:eastAsia="仿宋"/>
          <w:b/>
          <w:bCs/>
          <w:color w:val="auto"/>
          <w:sz w:val="36"/>
          <w:szCs w:val="36"/>
          <w:highlight w:val="none"/>
          <w:lang w:eastAsia="zh-CN"/>
        </w:rPr>
      </w:pPr>
    </w:p>
    <w:p w14:paraId="1264C075">
      <w:pPr>
        <w:spacing w:line="500" w:lineRule="exact"/>
        <w:jc w:val="center"/>
        <w:rPr>
          <w:rFonts w:ascii="仿宋" w:hAnsi="仿宋" w:eastAsia="仿宋"/>
          <w:b/>
          <w:bCs/>
          <w:color w:val="auto"/>
          <w:sz w:val="36"/>
          <w:szCs w:val="36"/>
          <w:highlight w:val="none"/>
          <w:lang w:eastAsia="zh-CN"/>
        </w:rPr>
      </w:pPr>
    </w:p>
    <w:p w14:paraId="3E3812FC">
      <w:pPr>
        <w:spacing w:line="500" w:lineRule="exact"/>
        <w:jc w:val="center"/>
        <w:rPr>
          <w:rFonts w:ascii="仿宋" w:hAnsi="仿宋" w:eastAsia="仿宋"/>
          <w:b/>
          <w:bCs/>
          <w:color w:val="auto"/>
          <w:sz w:val="36"/>
          <w:szCs w:val="36"/>
          <w:highlight w:val="none"/>
          <w:lang w:eastAsia="zh-CN"/>
        </w:rPr>
      </w:pPr>
    </w:p>
    <w:p w14:paraId="083D1628">
      <w:pPr>
        <w:spacing w:line="500" w:lineRule="exact"/>
        <w:jc w:val="center"/>
        <w:rPr>
          <w:rFonts w:ascii="仿宋" w:hAnsi="仿宋" w:eastAsia="仿宋"/>
          <w:b/>
          <w:bCs/>
          <w:color w:val="auto"/>
          <w:sz w:val="36"/>
          <w:szCs w:val="36"/>
          <w:highlight w:val="none"/>
          <w:lang w:eastAsia="zh-CN"/>
        </w:rPr>
      </w:pPr>
    </w:p>
    <w:p w14:paraId="2A87B062">
      <w:pPr>
        <w:pStyle w:val="2"/>
        <w:rPr>
          <w:rFonts w:ascii="仿宋" w:hAnsi="仿宋" w:eastAsia="仿宋"/>
          <w:b/>
          <w:bCs/>
          <w:color w:val="auto"/>
          <w:sz w:val="36"/>
          <w:szCs w:val="36"/>
          <w:highlight w:val="none"/>
        </w:rPr>
      </w:pPr>
    </w:p>
    <w:p w14:paraId="32866DC1">
      <w:pPr>
        <w:pStyle w:val="2"/>
        <w:rPr>
          <w:rFonts w:ascii="仿宋" w:hAnsi="仿宋" w:eastAsia="仿宋"/>
          <w:b/>
          <w:bCs/>
          <w:color w:val="auto"/>
          <w:sz w:val="36"/>
          <w:szCs w:val="36"/>
          <w:highlight w:val="none"/>
        </w:rPr>
      </w:pPr>
    </w:p>
    <w:p w14:paraId="6A2D49E5">
      <w:pPr>
        <w:pStyle w:val="2"/>
        <w:rPr>
          <w:rFonts w:ascii="仿宋" w:hAnsi="仿宋" w:eastAsia="仿宋"/>
          <w:b/>
          <w:bCs/>
          <w:color w:val="auto"/>
          <w:sz w:val="36"/>
          <w:szCs w:val="36"/>
          <w:highlight w:val="none"/>
        </w:rPr>
      </w:pPr>
    </w:p>
    <w:p w14:paraId="6678CCA7">
      <w:pPr>
        <w:pStyle w:val="2"/>
        <w:rPr>
          <w:rFonts w:ascii="仿宋" w:hAnsi="仿宋" w:eastAsia="仿宋"/>
          <w:b/>
          <w:bCs/>
          <w:color w:val="auto"/>
          <w:sz w:val="36"/>
          <w:szCs w:val="36"/>
          <w:highlight w:val="none"/>
        </w:rPr>
      </w:pPr>
    </w:p>
    <w:p w14:paraId="4350032D">
      <w:pPr>
        <w:pStyle w:val="72"/>
        <w:spacing w:beforeLines="0" w:afterLines="0" w:line="240" w:lineRule="auto"/>
        <w:ind w:firstLine="0" w:firstLineChars="0"/>
        <w:jc w:val="center"/>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被授权代表人身份证复印件</w:t>
      </w:r>
      <w:r>
        <w:rPr>
          <w:rFonts w:hint="eastAsia" w:ascii="仿宋" w:hAnsi="仿宋" w:eastAsia="仿宋" w:cs="Times New Roman"/>
          <w:b/>
          <w:bCs w:val="0"/>
          <w:color w:val="auto"/>
          <w:sz w:val="36"/>
          <w:szCs w:val="36"/>
          <w:highlight w:val="none"/>
          <w:lang w:eastAsia="zh-CN"/>
        </w:rPr>
        <w:t>（正反面）</w:t>
      </w:r>
    </w:p>
    <w:p w14:paraId="6F96AD63">
      <w:pPr>
        <w:spacing w:line="500" w:lineRule="exact"/>
        <w:jc w:val="center"/>
        <w:rPr>
          <w:rFonts w:ascii="仿宋" w:hAnsi="仿宋" w:eastAsia="仿宋"/>
          <w:b/>
          <w:bCs/>
          <w:color w:val="auto"/>
          <w:sz w:val="36"/>
          <w:szCs w:val="36"/>
          <w:highlight w:val="none"/>
          <w:lang w:eastAsia="zh-CN"/>
        </w:rPr>
      </w:pPr>
    </w:p>
    <w:p w14:paraId="02869938">
      <w:pPr>
        <w:spacing w:line="500" w:lineRule="exact"/>
        <w:jc w:val="center"/>
        <w:rPr>
          <w:rFonts w:ascii="仿宋" w:hAnsi="仿宋" w:eastAsia="仿宋"/>
          <w:b/>
          <w:bCs/>
          <w:color w:val="auto"/>
          <w:sz w:val="36"/>
          <w:szCs w:val="36"/>
          <w:highlight w:val="none"/>
          <w:lang w:eastAsia="zh-CN"/>
        </w:rPr>
      </w:pPr>
    </w:p>
    <w:p w14:paraId="00B09C57">
      <w:pPr>
        <w:spacing w:line="500" w:lineRule="exact"/>
        <w:jc w:val="center"/>
        <w:rPr>
          <w:rFonts w:ascii="仿宋" w:hAnsi="仿宋" w:eastAsia="仿宋"/>
          <w:b/>
          <w:bCs/>
          <w:color w:val="auto"/>
          <w:sz w:val="36"/>
          <w:szCs w:val="36"/>
          <w:highlight w:val="none"/>
          <w:lang w:eastAsia="zh-CN"/>
        </w:rPr>
      </w:pPr>
    </w:p>
    <w:p w14:paraId="126A626B">
      <w:pPr>
        <w:spacing w:line="500" w:lineRule="exact"/>
        <w:jc w:val="center"/>
        <w:rPr>
          <w:rFonts w:ascii="仿宋" w:hAnsi="仿宋" w:eastAsia="仿宋"/>
          <w:b/>
          <w:bCs/>
          <w:color w:val="auto"/>
          <w:sz w:val="36"/>
          <w:szCs w:val="36"/>
          <w:highlight w:val="none"/>
          <w:lang w:eastAsia="zh-CN"/>
        </w:rPr>
      </w:pPr>
    </w:p>
    <w:p w14:paraId="164E5ED0">
      <w:pPr>
        <w:spacing w:line="500" w:lineRule="exact"/>
        <w:jc w:val="center"/>
        <w:rPr>
          <w:rFonts w:ascii="仿宋" w:hAnsi="仿宋" w:eastAsia="仿宋"/>
          <w:b/>
          <w:bCs/>
          <w:color w:val="auto"/>
          <w:sz w:val="36"/>
          <w:szCs w:val="36"/>
          <w:highlight w:val="none"/>
          <w:lang w:eastAsia="zh-CN"/>
        </w:rPr>
      </w:pPr>
    </w:p>
    <w:p w14:paraId="5797FDE6">
      <w:pPr>
        <w:spacing w:line="500" w:lineRule="exact"/>
        <w:jc w:val="center"/>
        <w:rPr>
          <w:rFonts w:ascii="仿宋" w:hAnsi="仿宋" w:eastAsia="仿宋"/>
          <w:b/>
          <w:bCs/>
          <w:color w:val="auto"/>
          <w:sz w:val="36"/>
          <w:szCs w:val="36"/>
          <w:highlight w:val="none"/>
          <w:lang w:eastAsia="zh-CN"/>
        </w:rPr>
      </w:pPr>
    </w:p>
    <w:p w14:paraId="7CF4569F">
      <w:pPr>
        <w:spacing w:line="500" w:lineRule="exact"/>
        <w:jc w:val="center"/>
        <w:rPr>
          <w:rFonts w:ascii="仿宋" w:hAnsi="仿宋" w:eastAsia="仿宋"/>
          <w:b/>
          <w:bCs/>
          <w:color w:val="auto"/>
          <w:sz w:val="36"/>
          <w:szCs w:val="36"/>
          <w:highlight w:val="none"/>
          <w:lang w:eastAsia="zh-CN"/>
        </w:rPr>
      </w:pPr>
    </w:p>
    <w:p w14:paraId="44ABFDA9">
      <w:pPr>
        <w:spacing w:line="500" w:lineRule="exact"/>
        <w:jc w:val="center"/>
        <w:rPr>
          <w:rFonts w:ascii="仿宋" w:hAnsi="仿宋" w:eastAsia="仿宋"/>
          <w:b/>
          <w:bCs/>
          <w:color w:val="auto"/>
          <w:sz w:val="36"/>
          <w:szCs w:val="36"/>
          <w:highlight w:val="none"/>
          <w:lang w:eastAsia="zh-CN"/>
        </w:rPr>
      </w:pPr>
    </w:p>
    <w:p w14:paraId="152F0574">
      <w:pPr>
        <w:spacing w:line="500" w:lineRule="exact"/>
        <w:jc w:val="center"/>
        <w:rPr>
          <w:rFonts w:ascii="仿宋" w:hAnsi="仿宋" w:eastAsia="仿宋"/>
          <w:b/>
          <w:bCs/>
          <w:color w:val="auto"/>
          <w:sz w:val="36"/>
          <w:szCs w:val="36"/>
          <w:highlight w:val="none"/>
          <w:lang w:eastAsia="zh-CN"/>
        </w:rPr>
      </w:pPr>
    </w:p>
    <w:p w14:paraId="47F0EA70">
      <w:pPr>
        <w:spacing w:line="500" w:lineRule="exact"/>
        <w:jc w:val="center"/>
        <w:rPr>
          <w:rFonts w:ascii="仿宋" w:hAnsi="仿宋" w:eastAsia="仿宋"/>
          <w:b/>
          <w:bCs/>
          <w:color w:val="auto"/>
          <w:sz w:val="36"/>
          <w:szCs w:val="36"/>
          <w:highlight w:val="none"/>
          <w:lang w:eastAsia="zh-CN"/>
        </w:rPr>
      </w:pPr>
    </w:p>
    <w:p w14:paraId="005EA67B">
      <w:pPr>
        <w:spacing w:line="500" w:lineRule="exact"/>
        <w:rPr>
          <w:rFonts w:ascii="仿宋" w:hAnsi="仿宋" w:eastAsia="仿宋"/>
          <w:b/>
          <w:bCs/>
          <w:color w:val="auto"/>
          <w:sz w:val="36"/>
          <w:szCs w:val="36"/>
          <w:highlight w:val="none"/>
          <w:lang w:eastAsia="zh-CN"/>
        </w:rPr>
      </w:pPr>
    </w:p>
    <w:p w14:paraId="4A255D5A">
      <w:pPr>
        <w:spacing w:line="500" w:lineRule="exact"/>
        <w:jc w:val="center"/>
        <w:rPr>
          <w:rFonts w:ascii="仿宋" w:hAnsi="仿宋" w:eastAsia="仿宋"/>
          <w:b/>
          <w:bCs/>
          <w:color w:val="auto"/>
          <w:sz w:val="36"/>
          <w:szCs w:val="36"/>
          <w:highlight w:val="none"/>
          <w:lang w:eastAsia="zh-CN"/>
        </w:rPr>
      </w:pPr>
    </w:p>
    <w:p w14:paraId="167B2708">
      <w:pPr>
        <w:spacing w:line="500" w:lineRule="exact"/>
        <w:jc w:val="center"/>
        <w:rPr>
          <w:rFonts w:ascii="仿宋" w:hAnsi="仿宋" w:eastAsia="仿宋"/>
          <w:b/>
          <w:bCs/>
          <w:color w:val="auto"/>
          <w:sz w:val="36"/>
          <w:szCs w:val="36"/>
          <w:highlight w:val="none"/>
          <w:lang w:eastAsia="zh-CN"/>
        </w:rPr>
      </w:pPr>
    </w:p>
    <w:p w14:paraId="0D951DE6">
      <w:pPr>
        <w:pStyle w:val="2"/>
        <w:rPr>
          <w:rFonts w:ascii="仿宋" w:hAnsi="仿宋" w:eastAsia="仿宋"/>
          <w:b/>
          <w:bCs/>
          <w:color w:val="auto"/>
          <w:sz w:val="36"/>
          <w:szCs w:val="36"/>
          <w:highlight w:val="none"/>
        </w:rPr>
      </w:pPr>
    </w:p>
    <w:p w14:paraId="2CA8B8AD">
      <w:pPr>
        <w:pStyle w:val="2"/>
        <w:rPr>
          <w:rFonts w:ascii="仿宋" w:hAnsi="仿宋" w:eastAsia="仿宋"/>
          <w:b/>
          <w:bCs/>
          <w:color w:val="auto"/>
          <w:sz w:val="36"/>
          <w:szCs w:val="36"/>
          <w:highlight w:val="none"/>
        </w:rPr>
      </w:pPr>
    </w:p>
    <w:p w14:paraId="5FC1A08F">
      <w:pPr>
        <w:pStyle w:val="2"/>
        <w:rPr>
          <w:rFonts w:ascii="仿宋" w:hAnsi="仿宋" w:eastAsia="仿宋"/>
          <w:b/>
          <w:bCs/>
          <w:color w:val="auto"/>
          <w:sz w:val="36"/>
          <w:szCs w:val="36"/>
          <w:highlight w:val="none"/>
        </w:rPr>
      </w:pPr>
    </w:p>
    <w:p w14:paraId="22397461">
      <w:pPr>
        <w:pStyle w:val="72"/>
        <w:spacing w:beforeLines="0" w:afterLines="0" w:line="240" w:lineRule="auto"/>
        <w:ind w:firstLine="0" w:firstLineChars="0"/>
        <w:jc w:val="center"/>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auto"/>
          <w:highlight w:val="none"/>
          <w:lang w:eastAsia="zh-CN"/>
        </w:rPr>
      </w:pPr>
      <w:r>
        <w:rPr>
          <w:rFonts w:hint="eastAsia" w:ascii="仿宋" w:hAnsi="仿宋" w:eastAsia="仿宋" w:cs="Times New Roman"/>
          <w:b/>
          <w:color w:val="auto"/>
          <w:sz w:val="24"/>
          <w:szCs w:val="24"/>
          <w:highlight w:val="none"/>
          <w:u w:val="single"/>
          <w:lang w:eastAsia="zh-CN"/>
        </w:rPr>
        <w:t>（如内容超过一页，可附页）</w:t>
      </w:r>
    </w:p>
    <w:p w14:paraId="5672AA1B">
      <w:pPr>
        <w:pStyle w:val="2"/>
        <w:jc w:val="center"/>
        <w:rPr>
          <w:rFonts w:ascii="仿宋" w:hAnsi="仿宋" w:eastAsia="仿宋"/>
          <w:color w:val="auto"/>
          <w:highlight w:val="none"/>
        </w:rPr>
      </w:pPr>
    </w:p>
    <w:p w14:paraId="07F4B49D">
      <w:pPr>
        <w:pStyle w:val="2"/>
        <w:jc w:val="center"/>
        <w:rPr>
          <w:rFonts w:ascii="仿宋" w:hAnsi="仿宋" w:eastAsia="仿宋"/>
          <w:color w:val="auto"/>
          <w:highlight w:val="none"/>
        </w:rPr>
      </w:pPr>
    </w:p>
    <w:p w14:paraId="51C1A69A">
      <w:pPr>
        <w:pStyle w:val="2"/>
        <w:jc w:val="center"/>
        <w:rPr>
          <w:rFonts w:ascii="仿宋" w:hAnsi="仿宋" w:eastAsia="仿宋"/>
          <w:color w:val="auto"/>
          <w:highlight w:val="none"/>
        </w:rPr>
      </w:pPr>
    </w:p>
    <w:p w14:paraId="0D214B4C">
      <w:pPr>
        <w:pStyle w:val="2"/>
        <w:jc w:val="center"/>
        <w:rPr>
          <w:rFonts w:ascii="仿宋" w:hAnsi="仿宋" w:eastAsia="仿宋"/>
          <w:color w:val="auto"/>
          <w:highlight w:val="none"/>
        </w:rPr>
      </w:pPr>
    </w:p>
    <w:p w14:paraId="515264EC">
      <w:pPr>
        <w:pStyle w:val="2"/>
        <w:jc w:val="center"/>
        <w:rPr>
          <w:rFonts w:ascii="仿宋" w:hAnsi="仿宋" w:eastAsia="仿宋"/>
          <w:color w:val="auto"/>
          <w:highlight w:val="none"/>
        </w:rPr>
      </w:pPr>
    </w:p>
    <w:p w14:paraId="60F6820E">
      <w:pPr>
        <w:pStyle w:val="2"/>
        <w:jc w:val="center"/>
        <w:rPr>
          <w:rFonts w:ascii="仿宋" w:hAnsi="仿宋" w:eastAsia="仿宋"/>
          <w:color w:val="auto"/>
          <w:highlight w:val="none"/>
        </w:rPr>
      </w:pPr>
    </w:p>
    <w:p w14:paraId="6BE8487F">
      <w:pPr>
        <w:pStyle w:val="2"/>
        <w:jc w:val="center"/>
        <w:rPr>
          <w:rFonts w:ascii="仿宋" w:hAnsi="仿宋" w:eastAsia="仿宋"/>
          <w:color w:val="auto"/>
          <w:highlight w:val="none"/>
        </w:rPr>
      </w:pPr>
    </w:p>
    <w:p w14:paraId="4932222D">
      <w:pPr>
        <w:pStyle w:val="2"/>
        <w:jc w:val="center"/>
        <w:rPr>
          <w:rFonts w:ascii="仿宋" w:hAnsi="仿宋" w:eastAsia="仿宋"/>
          <w:color w:val="auto"/>
          <w:highlight w:val="none"/>
        </w:rPr>
      </w:pPr>
    </w:p>
    <w:p w14:paraId="235603DF">
      <w:pPr>
        <w:pStyle w:val="2"/>
        <w:jc w:val="center"/>
        <w:rPr>
          <w:rFonts w:ascii="仿宋" w:hAnsi="仿宋" w:eastAsia="仿宋"/>
          <w:color w:val="auto"/>
          <w:highlight w:val="none"/>
        </w:rPr>
      </w:pPr>
    </w:p>
    <w:p w14:paraId="35DF4E97">
      <w:pPr>
        <w:pStyle w:val="2"/>
        <w:jc w:val="center"/>
        <w:rPr>
          <w:rFonts w:ascii="仿宋" w:hAnsi="仿宋" w:eastAsia="仿宋"/>
          <w:color w:val="auto"/>
          <w:highlight w:val="none"/>
        </w:rPr>
      </w:pPr>
    </w:p>
    <w:p w14:paraId="52D6C2C2">
      <w:pPr>
        <w:pStyle w:val="2"/>
        <w:jc w:val="center"/>
        <w:rPr>
          <w:rFonts w:ascii="仿宋" w:hAnsi="仿宋" w:eastAsia="仿宋"/>
          <w:color w:val="auto"/>
          <w:highlight w:val="none"/>
        </w:rPr>
      </w:pPr>
    </w:p>
    <w:p w14:paraId="13FA6665">
      <w:pPr>
        <w:pStyle w:val="2"/>
        <w:jc w:val="center"/>
        <w:rPr>
          <w:rFonts w:ascii="仿宋" w:hAnsi="仿宋" w:eastAsia="仿宋"/>
          <w:color w:val="auto"/>
          <w:highlight w:val="none"/>
        </w:rPr>
      </w:pPr>
    </w:p>
    <w:p w14:paraId="0836E2F9">
      <w:pPr>
        <w:pStyle w:val="2"/>
        <w:jc w:val="center"/>
        <w:rPr>
          <w:rFonts w:ascii="仿宋" w:hAnsi="仿宋" w:eastAsia="仿宋"/>
          <w:color w:val="auto"/>
          <w:highlight w:val="none"/>
        </w:rPr>
      </w:pPr>
    </w:p>
    <w:p w14:paraId="3CAE195D">
      <w:pPr>
        <w:pStyle w:val="2"/>
        <w:jc w:val="center"/>
        <w:rPr>
          <w:rFonts w:ascii="仿宋" w:hAnsi="仿宋" w:eastAsia="仿宋"/>
          <w:color w:val="auto"/>
          <w:highlight w:val="none"/>
        </w:rPr>
      </w:pPr>
    </w:p>
    <w:p w14:paraId="7E0FD362">
      <w:pPr>
        <w:pStyle w:val="2"/>
        <w:jc w:val="center"/>
        <w:rPr>
          <w:rFonts w:ascii="仿宋" w:hAnsi="仿宋" w:eastAsia="仿宋"/>
          <w:color w:val="auto"/>
          <w:highlight w:val="none"/>
        </w:rPr>
      </w:pPr>
    </w:p>
    <w:p w14:paraId="402D4532">
      <w:pPr>
        <w:pStyle w:val="2"/>
        <w:jc w:val="center"/>
        <w:rPr>
          <w:rFonts w:ascii="仿宋" w:hAnsi="仿宋" w:eastAsia="仿宋"/>
          <w:color w:val="auto"/>
          <w:highlight w:val="none"/>
        </w:rPr>
      </w:pPr>
    </w:p>
    <w:p w14:paraId="23C46CE7">
      <w:pPr>
        <w:pStyle w:val="2"/>
        <w:jc w:val="center"/>
        <w:rPr>
          <w:rFonts w:ascii="仿宋" w:hAnsi="仿宋" w:eastAsia="仿宋"/>
          <w:color w:val="auto"/>
          <w:highlight w:val="none"/>
        </w:rPr>
      </w:pPr>
    </w:p>
    <w:p w14:paraId="4192964F">
      <w:pPr>
        <w:pStyle w:val="2"/>
        <w:jc w:val="center"/>
        <w:rPr>
          <w:rFonts w:ascii="仿宋" w:hAnsi="仿宋" w:eastAsia="仿宋"/>
          <w:color w:val="auto"/>
          <w:highlight w:val="none"/>
        </w:rPr>
      </w:pPr>
    </w:p>
    <w:p w14:paraId="2F9D3DFA">
      <w:pPr>
        <w:pStyle w:val="2"/>
        <w:jc w:val="center"/>
        <w:rPr>
          <w:rFonts w:ascii="仿宋" w:hAnsi="仿宋" w:eastAsia="仿宋"/>
          <w:color w:val="auto"/>
          <w:highlight w:val="none"/>
        </w:rPr>
      </w:pPr>
    </w:p>
    <w:p w14:paraId="3E5F5B2A">
      <w:pPr>
        <w:spacing w:line="500" w:lineRule="exact"/>
        <w:jc w:val="center"/>
        <w:rPr>
          <w:rFonts w:ascii="仿宋" w:hAnsi="仿宋" w:eastAsia="仿宋"/>
          <w:b/>
          <w:bCs/>
          <w:color w:val="auto"/>
          <w:sz w:val="36"/>
          <w:szCs w:val="36"/>
          <w:highlight w:val="none"/>
          <w:lang w:eastAsia="zh-CN"/>
        </w:rPr>
      </w:pPr>
    </w:p>
    <w:p w14:paraId="6B392EB3">
      <w:pPr>
        <w:spacing w:line="500" w:lineRule="exact"/>
        <w:jc w:val="center"/>
        <w:rPr>
          <w:rFonts w:ascii="仿宋" w:hAnsi="仿宋" w:eastAsia="仿宋"/>
          <w:b/>
          <w:bCs/>
          <w:color w:val="auto"/>
          <w:sz w:val="36"/>
          <w:szCs w:val="36"/>
          <w:highlight w:val="none"/>
          <w:lang w:eastAsia="zh-CN"/>
        </w:rPr>
      </w:pPr>
    </w:p>
    <w:p w14:paraId="0BC17E12">
      <w:pPr>
        <w:pStyle w:val="2"/>
        <w:rPr>
          <w:color w:val="auto"/>
          <w:highlight w:val="none"/>
        </w:rPr>
      </w:pPr>
    </w:p>
    <w:p w14:paraId="190E2187">
      <w:pPr>
        <w:spacing w:line="500" w:lineRule="exact"/>
        <w:jc w:val="center"/>
        <w:rPr>
          <w:rFonts w:ascii="仿宋" w:hAnsi="仿宋" w:eastAsia="仿宋"/>
          <w:b/>
          <w:bCs/>
          <w:color w:val="auto"/>
          <w:sz w:val="36"/>
          <w:szCs w:val="36"/>
          <w:highlight w:val="none"/>
          <w:lang w:eastAsia="zh-CN"/>
        </w:rPr>
      </w:pPr>
      <w:r>
        <w:rPr>
          <w:rFonts w:hint="eastAsia" w:ascii="仿宋" w:hAnsi="仿宋" w:eastAsia="仿宋"/>
          <w:b/>
          <w:bCs/>
          <w:color w:val="auto"/>
          <w:sz w:val="36"/>
          <w:szCs w:val="36"/>
          <w:highlight w:val="none"/>
          <w:lang w:eastAsia="zh-CN"/>
        </w:rPr>
        <w:t>营业执照复印件</w:t>
      </w:r>
    </w:p>
    <w:p w14:paraId="4E28F93B">
      <w:pPr>
        <w:pStyle w:val="2"/>
        <w:jc w:val="center"/>
        <w:rPr>
          <w:rFonts w:ascii="仿宋" w:hAnsi="仿宋" w:eastAsia="仿宋"/>
          <w:color w:val="auto"/>
          <w:highlight w:val="none"/>
        </w:rPr>
      </w:pPr>
    </w:p>
    <w:p w14:paraId="14EE2753">
      <w:pPr>
        <w:pStyle w:val="2"/>
        <w:jc w:val="center"/>
        <w:rPr>
          <w:rFonts w:ascii="仿宋" w:hAnsi="仿宋" w:eastAsia="仿宋"/>
          <w:color w:val="auto"/>
          <w:highlight w:val="none"/>
        </w:rPr>
      </w:pPr>
    </w:p>
    <w:p w14:paraId="0F675B4B">
      <w:pPr>
        <w:pStyle w:val="2"/>
        <w:jc w:val="center"/>
        <w:rPr>
          <w:rFonts w:ascii="仿宋" w:hAnsi="仿宋" w:eastAsia="仿宋"/>
          <w:color w:val="auto"/>
          <w:highlight w:val="none"/>
        </w:rPr>
      </w:pPr>
    </w:p>
    <w:p w14:paraId="0B26124F">
      <w:pPr>
        <w:pStyle w:val="2"/>
        <w:jc w:val="center"/>
        <w:rPr>
          <w:rFonts w:ascii="仿宋" w:hAnsi="仿宋" w:eastAsia="仿宋"/>
          <w:color w:val="auto"/>
          <w:highlight w:val="none"/>
        </w:rPr>
      </w:pPr>
    </w:p>
    <w:p w14:paraId="4E990DCE">
      <w:pPr>
        <w:pStyle w:val="2"/>
        <w:jc w:val="center"/>
        <w:rPr>
          <w:rFonts w:ascii="仿宋" w:hAnsi="仿宋" w:eastAsia="仿宋"/>
          <w:color w:val="auto"/>
          <w:highlight w:val="none"/>
        </w:rPr>
      </w:pPr>
    </w:p>
    <w:p w14:paraId="60B37F03">
      <w:pPr>
        <w:pStyle w:val="2"/>
        <w:jc w:val="center"/>
        <w:rPr>
          <w:rFonts w:ascii="仿宋" w:hAnsi="仿宋" w:eastAsia="仿宋"/>
          <w:color w:val="auto"/>
          <w:highlight w:val="none"/>
        </w:rPr>
      </w:pPr>
    </w:p>
    <w:p w14:paraId="611C747F">
      <w:pPr>
        <w:pStyle w:val="2"/>
        <w:jc w:val="center"/>
        <w:rPr>
          <w:rFonts w:ascii="仿宋" w:hAnsi="仿宋" w:eastAsia="仿宋"/>
          <w:color w:val="auto"/>
          <w:highlight w:val="none"/>
        </w:rPr>
      </w:pPr>
    </w:p>
    <w:p w14:paraId="1BAE273F">
      <w:pPr>
        <w:pStyle w:val="2"/>
        <w:jc w:val="center"/>
        <w:rPr>
          <w:rFonts w:ascii="仿宋" w:hAnsi="仿宋" w:eastAsia="仿宋"/>
          <w:color w:val="auto"/>
          <w:highlight w:val="none"/>
        </w:rPr>
      </w:pPr>
    </w:p>
    <w:p w14:paraId="03246013">
      <w:pPr>
        <w:pStyle w:val="2"/>
        <w:jc w:val="center"/>
        <w:rPr>
          <w:rFonts w:ascii="仿宋" w:hAnsi="仿宋" w:eastAsia="仿宋"/>
          <w:color w:val="auto"/>
          <w:highlight w:val="none"/>
        </w:rPr>
      </w:pPr>
    </w:p>
    <w:p w14:paraId="2586779F">
      <w:pPr>
        <w:pStyle w:val="2"/>
        <w:jc w:val="center"/>
        <w:rPr>
          <w:rFonts w:ascii="仿宋" w:hAnsi="仿宋" w:eastAsia="仿宋"/>
          <w:color w:val="auto"/>
          <w:highlight w:val="none"/>
        </w:rPr>
      </w:pPr>
    </w:p>
    <w:p w14:paraId="32A7C384">
      <w:pPr>
        <w:pStyle w:val="2"/>
        <w:jc w:val="center"/>
        <w:rPr>
          <w:rFonts w:ascii="仿宋" w:hAnsi="仿宋" w:eastAsia="仿宋"/>
          <w:color w:val="auto"/>
          <w:highlight w:val="none"/>
        </w:rPr>
      </w:pPr>
    </w:p>
    <w:p w14:paraId="690464A2">
      <w:pPr>
        <w:pStyle w:val="2"/>
        <w:rPr>
          <w:rFonts w:ascii="仿宋" w:hAnsi="仿宋" w:eastAsia="仿宋"/>
          <w:color w:val="auto"/>
          <w:highlight w:val="none"/>
        </w:rPr>
      </w:pPr>
    </w:p>
    <w:p w14:paraId="68959834">
      <w:pPr>
        <w:pStyle w:val="2"/>
        <w:rPr>
          <w:rFonts w:ascii="仿宋" w:hAnsi="仿宋" w:eastAsia="仿宋"/>
          <w:color w:val="auto"/>
          <w:highlight w:val="none"/>
        </w:rPr>
      </w:pPr>
    </w:p>
    <w:p w14:paraId="4DFCFEAC">
      <w:pPr>
        <w:pStyle w:val="2"/>
        <w:rPr>
          <w:rFonts w:ascii="仿宋" w:hAnsi="仿宋" w:eastAsia="仿宋"/>
          <w:color w:val="auto"/>
          <w:highlight w:val="none"/>
        </w:rPr>
      </w:pPr>
    </w:p>
    <w:p w14:paraId="7DC2E904">
      <w:pPr>
        <w:pStyle w:val="2"/>
        <w:rPr>
          <w:rFonts w:ascii="仿宋" w:hAnsi="仿宋" w:eastAsia="仿宋"/>
          <w:color w:val="auto"/>
          <w:highlight w:val="none"/>
        </w:rPr>
      </w:pPr>
    </w:p>
    <w:p w14:paraId="39724B2B">
      <w:pPr>
        <w:pStyle w:val="2"/>
        <w:rPr>
          <w:rFonts w:ascii="仿宋" w:hAnsi="仿宋" w:eastAsia="仿宋"/>
          <w:color w:val="auto"/>
          <w:highlight w:val="none"/>
        </w:rPr>
      </w:pPr>
    </w:p>
    <w:p w14:paraId="70BA8F41">
      <w:pPr>
        <w:pStyle w:val="2"/>
        <w:rPr>
          <w:rFonts w:ascii="仿宋" w:hAnsi="仿宋" w:eastAsia="仿宋"/>
          <w:color w:val="auto"/>
          <w:highlight w:val="none"/>
        </w:rPr>
      </w:pPr>
    </w:p>
    <w:p w14:paraId="40169A43">
      <w:pPr>
        <w:pStyle w:val="2"/>
        <w:rPr>
          <w:rFonts w:ascii="仿宋" w:hAnsi="仿宋" w:eastAsia="仿宋"/>
          <w:color w:val="auto"/>
          <w:highlight w:val="none"/>
        </w:rPr>
      </w:pPr>
    </w:p>
    <w:p w14:paraId="48E2CDEF">
      <w:pPr>
        <w:spacing w:line="360" w:lineRule="auto"/>
        <w:ind w:firstLine="3292" w:firstLineChars="911"/>
        <w:rPr>
          <w:rFonts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lang w:eastAsia="zh-CN"/>
        </w:rPr>
        <w:t>商务报价函</w:t>
      </w:r>
    </w:p>
    <w:p w14:paraId="1DA87401">
      <w:pPr>
        <w:pStyle w:val="3"/>
        <w:rPr>
          <w:color w:val="auto"/>
          <w:highlight w:val="none"/>
          <w:lang w:eastAsia="zh-CN"/>
        </w:rPr>
      </w:pPr>
    </w:p>
    <w:p w14:paraId="40031B1F">
      <w:pPr>
        <w:spacing w:line="360" w:lineRule="auto"/>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致：福建福海创石油化工有限公司</w:t>
      </w:r>
    </w:p>
    <w:p w14:paraId="5234512C">
      <w:pPr>
        <w:spacing w:line="360" w:lineRule="auto"/>
        <w:ind w:firstLine="420" w:firstLineChars="150"/>
        <w:rPr>
          <w:rFonts w:ascii="Times New Roman" w:hAnsi="Times New Roman" w:cs="Times New Roman"/>
          <w:color w:val="auto"/>
          <w:sz w:val="28"/>
          <w:szCs w:val="28"/>
          <w:highlight w:val="none"/>
          <w:lang w:eastAsia="zh-CN"/>
        </w:rPr>
      </w:pPr>
      <w:r>
        <w:rPr>
          <w:rFonts w:ascii="Times New Roman" w:hAnsi="Times New Roman" w:cs="Times New Roman"/>
          <w:color w:val="auto"/>
          <w:sz w:val="28"/>
          <w:szCs w:val="28"/>
          <w:highlight w:val="none"/>
          <w:lang w:eastAsia="zh-CN"/>
        </w:rPr>
        <w:t>在充分研究福建福海创石油化工有限公司</w:t>
      </w:r>
      <w:r>
        <w:rPr>
          <w:rFonts w:hint="eastAsia" w:ascii="Times New Roman" w:hAnsi="Times New Roman" w:eastAsia="宋体" w:cs="Times New Roman"/>
          <w:color w:val="auto"/>
          <w:sz w:val="28"/>
          <w:szCs w:val="28"/>
          <w:highlight w:val="none"/>
          <w:u w:val="single"/>
          <w:lang w:eastAsia="zh-CN"/>
        </w:rPr>
        <w:t>开展生产船燃的进料加工业务服务出具专业报告项目</w:t>
      </w:r>
      <w:r>
        <w:rPr>
          <w:rFonts w:hint="eastAsia" w:ascii="Times New Roman" w:hAnsi="Times New Roman" w:eastAsia="宋体" w:cs="Times New Roman"/>
          <w:color w:val="auto"/>
          <w:sz w:val="28"/>
          <w:szCs w:val="28"/>
          <w:highlight w:val="none"/>
          <w:u w:val="none"/>
          <w:lang w:val="en-US" w:eastAsia="zh-CN"/>
        </w:rPr>
        <w:t>询</w:t>
      </w:r>
      <w:r>
        <w:rPr>
          <w:rFonts w:hint="eastAsia" w:ascii="Times New Roman" w:hAnsi="Times New Roman" w:cs="Times New Roman"/>
          <w:color w:val="auto"/>
          <w:sz w:val="28"/>
          <w:szCs w:val="28"/>
          <w:highlight w:val="none"/>
          <w:u w:val="none"/>
          <w:lang w:eastAsia="zh-CN"/>
        </w:rPr>
        <w:t>比</w:t>
      </w:r>
      <w:r>
        <w:rPr>
          <w:rFonts w:ascii="Times New Roman" w:hAnsi="Times New Roman" w:cs="Times New Roman"/>
          <w:color w:val="auto"/>
          <w:sz w:val="28"/>
          <w:szCs w:val="28"/>
          <w:highlight w:val="none"/>
          <w:u w:val="none"/>
          <w:lang w:eastAsia="zh-CN"/>
        </w:rPr>
        <w:t>文件</w:t>
      </w:r>
      <w:r>
        <w:rPr>
          <w:rFonts w:ascii="Times New Roman" w:hAnsi="Times New Roman" w:cs="Times New Roman"/>
          <w:color w:val="auto"/>
          <w:sz w:val="28"/>
          <w:szCs w:val="28"/>
          <w:highlight w:val="none"/>
          <w:lang w:eastAsia="zh-CN"/>
        </w:rPr>
        <w:t>的全部内容后，我方愿以以下报价，严格按照自主比选文件的要求，交付本项目其中的任何缺陷。</w:t>
      </w:r>
    </w:p>
    <w:p w14:paraId="3C1AE7D1">
      <w:pPr>
        <w:spacing w:line="360" w:lineRule="auto"/>
        <w:rPr>
          <w:rFonts w:ascii="Times New Roman" w:hAnsi="Times New Roman" w:cs="Times New Roman"/>
          <w:color w:val="auto"/>
          <w:sz w:val="28"/>
          <w:szCs w:val="28"/>
          <w:highlight w:val="none"/>
          <w:lang w:eastAsia="zh-CN"/>
        </w:rPr>
      </w:pPr>
      <w:r>
        <w:rPr>
          <w:rFonts w:ascii="Times New Roman" w:hAnsi="Times New Roman" w:cs="Times New Roman"/>
          <w:b/>
          <w:bCs/>
          <w:color w:val="auto"/>
          <w:sz w:val="28"/>
          <w:szCs w:val="28"/>
          <w:highlight w:val="none"/>
          <w:lang w:eastAsia="zh-CN"/>
        </w:rPr>
        <w:t>本项目含税包干固定总价</w:t>
      </w:r>
      <w:r>
        <w:rPr>
          <w:rFonts w:ascii="Times New Roman" w:hAnsi="Times New Roman" w:cs="Times New Roman"/>
          <w:color w:val="auto"/>
          <w:sz w:val="28"/>
          <w:szCs w:val="28"/>
          <w:highlight w:val="none"/>
          <w:lang w:eastAsia="zh-CN"/>
        </w:rPr>
        <w:t xml:space="preserve">（大写）： </w:t>
      </w:r>
      <w:r>
        <w:rPr>
          <w:rFonts w:ascii="Times New Roman" w:hAnsi="Times New Roman" w:cs="Times New Roman"/>
          <w:color w:val="auto"/>
          <w:sz w:val="28"/>
          <w:szCs w:val="28"/>
          <w:highlight w:val="none"/>
          <w:u w:val="single"/>
          <w:lang w:eastAsia="zh-CN"/>
        </w:rPr>
        <w:t xml:space="preserve">                                                     </w:t>
      </w:r>
    </w:p>
    <w:p w14:paraId="6F3C06CD">
      <w:pPr>
        <w:spacing w:line="360" w:lineRule="auto"/>
        <w:ind w:firstLine="3220" w:firstLineChars="1150"/>
        <w:rPr>
          <w:rFonts w:ascii="Times New Roman" w:hAnsi="Times New Roman" w:cs="Times New Roman"/>
          <w:color w:val="auto"/>
          <w:sz w:val="28"/>
          <w:szCs w:val="28"/>
          <w:highlight w:val="none"/>
          <w:u w:val="single"/>
          <w:lang w:eastAsia="zh-CN"/>
        </w:rPr>
      </w:pPr>
      <w:r>
        <w:rPr>
          <w:rFonts w:ascii="Times New Roman" w:hAnsi="Times New Roman" w:cs="Times New Roman"/>
          <w:color w:val="auto"/>
          <w:sz w:val="28"/>
          <w:szCs w:val="28"/>
          <w:highlight w:val="none"/>
          <w:lang w:eastAsia="zh-CN"/>
        </w:rPr>
        <w:t>（小写）：</w:t>
      </w:r>
      <w:r>
        <w:rPr>
          <w:rFonts w:ascii="Times New Roman" w:hAnsi="Times New Roman" w:cs="Times New Roman"/>
          <w:color w:val="auto"/>
          <w:sz w:val="28"/>
          <w:szCs w:val="28"/>
          <w:highlight w:val="none"/>
          <w:u w:val="single"/>
          <w:lang w:eastAsia="zh-CN"/>
        </w:rPr>
        <w:t xml:space="preserve">                    元（增值税税     %） </w:t>
      </w:r>
    </w:p>
    <w:p w14:paraId="18770622">
      <w:pPr>
        <w:pStyle w:val="214"/>
        <w:spacing w:line="360" w:lineRule="auto"/>
        <w:jc w:val="left"/>
        <w:rPr>
          <w:rFonts w:ascii="Times New Roman" w:hAnsi="Times New Roman" w:cs="Times New Roman"/>
          <w:b/>
          <w:color w:val="auto"/>
          <w:sz w:val="32"/>
          <w:szCs w:val="32"/>
          <w:highlight w:val="none"/>
          <w:lang w:eastAsia="zh-CN"/>
        </w:rPr>
      </w:pPr>
    </w:p>
    <w:tbl>
      <w:tblPr>
        <w:tblStyle w:val="46"/>
        <w:tblW w:w="9498" w:type="dxa"/>
        <w:tblInd w:w="-4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52"/>
        <w:gridCol w:w="2976"/>
        <w:gridCol w:w="5670"/>
      </w:tblGrid>
      <w:tr w14:paraId="00ADC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tblHeader/>
        </w:trPr>
        <w:tc>
          <w:tcPr>
            <w:tcW w:w="852" w:type="dxa"/>
            <w:tcBorders>
              <w:top w:val="single" w:color="auto" w:sz="2" w:space="0"/>
              <w:left w:val="single" w:color="auto" w:sz="2" w:space="0"/>
              <w:bottom w:val="single" w:color="auto" w:sz="2" w:space="0"/>
              <w:right w:val="single" w:color="auto" w:sz="2" w:space="0"/>
            </w:tcBorders>
            <w:vAlign w:val="center"/>
          </w:tcPr>
          <w:p w14:paraId="2932F230">
            <w:pPr>
              <w:pStyle w:val="215"/>
              <w:spacing w:line="360" w:lineRule="auto"/>
              <w:rPr>
                <w:rFonts w:ascii="Times New Roman"/>
                <w:color w:val="auto"/>
                <w:kern w:val="2"/>
                <w:sz w:val="24"/>
                <w:szCs w:val="24"/>
                <w:highlight w:val="none"/>
                <w:lang w:eastAsia="zh-CN"/>
              </w:rPr>
            </w:pPr>
            <w:r>
              <w:rPr>
                <w:rFonts w:ascii="Times New Roman"/>
                <w:color w:val="auto"/>
                <w:kern w:val="2"/>
                <w:sz w:val="24"/>
                <w:szCs w:val="24"/>
                <w:highlight w:val="none"/>
                <w:lang w:eastAsia="zh-CN"/>
              </w:rPr>
              <w:t>序号</w:t>
            </w:r>
          </w:p>
        </w:tc>
        <w:tc>
          <w:tcPr>
            <w:tcW w:w="2976" w:type="dxa"/>
            <w:tcBorders>
              <w:top w:val="single" w:color="auto" w:sz="2" w:space="0"/>
              <w:left w:val="single" w:color="auto" w:sz="2" w:space="0"/>
              <w:bottom w:val="single" w:color="auto" w:sz="2" w:space="0"/>
              <w:right w:val="single" w:color="auto" w:sz="2" w:space="0"/>
            </w:tcBorders>
            <w:vAlign w:val="center"/>
          </w:tcPr>
          <w:p w14:paraId="2281D8E1">
            <w:pPr>
              <w:pStyle w:val="215"/>
              <w:spacing w:line="360" w:lineRule="auto"/>
              <w:rPr>
                <w:rFonts w:ascii="Times New Roman"/>
                <w:color w:val="auto"/>
                <w:kern w:val="2"/>
                <w:sz w:val="24"/>
                <w:szCs w:val="24"/>
                <w:highlight w:val="none"/>
                <w:lang w:eastAsia="zh-CN"/>
              </w:rPr>
            </w:pPr>
            <w:r>
              <w:rPr>
                <w:rFonts w:ascii="Times New Roman"/>
                <w:color w:val="auto"/>
                <w:kern w:val="2"/>
                <w:sz w:val="24"/>
                <w:szCs w:val="24"/>
                <w:highlight w:val="none"/>
                <w:lang w:eastAsia="zh-CN"/>
              </w:rPr>
              <w:t>项目</w:t>
            </w:r>
          </w:p>
        </w:tc>
        <w:tc>
          <w:tcPr>
            <w:tcW w:w="5670" w:type="dxa"/>
            <w:tcBorders>
              <w:top w:val="single" w:color="auto" w:sz="2" w:space="0"/>
              <w:left w:val="single" w:color="auto" w:sz="2" w:space="0"/>
              <w:bottom w:val="single" w:color="auto" w:sz="2" w:space="0"/>
              <w:right w:val="single" w:color="auto" w:sz="2" w:space="0"/>
            </w:tcBorders>
            <w:vAlign w:val="center"/>
          </w:tcPr>
          <w:p w14:paraId="6A6A077A">
            <w:pPr>
              <w:pStyle w:val="215"/>
              <w:spacing w:line="360" w:lineRule="auto"/>
              <w:rPr>
                <w:rFonts w:ascii="Times New Roman"/>
                <w:color w:val="auto"/>
                <w:kern w:val="2"/>
                <w:sz w:val="24"/>
                <w:szCs w:val="24"/>
                <w:highlight w:val="none"/>
                <w:lang w:eastAsia="zh-CN"/>
              </w:rPr>
            </w:pPr>
            <w:r>
              <w:rPr>
                <w:rFonts w:hint="eastAsia" w:ascii="Times New Roman"/>
                <w:color w:val="auto"/>
                <w:kern w:val="2"/>
                <w:sz w:val="24"/>
                <w:szCs w:val="24"/>
                <w:highlight w:val="none"/>
                <w:lang w:eastAsia="zh-CN"/>
              </w:rPr>
              <w:t>项目内容</w:t>
            </w:r>
          </w:p>
        </w:tc>
      </w:tr>
      <w:tr w14:paraId="6DB16D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3" w:hRule="atLeast"/>
        </w:trPr>
        <w:tc>
          <w:tcPr>
            <w:tcW w:w="852" w:type="dxa"/>
            <w:tcBorders>
              <w:top w:val="single" w:color="auto" w:sz="2" w:space="0"/>
              <w:left w:val="single" w:color="auto" w:sz="2" w:space="0"/>
              <w:bottom w:val="single" w:color="auto" w:sz="2" w:space="0"/>
              <w:right w:val="single" w:color="auto" w:sz="2" w:space="0"/>
            </w:tcBorders>
            <w:vAlign w:val="center"/>
          </w:tcPr>
          <w:p w14:paraId="25E0C124">
            <w:pPr>
              <w:pStyle w:val="215"/>
              <w:spacing w:line="360" w:lineRule="auto"/>
              <w:rPr>
                <w:rFonts w:ascii="Times New Roman"/>
                <w:color w:val="auto"/>
                <w:kern w:val="2"/>
                <w:sz w:val="24"/>
                <w:szCs w:val="24"/>
                <w:highlight w:val="none"/>
                <w:lang w:eastAsia="zh-CN"/>
              </w:rPr>
            </w:pPr>
            <w:r>
              <w:rPr>
                <w:rFonts w:hint="eastAsia" w:ascii="Times New Roman"/>
                <w:color w:val="auto"/>
                <w:kern w:val="2"/>
                <w:sz w:val="24"/>
                <w:szCs w:val="24"/>
                <w:highlight w:val="none"/>
                <w:lang w:eastAsia="zh-CN"/>
              </w:rPr>
              <w:t>1</w:t>
            </w:r>
          </w:p>
        </w:tc>
        <w:tc>
          <w:tcPr>
            <w:tcW w:w="2976" w:type="dxa"/>
            <w:tcBorders>
              <w:top w:val="single" w:color="auto" w:sz="2" w:space="0"/>
              <w:left w:val="single" w:color="auto" w:sz="2" w:space="0"/>
              <w:bottom w:val="single" w:color="auto" w:sz="2" w:space="0"/>
              <w:right w:val="single" w:color="auto" w:sz="2" w:space="0"/>
            </w:tcBorders>
            <w:vAlign w:val="center"/>
          </w:tcPr>
          <w:p w14:paraId="3A5E45D1">
            <w:pPr>
              <w:pStyle w:val="215"/>
              <w:spacing w:line="360" w:lineRule="auto"/>
              <w:jc w:val="center"/>
              <w:rPr>
                <w:rFonts w:ascii="Times New Roman"/>
                <w:color w:val="auto"/>
                <w:kern w:val="2"/>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开展生产船燃的进料加工业务服务出具专业报告项目</w:t>
            </w:r>
          </w:p>
        </w:tc>
        <w:tc>
          <w:tcPr>
            <w:tcW w:w="5670" w:type="dxa"/>
            <w:tcBorders>
              <w:top w:val="single" w:color="auto" w:sz="2" w:space="0"/>
              <w:left w:val="single" w:color="auto" w:sz="2" w:space="0"/>
              <w:right w:val="single" w:color="auto" w:sz="2" w:space="0"/>
            </w:tcBorders>
            <w:vAlign w:val="center"/>
          </w:tcPr>
          <w:p w14:paraId="3A21B9E9">
            <w:pPr>
              <w:adjustRightInd w:val="0"/>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详见附件《关于燃料油(常压渣油)生产船用燃料油的</w:t>
            </w:r>
          </w:p>
          <w:p w14:paraId="426E4E4B">
            <w:pPr>
              <w:adjustRightInd w:val="0"/>
              <w:spacing w:line="360" w:lineRule="auto"/>
              <w:jc w:val="center"/>
              <w:rPr>
                <w:rFonts w:ascii="Times New Roman"/>
                <w:color w:val="auto"/>
                <w:kern w:val="2"/>
                <w:sz w:val="24"/>
                <w:szCs w:val="24"/>
                <w:highlight w:val="none"/>
                <w:lang w:eastAsia="zh-CN"/>
              </w:rPr>
            </w:pPr>
            <w:r>
              <w:rPr>
                <w:rFonts w:hint="eastAsia" w:asciiTheme="minorEastAsia" w:hAnsiTheme="minorEastAsia" w:eastAsiaTheme="minorEastAsia"/>
                <w:color w:val="auto"/>
                <w:sz w:val="24"/>
                <w:szCs w:val="24"/>
                <w:highlight w:val="none"/>
                <w:lang w:val="en-US" w:eastAsia="zh-CN"/>
              </w:rPr>
              <w:t>进料加工业务服务发包说明》</w:t>
            </w:r>
          </w:p>
        </w:tc>
      </w:tr>
    </w:tbl>
    <w:p w14:paraId="6077356C">
      <w:pPr>
        <w:spacing w:line="360" w:lineRule="auto"/>
        <w:ind w:firstLine="480" w:firstLineChars="200"/>
        <w:jc w:val="right"/>
        <w:rPr>
          <w:rFonts w:ascii="Times New Roman" w:hAnsi="Times New Roman" w:cs="Times New Roman"/>
          <w:color w:val="auto"/>
          <w:sz w:val="24"/>
          <w:szCs w:val="24"/>
          <w:highlight w:val="none"/>
          <w:lang w:eastAsia="zh-CN"/>
        </w:rPr>
      </w:pPr>
    </w:p>
    <w:p w14:paraId="074604D9">
      <w:pPr>
        <w:spacing w:line="360" w:lineRule="auto"/>
        <w:ind w:firstLine="480" w:firstLineChars="200"/>
        <w:jc w:val="right"/>
        <w:rPr>
          <w:rFonts w:ascii="Times New Roman" w:hAnsi="Times New Roman" w:cs="Times New Roman"/>
          <w:color w:val="auto"/>
          <w:sz w:val="24"/>
          <w:szCs w:val="24"/>
          <w:highlight w:val="none"/>
          <w:u w:val="single"/>
          <w:lang w:eastAsia="zh-CN"/>
        </w:rPr>
      </w:pPr>
      <w:r>
        <w:rPr>
          <w:rFonts w:ascii="Times New Roman" w:hAnsi="Times New Roman" w:cs="Times New Roman"/>
          <w:color w:val="auto"/>
          <w:sz w:val="24"/>
          <w:szCs w:val="24"/>
          <w:highlight w:val="none"/>
          <w:lang w:eastAsia="zh-CN"/>
        </w:rPr>
        <w:t>参选人：</w:t>
      </w:r>
      <w:r>
        <w:rPr>
          <w:rFonts w:ascii="Times New Roman" w:hAnsi="Times New Roman" w:cs="Times New Roman"/>
          <w:color w:val="auto"/>
          <w:sz w:val="24"/>
          <w:szCs w:val="24"/>
          <w:highlight w:val="none"/>
          <w:u w:val="single"/>
          <w:lang w:eastAsia="zh-CN"/>
        </w:rPr>
        <w:t xml:space="preserve">      </w:t>
      </w:r>
      <w:r>
        <w:rPr>
          <w:rFonts w:ascii="Times New Roman" w:hAnsi="Times New Roman" w:cs="Times New Roman"/>
          <w:color w:val="auto"/>
          <w:sz w:val="24"/>
          <w:szCs w:val="24"/>
          <w:highlight w:val="none"/>
          <w:lang w:eastAsia="zh-CN"/>
        </w:rPr>
        <w:t>（加盖参选单位章）</w:t>
      </w:r>
    </w:p>
    <w:p w14:paraId="2434B347">
      <w:pPr>
        <w:spacing w:line="360" w:lineRule="auto"/>
        <w:ind w:firstLine="480" w:firstLineChars="200"/>
        <w:jc w:val="right"/>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法定代表人：</w:t>
      </w:r>
      <w:r>
        <w:rPr>
          <w:rFonts w:ascii="Times New Roman" w:hAnsi="Times New Roman" w:cs="Times New Roman"/>
          <w:color w:val="auto"/>
          <w:sz w:val="24"/>
          <w:szCs w:val="24"/>
          <w:highlight w:val="none"/>
          <w:u w:val="single"/>
          <w:lang w:eastAsia="zh-CN"/>
        </w:rPr>
        <w:t xml:space="preserve">                 </w:t>
      </w:r>
      <w:r>
        <w:rPr>
          <w:rFonts w:ascii="Times New Roman" w:hAnsi="Times New Roman" w:cs="Times New Roman"/>
          <w:color w:val="auto"/>
          <w:sz w:val="24"/>
          <w:szCs w:val="24"/>
          <w:highlight w:val="none"/>
          <w:lang w:eastAsia="zh-CN"/>
        </w:rPr>
        <w:t>（签字）</w:t>
      </w:r>
    </w:p>
    <w:p w14:paraId="14CE7859">
      <w:pPr>
        <w:spacing w:line="360" w:lineRule="auto"/>
        <w:ind w:firstLine="480" w:firstLineChars="200"/>
        <w:jc w:val="right"/>
        <w:rPr>
          <w:rFonts w:ascii="Times New Roman" w:hAnsi="Times New Roman" w:cs="Times New Roman"/>
          <w:color w:val="auto"/>
          <w:sz w:val="24"/>
          <w:szCs w:val="24"/>
          <w:highlight w:val="none"/>
          <w:u w:val="single"/>
          <w:lang w:eastAsia="zh-CN"/>
        </w:rPr>
      </w:pPr>
      <w:r>
        <w:rPr>
          <w:rFonts w:ascii="Times New Roman" w:hAnsi="Times New Roman" w:cs="Times New Roman"/>
          <w:color w:val="auto"/>
          <w:sz w:val="24"/>
          <w:szCs w:val="24"/>
          <w:highlight w:val="none"/>
          <w:lang w:eastAsia="zh-CN"/>
        </w:rPr>
        <w:t>或其授权委托代理人：</w:t>
      </w:r>
      <w:r>
        <w:rPr>
          <w:rFonts w:ascii="Times New Roman" w:hAnsi="Times New Roman" w:cs="Times New Roman"/>
          <w:color w:val="auto"/>
          <w:sz w:val="24"/>
          <w:szCs w:val="24"/>
          <w:highlight w:val="none"/>
          <w:u w:val="single"/>
          <w:lang w:eastAsia="zh-CN"/>
        </w:rPr>
        <w:t xml:space="preserve">                 </w:t>
      </w:r>
      <w:r>
        <w:rPr>
          <w:rFonts w:ascii="Times New Roman" w:hAnsi="Times New Roman" w:cs="Times New Roman"/>
          <w:color w:val="auto"/>
          <w:sz w:val="24"/>
          <w:szCs w:val="24"/>
          <w:highlight w:val="none"/>
          <w:lang w:eastAsia="zh-CN"/>
        </w:rPr>
        <w:t>_（签字）</w:t>
      </w:r>
    </w:p>
    <w:p w14:paraId="4FEBA1BB">
      <w:pPr>
        <w:spacing w:line="360" w:lineRule="auto"/>
        <w:ind w:firstLine="480" w:firstLineChars="200"/>
        <w:jc w:val="right"/>
        <w:rPr>
          <w:rFonts w:ascii="Times New Roman" w:hAnsi="Times New Roman" w:cs="Times New Roman"/>
          <w:color w:val="auto"/>
          <w:sz w:val="24"/>
          <w:szCs w:val="24"/>
          <w:highlight w:val="none"/>
          <w:u w:val="single"/>
          <w:lang w:eastAsia="zh-CN"/>
        </w:rPr>
      </w:pPr>
      <w:r>
        <w:rPr>
          <w:rFonts w:ascii="Times New Roman" w:hAnsi="Times New Roman" w:cs="Times New Roman"/>
          <w:color w:val="auto"/>
          <w:sz w:val="24"/>
          <w:szCs w:val="24"/>
          <w:highlight w:val="none"/>
          <w:lang w:eastAsia="zh-CN"/>
        </w:rPr>
        <w:t xml:space="preserve">编制时间： </w:t>
      </w:r>
      <w:r>
        <w:rPr>
          <w:rFonts w:ascii="Times New Roman" w:hAnsi="Times New Roman" w:cs="Times New Roman"/>
          <w:color w:val="auto"/>
          <w:sz w:val="24"/>
          <w:szCs w:val="24"/>
          <w:highlight w:val="none"/>
          <w:u w:val="single"/>
          <w:lang w:eastAsia="zh-CN"/>
        </w:rPr>
        <w:t xml:space="preserve">      年   月   日</w:t>
      </w:r>
    </w:p>
    <w:p w14:paraId="4A06121C">
      <w:pPr>
        <w:pStyle w:val="2"/>
        <w:rPr>
          <w:rFonts w:ascii="仿宋" w:hAnsi="仿宋" w:eastAsia="仿宋"/>
          <w:color w:val="auto"/>
          <w:highlight w:val="none"/>
        </w:rPr>
      </w:pPr>
    </w:p>
    <w:p w14:paraId="65F19BEE">
      <w:pPr>
        <w:widowControl/>
        <w:autoSpaceDE/>
        <w:autoSpaceDN/>
        <w:rPr>
          <w:rFonts w:ascii="仿宋" w:hAnsi="仿宋" w:eastAsia="仿宋" w:cs="Times New Roman"/>
          <w:b/>
          <w:color w:val="auto"/>
          <w:sz w:val="36"/>
          <w:szCs w:val="36"/>
          <w:highlight w:val="none"/>
          <w:lang w:eastAsia="zh-CN"/>
        </w:rPr>
      </w:pPr>
      <w:r>
        <w:rPr>
          <w:rFonts w:ascii="仿宋" w:hAnsi="仿宋" w:eastAsia="仿宋"/>
          <w:b/>
          <w:color w:val="auto"/>
          <w:sz w:val="36"/>
          <w:szCs w:val="36"/>
          <w:highlight w:val="none"/>
          <w:lang w:eastAsia="zh-CN"/>
        </w:rPr>
        <w:br w:type="page"/>
      </w:r>
    </w:p>
    <w:p w14:paraId="00F7D88D">
      <w:pPr>
        <w:pStyle w:val="2"/>
        <w:spacing w:line="360" w:lineRule="auto"/>
        <w:ind w:firstLine="3253" w:firstLineChars="900"/>
        <w:rPr>
          <w:rFonts w:ascii="仿宋" w:hAnsi="仿宋" w:eastAsia="仿宋"/>
          <w:b/>
          <w:color w:val="auto"/>
          <w:sz w:val="36"/>
          <w:szCs w:val="36"/>
          <w:highlight w:val="none"/>
        </w:rPr>
      </w:pPr>
      <w:r>
        <w:rPr>
          <w:rFonts w:hint="eastAsia" w:ascii="仿宋" w:hAnsi="仿宋" w:eastAsia="仿宋"/>
          <w:b/>
          <w:color w:val="auto"/>
          <w:sz w:val="36"/>
          <w:szCs w:val="36"/>
          <w:highlight w:val="none"/>
        </w:rPr>
        <w:t>承诺函</w:t>
      </w:r>
    </w:p>
    <w:p w14:paraId="3F3B3998">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致：福建福海创石油化工有限公司</w:t>
      </w:r>
    </w:p>
    <w:p w14:paraId="5E1D41AD">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我方为对福建福海创石油化工有限公司</w:t>
      </w:r>
      <w:r>
        <w:rPr>
          <w:rFonts w:hint="eastAsia" w:ascii="仿宋" w:hAnsi="仿宋" w:eastAsia="仿宋" w:cs="宋体"/>
          <w:b/>
          <w:bCs/>
          <w:color w:val="auto"/>
          <w:sz w:val="28"/>
          <w:szCs w:val="28"/>
          <w:highlight w:val="none"/>
          <w:u w:val="single"/>
          <w:lang w:eastAsia="zh-CN"/>
        </w:rPr>
        <w:t>开展生产船燃的进料加工业务服务出具专业报告项目</w:t>
      </w:r>
      <w:r>
        <w:rPr>
          <w:rFonts w:hint="eastAsia" w:ascii="仿宋" w:hAnsi="仿宋" w:eastAsia="仿宋"/>
          <w:color w:val="auto"/>
          <w:sz w:val="28"/>
          <w:szCs w:val="28"/>
          <w:highlight w:val="none"/>
          <w:lang w:eastAsia="zh-CN"/>
        </w:rPr>
        <w:t>采购文件表示完全响应，遵照公告的要求，特此确认并承诺：</w:t>
      </w:r>
    </w:p>
    <w:p w14:paraId="236D7DC4">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3、我方承诺：我方所提供的材料均为真实、合法、完整。</w:t>
      </w:r>
    </w:p>
    <w:p w14:paraId="62FEB499">
      <w:pPr>
        <w:tabs>
          <w:tab w:val="left" w:pos="4110"/>
        </w:tabs>
        <w:ind w:firstLine="560" w:firstLineChars="20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4、我方保证：我方确认完全接受该项目采购文件及附件合同的全部条款。自收到该项目通知次日起10个工作日内，我方将与</w:t>
      </w:r>
      <w:r>
        <w:rPr>
          <w:rFonts w:hint="eastAsia" w:ascii="仿宋" w:hAnsi="仿宋" w:eastAsia="仿宋"/>
          <w:b/>
          <w:color w:val="auto"/>
          <w:sz w:val="28"/>
          <w:szCs w:val="28"/>
          <w:highlight w:val="none"/>
          <w:lang w:val="en-US" w:eastAsia="zh-CN"/>
        </w:rPr>
        <w:t>福建福海创石油化工</w:t>
      </w:r>
      <w:r>
        <w:rPr>
          <w:rFonts w:ascii="仿宋" w:hAnsi="仿宋" w:eastAsia="仿宋"/>
          <w:b/>
          <w:color w:val="auto"/>
          <w:sz w:val="28"/>
          <w:szCs w:val="28"/>
          <w:highlight w:val="none"/>
          <w:lang w:eastAsia="zh-CN"/>
        </w:rPr>
        <w:t>有限公司</w:t>
      </w:r>
      <w:r>
        <w:rPr>
          <w:rFonts w:hint="eastAsia" w:ascii="仿宋" w:hAnsi="仿宋" w:eastAsia="仿宋"/>
          <w:color w:val="auto"/>
          <w:sz w:val="28"/>
          <w:szCs w:val="28"/>
          <w:highlight w:val="none"/>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特此承诺。</w:t>
      </w:r>
    </w:p>
    <w:p w14:paraId="5B797262">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参比人（盖章）：</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 xml:space="preserve">                      </w:t>
      </w:r>
    </w:p>
    <w:p w14:paraId="5D25FA2F">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法定代表人或委托代理人（签字或盖章）：</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 xml:space="preserve">         </w:t>
      </w:r>
    </w:p>
    <w:p w14:paraId="14FBBC16">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地  址：</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 xml:space="preserve">                                 </w:t>
      </w:r>
    </w:p>
    <w:p w14:paraId="186B57C2">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联系人：</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 xml:space="preserve">                                 </w:t>
      </w:r>
    </w:p>
    <w:p w14:paraId="6912770E">
      <w:pPr>
        <w:snapToGrid w:val="0"/>
        <w:spacing w:line="360" w:lineRule="auto"/>
        <w:rPr>
          <w:rFonts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lang w:eastAsia="zh-CN"/>
        </w:rPr>
        <w:t>电  话：</w:t>
      </w:r>
      <w:r>
        <w:rPr>
          <w:rFonts w:hint="eastAsia" w:ascii="仿宋" w:hAnsi="仿宋" w:eastAsia="仿宋"/>
          <w:color w:val="auto"/>
          <w:sz w:val="28"/>
          <w:szCs w:val="28"/>
          <w:highlight w:val="none"/>
          <w:u w:val="single"/>
          <w:lang w:eastAsia="zh-CN"/>
        </w:rPr>
        <w:t xml:space="preserve">                                              </w:t>
      </w:r>
    </w:p>
    <w:p w14:paraId="046E3C2A">
      <w:pPr>
        <w:snapToGrid w:val="0"/>
        <w:spacing w:line="360" w:lineRule="auto"/>
        <w:rPr>
          <w:rFonts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 xml:space="preserve">邮箱： </w:t>
      </w:r>
      <w:r>
        <w:rPr>
          <w:rFonts w:hint="eastAsia" w:ascii="仿宋" w:hAnsi="仿宋" w:eastAsia="仿宋"/>
          <w:color w:val="auto"/>
          <w:sz w:val="28"/>
          <w:szCs w:val="28"/>
          <w:highlight w:val="none"/>
          <w:u w:val="single"/>
          <w:lang w:eastAsia="zh-CN"/>
        </w:rPr>
        <w:t xml:space="preserve">                                               </w:t>
      </w:r>
    </w:p>
    <w:p w14:paraId="1406D633">
      <w:pPr>
        <w:widowControl/>
        <w:autoSpaceDE/>
        <w:autoSpaceDN/>
        <w:spacing w:line="360" w:lineRule="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日期：</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年</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u w:val="single"/>
          <w:lang w:eastAsia="zh-CN"/>
        </w:rPr>
        <w:t xml:space="preserve">       </w:t>
      </w:r>
      <w:r>
        <w:rPr>
          <w:rFonts w:hint="eastAsia" w:ascii="仿宋" w:hAnsi="仿宋" w:eastAsia="仿宋"/>
          <w:color w:val="auto"/>
          <w:sz w:val="28"/>
          <w:szCs w:val="28"/>
          <w:highlight w:val="none"/>
          <w:lang w:eastAsia="zh-CN"/>
        </w:rPr>
        <w:t>日</w:t>
      </w:r>
    </w:p>
    <w:p w14:paraId="3303C554">
      <w:pPr>
        <w:pStyle w:val="2"/>
        <w:rPr>
          <w:rFonts w:hint="eastAsia" w:ascii="仿宋" w:hAnsi="仿宋" w:eastAsia="仿宋"/>
          <w:color w:val="auto"/>
          <w:sz w:val="28"/>
          <w:szCs w:val="28"/>
          <w:highlight w:val="none"/>
          <w:lang w:eastAsia="zh-CN"/>
        </w:rPr>
      </w:pPr>
    </w:p>
    <w:p w14:paraId="2E9DEEEF">
      <w:pPr>
        <w:pStyle w:val="2"/>
        <w:rPr>
          <w:rFonts w:hint="eastAsia" w:ascii="仿宋" w:hAnsi="仿宋" w:eastAsia="仿宋"/>
          <w:color w:val="auto"/>
          <w:sz w:val="28"/>
          <w:szCs w:val="28"/>
          <w:highlight w:val="none"/>
          <w:lang w:eastAsia="zh-CN"/>
        </w:rPr>
      </w:pPr>
    </w:p>
    <w:p w14:paraId="4F0A0CAB">
      <w:pPr>
        <w:keepNext w:val="0"/>
        <w:keepLines w:val="0"/>
        <w:pageBreakBefore w:val="0"/>
        <w:widowControl w:val="0"/>
        <w:kinsoku/>
        <w:wordWrap/>
        <w:overflowPunct/>
        <w:topLinePunct w:val="0"/>
        <w:autoSpaceDE/>
        <w:autoSpaceDN/>
        <w:bidi w:val="0"/>
        <w:snapToGrid/>
        <w:spacing w:line="360" w:lineRule="auto"/>
        <w:jc w:val="both"/>
        <w:rPr>
          <w:rFonts w:hint="eastAsia" w:ascii="Times New Roman" w:hAnsi="Times New Roman" w:cs="Times New Roman" w:eastAsiaTheme="minorEastAsia"/>
          <w:b/>
          <w:bCs/>
          <w:color w:val="auto"/>
          <w:sz w:val="28"/>
          <w:szCs w:val="28"/>
          <w:highlight w:val="none"/>
          <w:lang w:val="en-US" w:eastAsia="zh-CN"/>
        </w:rPr>
      </w:pPr>
      <w:r>
        <w:rPr>
          <w:rFonts w:hint="eastAsia" w:ascii="Times New Roman" w:hAnsi="Times New Roman" w:cs="Times New Roman" w:eastAsiaTheme="minorEastAsia"/>
          <w:b/>
          <w:bCs/>
          <w:color w:val="auto"/>
          <w:sz w:val="28"/>
          <w:szCs w:val="28"/>
          <w:highlight w:val="none"/>
          <w:lang w:val="en-US" w:eastAsia="zh-CN"/>
        </w:rPr>
        <w:t>附件1：</w:t>
      </w:r>
    </w:p>
    <w:p w14:paraId="178EECB5">
      <w:pPr>
        <w:keepNext w:val="0"/>
        <w:keepLines w:val="0"/>
        <w:pageBreakBefore w:val="0"/>
        <w:widowControl w:val="0"/>
        <w:kinsoku/>
        <w:wordWrap/>
        <w:overflowPunct/>
        <w:topLinePunct w:val="0"/>
        <w:autoSpaceDE/>
        <w:autoSpaceDN/>
        <w:bidi w:val="0"/>
        <w:snapToGrid/>
        <w:spacing w:line="360" w:lineRule="auto"/>
        <w:ind w:firstLine="843" w:firstLineChars="300"/>
        <w:jc w:val="both"/>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sz w:val="28"/>
          <w:szCs w:val="28"/>
          <w:highlight w:val="none"/>
        </w:rPr>
        <w:t>关于开展燃料油(常压渣油)生产船用燃料油的进料加工业务服务</w:t>
      </w:r>
    </w:p>
    <w:p w14:paraId="7B1769E7">
      <w:pPr>
        <w:keepNext w:val="0"/>
        <w:keepLines w:val="0"/>
        <w:pageBreakBefore w:val="0"/>
        <w:widowControl w:val="0"/>
        <w:kinsoku/>
        <w:wordWrap/>
        <w:overflowPunct/>
        <w:topLinePunct w:val="0"/>
        <w:autoSpaceDE/>
        <w:autoSpaceDN/>
        <w:bidi w:val="0"/>
        <w:snapToGrid/>
        <w:spacing w:line="360" w:lineRule="auto"/>
        <w:jc w:val="cente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b/>
          <w:bCs/>
          <w:color w:val="auto"/>
          <w:sz w:val="28"/>
          <w:szCs w:val="28"/>
          <w:highlight w:val="none"/>
        </w:rPr>
        <w:t>发包说明</w:t>
      </w:r>
    </w:p>
    <w:p w14:paraId="75096474">
      <w:pPr>
        <w:keepNext w:val="0"/>
        <w:keepLines w:val="0"/>
        <w:pageBreakBefore w:val="0"/>
        <w:widowControl w:val="0"/>
        <w:kinsoku/>
        <w:wordWrap/>
        <w:overflowPunct/>
        <w:topLinePunct w:val="0"/>
        <w:autoSpaceDE/>
        <w:autoSpaceDN/>
        <w:bidi w:val="0"/>
        <w:snapToGrid/>
        <w:spacing w:line="312"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根据公司业务发展需要，现拟委托专业机构为福建福海创石油化工有限公司（以下简称“福海创”）提供一套科学、合规、高效的燃料油生产船燃的进料加工业务服务。特邀请贵机构参与本次业务服务的遴选。现将项目内容及要求说明如下：</w:t>
      </w:r>
    </w:p>
    <w:p w14:paraId="02F7ECCB">
      <w:pPr>
        <w:keepNext w:val="0"/>
        <w:keepLines w:val="0"/>
        <w:pageBreakBefore w:val="0"/>
        <w:widowControl w:val="0"/>
        <w:kinsoku/>
        <w:wordWrap/>
        <w:overflowPunct/>
        <w:topLinePunct w:val="0"/>
        <w:autoSpaceDE/>
        <w:autoSpaceDN/>
        <w:bidi w:val="0"/>
        <w:snapToGrid/>
        <w:spacing w:line="312" w:lineRule="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一、 背景简介</w:t>
      </w:r>
    </w:p>
    <w:p w14:paraId="08791771">
      <w:pPr>
        <w:keepNext w:val="0"/>
        <w:keepLines w:val="0"/>
        <w:pageBreakBefore w:val="0"/>
        <w:widowControl w:val="0"/>
        <w:kinsoku/>
        <w:wordWrap/>
        <w:overflowPunct/>
        <w:topLinePunct w:val="0"/>
        <w:autoSpaceDE/>
        <w:autoSpaceDN/>
        <w:bidi w:val="0"/>
        <w:snapToGrid/>
        <w:spacing w:line="312"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为拓展业务领域，提升市场竞争力，福海创计划开展燃料油生产船燃（以下简称“燃料油进料加工”）的进料加工业务。该业务涉及燃料油进口、保税加工、成品复出口，需在海关特殊监管政策下进行。该方案需充分考虑海关监管要求、原料采购、加工工艺、成本控制、风险管理及市场可行性。</w:t>
      </w:r>
    </w:p>
    <w:p w14:paraId="53FD1F07">
      <w:pPr>
        <w:keepNext w:val="0"/>
        <w:keepLines w:val="0"/>
        <w:pageBreakBefore w:val="0"/>
        <w:widowControl w:val="0"/>
        <w:kinsoku/>
        <w:wordWrap/>
        <w:overflowPunct/>
        <w:topLinePunct w:val="0"/>
        <w:autoSpaceDE/>
        <w:autoSpaceDN/>
        <w:bidi w:val="0"/>
        <w:snapToGrid/>
        <w:spacing w:line="312" w:lineRule="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二、 项目介绍</w:t>
      </w:r>
    </w:p>
    <w:p w14:paraId="6CE393D5">
      <w:pPr>
        <w:keepNext w:val="0"/>
        <w:keepLines w:val="0"/>
        <w:pageBreakBefore w:val="0"/>
        <w:widowControl w:val="0"/>
        <w:kinsoku/>
        <w:wordWrap/>
        <w:overflowPunct/>
        <w:topLinePunct w:val="0"/>
        <w:autoSpaceDE/>
        <w:autoSpaceDN/>
        <w:bidi w:val="0"/>
        <w:snapToGrid/>
        <w:spacing w:line="312"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福海创新建设的一套150万吨/年沸腾床渣油加氢装置即将投产运行，是现有的减压装置的配套装置，具备利用燃料油（常压渣油）生产船用燃料油的硬件设施。福海创涉及燃料油进料加工业务需要专业服务机构进行业务服务。</w:t>
      </w:r>
    </w:p>
    <w:p w14:paraId="384984AB">
      <w:pPr>
        <w:keepNext w:val="0"/>
        <w:keepLines w:val="0"/>
        <w:pageBreakBefore w:val="0"/>
        <w:widowControl w:val="0"/>
        <w:kinsoku/>
        <w:wordWrap/>
        <w:overflowPunct/>
        <w:topLinePunct w:val="0"/>
        <w:autoSpaceDE/>
        <w:autoSpaceDN/>
        <w:bidi w:val="0"/>
        <w:snapToGrid/>
        <w:spacing w:line="312" w:lineRule="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三、 服务内容</w:t>
      </w:r>
    </w:p>
    <w:p w14:paraId="44DDC84A">
      <w:pPr>
        <w:keepNext w:val="0"/>
        <w:keepLines w:val="0"/>
        <w:pageBreakBefore w:val="0"/>
        <w:widowControl w:val="0"/>
        <w:kinsoku/>
        <w:wordWrap/>
        <w:overflowPunct/>
        <w:topLinePunct w:val="0"/>
        <w:autoSpaceDE/>
        <w:autoSpaceDN/>
        <w:bidi w:val="0"/>
        <w:snapToGrid/>
        <w:spacing w:line="312"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自合同签订之日起，中选单位需为福海创燃料油（常压渣油）生产船用燃料油的进料加工业务进行服务，服务主要内容包括但不限于：</w:t>
      </w:r>
    </w:p>
    <w:p w14:paraId="49087B72">
      <w:pPr>
        <w:keepNext w:val="0"/>
        <w:keepLines w:val="0"/>
        <w:pageBreakBefore w:val="0"/>
        <w:widowControl w:val="0"/>
        <w:kinsoku/>
        <w:wordWrap/>
        <w:overflowPunct/>
        <w:topLinePunct w:val="0"/>
        <w:autoSpaceDE/>
        <w:autoSpaceDN/>
        <w:bidi w:val="0"/>
        <w:snapToGrid/>
        <w:spacing w:line="312" w:lineRule="auto"/>
        <w:ind w:left="317" w:leftChars="0" w:hanging="317" w:hangingChars="151"/>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业务模式设计：设计符合海关法规（特别是进料加工手册管理要求）的业务流程与操作模式。</w:t>
      </w:r>
    </w:p>
    <w:p w14:paraId="6FFA6654">
      <w:pPr>
        <w:keepNext w:val="0"/>
        <w:keepLines w:val="0"/>
        <w:pageBreakBefore w:val="0"/>
        <w:widowControl w:val="0"/>
        <w:kinsoku/>
        <w:wordWrap/>
        <w:overflowPunct/>
        <w:topLinePunct w:val="0"/>
        <w:autoSpaceDE/>
        <w:autoSpaceDN/>
        <w:bidi w:val="0"/>
        <w:snapToGrid/>
        <w:spacing w:line="312" w:lineRule="auto"/>
        <w:ind w:left="317" w:leftChars="0" w:hanging="317" w:hangingChars="151"/>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海关合规方案：详细阐述海关备案、保税监管、单耗核定、加工贸易账册管理、核销流程及关务风险控制要点。</w:t>
      </w:r>
    </w:p>
    <w:p w14:paraId="12CB59CF">
      <w:pPr>
        <w:keepNext w:val="0"/>
        <w:keepLines w:val="0"/>
        <w:pageBreakBefore w:val="0"/>
        <w:widowControl w:val="0"/>
        <w:kinsoku/>
        <w:wordWrap/>
        <w:overflowPunct/>
        <w:topLinePunct w:val="0"/>
        <w:autoSpaceDE/>
        <w:autoSpaceDN/>
        <w:bidi w:val="0"/>
        <w:snapToGrid/>
        <w:spacing w:line="312" w:lineRule="auto"/>
        <w:ind w:left="317" w:leftChars="0" w:hanging="317" w:hangingChars="151"/>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提交一份完整、详尽的《燃料油生产船用燃料油进料加工业务实施方案报告》，能够确保福海创按照此方案报告开展此项业务，同时满足海关和税务机构的监管要求。</w:t>
      </w:r>
    </w:p>
    <w:p w14:paraId="1300C693">
      <w:pPr>
        <w:pStyle w:val="2"/>
        <w:keepNext w:val="0"/>
        <w:keepLines w:val="0"/>
        <w:pageBreakBefore w:val="0"/>
        <w:widowControl w:val="0"/>
        <w:kinsoku/>
        <w:wordWrap/>
        <w:overflowPunct/>
        <w:topLinePunct w:val="0"/>
        <w:autoSpaceDE/>
        <w:autoSpaceDN/>
        <w:bidi w:val="0"/>
        <w:snapToGrid/>
        <w:spacing w:line="312" w:lineRule="auto"/>
        <w:ind w:left="317" w:leftChars="0" w:hanging="317" w:hangingChars="151"/>
        <w:rPr>
          <w:rFonts w:hint="default" w:eastAsiaTheme="minorEastAsia"/>
          <w:color w:val="auto"/>
          <w:highlight w:val="none"/>
          <w:lang w:val="en-US" w:eastAsia="zh-CN"/>
        </w:rPr>
      </w:pPr>
      <w:r>
        <w:rPr>
          <w:rFonts w:hint="eastAsia" w:ascii="Times New Roman" w:hAnsi="Times New Roman" w:cs="Times New Roman" w:eastAsiaTheme="minorEastAsia"/>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当福海创沸腾床渣油加氢装置正常生产后，</w:t>
      </w:r>
      <w:r>
        <w:rPr>
          <w:rFonts w:hint="eastAsia" w:ascii="Times New Roman" w:hAnsi="Times New Roman" w:cs="Times New Roman" w:eastAsiaTheme="minorEastAsia"/>
          <w:b/>
          <w:bCs/>
          <w:color w:val="auto"/>
          <w:sz w:val="21"/>
          <w:szCs w:val="21"/>
          <w:highlight w:val="none"/>
          <w:lang w:val="en-US" w:eastAsia="zh-CN"/>
        </w:rPr>
        <w:t>中选商需协助业主方</w:t>
      </w:r>
      <w:r>
        <w:rPr>
          <w:rFonts w:hint="default" w:ascii="Times New Roman" w:hAnsi="Times New Roman" w:cs="Times New Roman" w:eastAsiaTheme="minorEastAsia"/>
          <w:color w:val="auto"/>
          <w:sz w:val="21"/>
          <w:szCs w:val="21"/>
          <w:highlight w:val="none"/>
        </w:rPr>
        <w:t>开展至少一个船次的燃料油（常压渣油）进料加工业务，直至生产的船用燃料油销售后完成燃料油（常压渣油）消费税退税等业务。</w:t>
      </w:r>
    </w:p>
    <w:p w14:paraId="4D2FC570">
      <w:pPr>
        <w:keepNext w:val="0"/>
        <w:keepLines w:val="0"/>
        <w:pageBreakBefore w:val="0"/>
        <w:widowControl w:val="0"/>
        <w:kinsoku/>
        <w:wordWrap/>
        <w:overflowPunct/>
        <w:topLinePunct w:val="0"/>
        <w:autoSpaceDE/>
        <w:autoSpaceDN/>
        <w:bidi w:val="0"/>
        <w:snapToGrid/>
        <w:spacing w:line="312" w:lineRule="auto"/>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b/>
          <w:bCs/>
          <w:color w:val="auto"/>
          <w:sz w:val="21"/>
          <w:szCs w:val="21"/>
          <w:highlight w:val="none"/>
          <w:lang w:val="en-US" w:eastAsia="zh-CN"/>
        </w:rPr>
        <w:t>四、项目</w:t>
      </w:r>
      <w:r>
        <w:rPr>
          <w:rFonts w:hint="default" w:ascii="Times New Roman" w:hAnsi="Times New Roman" w:cs="Times New Roman" w:eastAsiaTheme="minorEastAsia"/>
          <w:b/>
          <w:bCs/>
          <w:color w:val="auto"/>
          <w:sz w:val="21"/>
          <w:szCs w:val="21"/>
          <w:highlight w:val="none"/>
        </w:rPr>
        <w:t>服务期限：</w:t>
      </w:r>
    </w:p>
    <w:p w14:paraId="1FE3C09A">
      <w:pPr>
        <w:keepNext w:val="0"/>
        <w:keepLines w:val="0"/>
        <w:pageBreakBefore w:val="0"/>
        <w:widowControl w:val="0"/>
        <w:kinsoku/>
        <w:wordWrap/>
        <w:overflowPunct/>
        <w:topLinePunct w:val="0"/>
        <w:autoSpaceDE/>
        <w:autoSpaceDN/>
        <w:bidi w:val="0"/>
        <w:snapToGrid/>
        <w:spacing w:line="312"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中选单位须于合同签订后【30】个自然日内完成方案设计，提交方案报告初稿供审核；并于收到我方书面修改意见后 【30】个自然日内完成修改并提交最终正式报告。</w:t>
      </w:r>
    </w:p>
    <w:p w14:paraId="4C699378">
      <w:pPr>
        <w:keepNext w:val="0"/>
        <w:keepLines w:val="0"/>
        <w:pageBreakBefore w:val="0"/>
        <w:widowControl w:val="0"/>
        <w:kinsoku/>
        <w:wordWrap/>
        <w:overflowPunct/>
        <w:topLinePunct w:val="0"/>
        <w:autoSpaceDE/>
        <w:autoSpaceDN/>
        <w:bidi w:val="0"/>
        <w:snapToGrid/>
        <w:spacing w:line="336" w:lineRule="auto"/>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b/>
          <w:bCs/>
          <w:color w:val="auto"/>
          <w:sz w:val="21"/>
          <w:szCs w:val="21"/>
          <w:highlight w:val="none"/>
          <w:lang w:val="en-US" w:eastAsia="zh-CN"/>
        </w:rPr>
        <w:t>五</w:t>
      </w:r>
      <w:r>
        <w:rPr>
          <w:rFonts w:hint="default" w:ascii="Times New Roman" w:hAnsi="Times New Roman" w:cs="Times New Roman" w:eastAsiaTheme="minorEastAsia"/>
          <w:b/>
          <w:bCs/>
          <w:color w:val="auto"/>
          <w:sz w:val="21"/>
          <w:szCs w:val="21"/>
          <w:highlight w:val="none"/>
        </w:rPr>
        <w:t>、 参选单位的基本资格要求</w:t>
      </w:r>
    </w:p>
    <w:p w14:paraId="39AC4754">
      <w:pPr>
        <w:keepNext w:val="0"/>
        <w:keepLines w:val="0"/>
        <w:pageBreakBefore w:val="0"/>
        <w:widowControl w:val="0"/>
        <w:kinsoku/>
        <w:wordWrap/>
        <w:overflowPunct/>
        <w:topLinePunct w:val="0"/>
        <w:autoSpaceDE/>
        <w:autoSpaceDN/>
        <w:bidi w:val="0"/>
        <w:snapToGrid/>
        <w:spacing w:line="336" w:lineRule="auto"/>
        <w:jc w:val="left"/>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参选人必须具有中华人民共和国境内注册的独立法人资格。</w:t>
      </w:r>
    </w:p>
    <w:p w14:paraId="719C6755">
      <w:pPr>
        <w:keepNext w:val="0"/>
        <w:keepLines w:val="0"/>
        <w:pageBreakBefore w:val="0"/>
        <w:widowControl w:val="0"/>
        <w:kinsoku/>
        <w:wordWrap/>
        <w:overflowPunct/>
        <w:topLinePunct w:val="0"/>
        <w:autoSpaceDE/>
        <w:autoSpaceDN/>
        <w:bidi w:val="0"/>
        <w:snapToGrid/>
        <w:spacing w:line="336" w:lineRule="auto"/>
        <w:jc w:val="left"/>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投标人具备相关咨询能力的服务机构；。</w:t>
      </w:r>
    </w:p>
    <w:p w14:paraId="728013AC">
      <w:pPr>
        <w:keepNext w:val="0"/>
        <w:keepLines w:val="0"/>
        <w:pageBreakBefore w:val="0"/>
        <w:widowControl w:val="0"/>
        <w:kinsoku/>
        <w:wordWrap/>
        <w:overflowPunct/>
        <w:topLinePunct w:val="0"/>
        <w:autoSpaceDE/>
        <w:autoSpaceDN/>
        <w:bidi w:val="0"/>
        <w:snapToGrid/>
        <w:spacing w:line="336" w:lineRule="auto"/>
        <w:jc w:val="left"/>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投标人及拟派本项目负责人近3年内在经营活动中无重大违法记录；</w:t>
      </w:r>
    </w:p>
    <w:p w14:paraId="549FAF72">
      <w:pPr>
        <w:keepNext w:val="0"/>
        <w:keepLines w:val="0"/>
        <w:pageBreakBefore w:val="0"/>
        <w:widowControl w:val="0"/>
        <w:kinsoku/>
        <w:wordWrap/>
        <w:overflowPunct/>
        <w:topLinePunct w:val="0"/>
        <w:autoSpaceDE/>
        <w:autoSpaceDN/>
        <w:bidi w:val="0"/>
        <w:snapToGrid/>
        <w:spacing w:line="336" w:lineRule="auto"/>
        <w:jc w:val="left"/>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投标人无失信黑名单记录。</w:t>
      </w:r>
    </w:p>
    <w:p w14:paraId="676B6376">
      <w:pPr>
        <w:keepNext w:val="0"/>
        <w:keepLines w:val="0"/>
        <w:pageBreakBefore w:val="0"/>
        <w:widowControl w:val="0"/>
        <w:kinsoku/>
        <w:wordWrap/>
        <w:overflowPunct/>
        <w:topLinePunct w:val="0"/>
        <w:autoSpaceDE/>
        <w:autoSpaceDN/>
        <w:bidi w:val="0"/>
        <w:snapToGrid/>
        <w:spacing w:line="336" w:lineRule="auto"/>
        <w:jc w:val="left"/>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b/>
          <w:bCs/>
          <w:color w:val="auto"/>
          <w:sz w:val="21"/>
          <w:szCs w:val="21"/>
          <w:highlight w:val="none"/>
          <w:lang w:val="en-US" w:eastAsia="zh-CN"/>
        </w:rPr>
        <w:t>六</w:t>
      </w:r>
      <w:r>
        <w:rPr>
          <w:rFonts w:hint="default" w:ascii="Times New Roman" w:hAnsi="Times New Roman" w:cs="Times New Roman" w:eastAsiaTheme="minorEastAsia"/>
          <w:b/>
          <w:bCs/>
          <w:color w:val="auto"/>
          <w:sz w:val="21"/>
          <w:szCs w:val="21"/>
          <w:highlight w:val="none"/>
        </w:rPr>
        <w:t>、 保密要求</w:t>
      </w:r>
    </w:p>
    <w:p w14:paraId="5F5AA917">
      <w:pPr>
        <w:keepNext w:val="0"/>
        <w:keepLines w:val="0"/>
        <w:pageBreakBefore w:val="0"/>
        <w:widowControl w:val="0"/>
        <w:kinsoku/>
        <w:wordWrap/>
        <w:overflowPunct/>
        <w:topLinePunct w:val="0"/>
        <w:autoSpaceDE/>
        <w:autoSpaceDN/>
        <w:bidi w:val="0"/>
        <w:snapToGrid/>
        <w:spacing w:line="336"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公告内容及后续由我司提供的所有资料均属重要商业机密。未经我司书面许可，贵机构不得以任何方式向与本项目无关的第三方泄露相关信息。如违反保密义务，贵机构需承担由此造成的一切经济损失和法律责任。</w:t>
      </w:r>
    </w:p>
    <w:p w14:paraId="09792EF7">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b/>
          <w:bCs/>
          <w:color w:val="auto"/>
          <w:sz w:val="21"/>
          <w:szCs w:val="21"/>
          <w:highlight w:val="none"/>
          <w:lang w:val="en-US" w:eastAsia="zh-CN"/>
        </w:rPr>
        <w:t>七</w:t>
      </w:r>
      <w:r>
        <w:rPr>
          <w:rFonts w:hint="default" w:ascii="Times New Roman" w:hAnsi="Times New Roman" w:cs="Times New Roman" w:eastAsiaTheme="minorEastAsia"/>
          <w:b/>
          <w:bCs/>
          <w:color w:val="auto"/>
          <w:sz w:val="21"/>
          <w:szCs w:val="21"/>
          <w:highlight w:val="none"/>
        </w:rPr>
        <w:t>、报价要求</w:t>
      </w:r>
    </w:p>
    <w:p w14:paraId="2C8331D3">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1、本项目最高控制价为人民币40万元（含税）；</w:t>
      </w:r>
    </w:p>
    <w:p w14:paraId="61B561DC">
      <w:pPr>
        <w:keepNext w:val="0"/>
        <w:keepLines w:val="0"/>
        <w:pageBreakBefore w:val="0"/>
        <w:widowControl w:val="0"/>
        <w:kinsoku/>
        <w:wordWrap/>
        <w:overflowPunct/>
        <w:topLinePunct w:val="0"/>
        <w:autoSpaceDE/>
        <w:autoSpaceDN/>
        <w:bidi w:val="0"/>
        <w:snapToGrid/>
        <w:spacing w:line="360" w:lineRule="auto"/>
        <w:ind w:left="210" w:hanging="210" w:hangingChars="1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2、服务报价应涵盖贵机构为履行本公告所列全部服务内容所产生的所有费用，包括但不限于服务报酬、差旅费、调研费、资料费、专家咨询费及相关税费。</w:t>
      </w:r>
    </w:p>
    <w:p w14:paraId="120700A5">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、报价说明：报价应为完成本项目服务的全部费用总和。</w:t>
      </w:r>
    </w:p>
    <w:p w14:paraId="6EDBA08D">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color w:val="auto"/>
          <w:kern w:val="0"/>
          <w:sz w:val="21"/>
          <w:szCs w:val="21"/>
          <w:highlight w:val="none"/>
        </w:rPr>
        <w:t>评选委员会将对通过资格及实质响应性审查的各合格参比人，经技术部分和商务部分评选后选择综合总分最高者作为中选单位，本案采用综合评分法，技术部分(满分</w:t>
      </w:r>
      <w:r>
        <w:rPr>
          <w:rFonts w:hint="default" w:ascii="Times New Roman" w:hAnsi="Times New Roman" w:cs="Times New Roman" w:eastAsiaTheme="minorEastAsia"/>
          <w:color w:val="auto"/>
          <w:kern w:val="0"/>
          <w:sz w:val="21"/>
          <w:szCs w:val="21"/>
          <w:highlight w:val="none"/>
          <w:lang w:val="en-US" w:eastAsia="zh-CN"/>
        </w:rPr>
        <w:t>50</w:t>
      </w:r>
      <w:r>
        <w:rPr>
          <w:rFonts w:hint="default" w:ascii="Times New Roman" w:hAnsi="Times New Roman" w:cs="Times New Roman" w:eastAsiaTheme="minorEastAsia"/>
          <w:color w:val="auto"/>
          <w:kern w:val="0"/>
          <w:sz w:val="21"/>
          <w:szCs w:val="21"/>
          <w:highlight w:val="none"/>
        </w:rPr>
        <w:t>分)、价格部分(满分</w:t>
      </w:r>
      <w:r>
        <w:rPr>
          <w:rFonts w:hint="default" w:ascii="Times New Roman" w:hAnsi="Times New Roman" w:cs="Times New Roman" w:eastAsiaTheme="minorEastAsia"/>
          <w:color w:val="auto"/>
          <w:kern w:val="0"/>
          <w:sz w:val="21"/>
          <w:szCs w:val="21"/>
          <w:highlight w:val="none"/>
          <w:lang w:val="en-US" w:eastAsia="zh-CN"/>
        </w:rPr>
        <w:t>50</w:t>
      </w:r>
      <w:r>
        <w:rPr>
          <w:rFonts w:hint="default" w:ascii="Times New Roman" w:hAnsi="Times New Roman" w:cs="Times New Roman" w:eastAsiaTheme="minorEastAsia"/>
          <w:color w:val="auto"/>
          <w:kern w:val="0"/>
          <w:sz w:val="21"/>
          <w:szCs w:val="21"/>
          <w:highlight w:val="none"/>
        </w:rPr>
        <w:t>分)，技术、价格分别占比</w:t>
      </w:r>
      <w:r>
        <w:rPr>
          <w:rFonts w:hint="default" w:ascii="Times New Roman" w:hAnsi="Times New Roman" w:cs="Times New Roman" w:eastAsiaTheme="minorEastAsia"/>
          <w:color w:val="auto"/>
          <w:kern w:val="0"/>
          <w:sz w:val="21"/>
          <w:szCs w:val="21"/>
          <w:highlight w:val="none"/>
          <w:lang w:val="en-US" w:eastAsia="zh-CN"/>
        </w:rPr>
        <w:t>50</w:t>
      </w:r>
      <w:r>
        <w:rPr>
          <w:rFonts w:hint="default" w:ascii="Times New Roman" w:hAnsi="Times New Roman" w:cs="Times New Roman" w:eastAsiaTheme="minorEastAsia"/>
          <w:color w:val="auto"/>
          <w:kern w:val="0"/>
          <w:sz w:val="21"/>
          <w:szCs w:val="21"/>
          <w:highlight w:val="none"/>
        </w:rPr>
        <w:t>:</w:t>
      </w:r>
      <w:r>
        <w:rPr>
          <w:rFonts w:hint="default" w:ascii="Times New Roman" w:hAnsi="Times New Roman" w:cs="Times New Roman" w:eastAsiaTheme="minorEastAsia"/>
          <w:color w:val="auto"/>
          <w:kern w:val="0"/>
          <w:sz w:val="21"/>
          <w:szCs w:val="21"/>
          <w:highlight w:val="none"/>
          <w:lang w:val="en-US" w:eastAsia="zh-CN"/>
        </w:rPr>
        <w:t>50</w:t>
      </w:r>
      <w:r>
        <w:rPr>
          <w:rFonts w:hint="default" w:ascii="Times New Roman" w:hAnsi="Times New Roman" w:cs="Times New Roman" w:eastAsiaTheme="minorEastAsia"/>
          <w:color w:val="auto"/>
          <w:kern w:val="0"/>
          <w:sz w:val="21"/>
          <w:szCs w:val="21"/>
          <w:highlight w:val="none"/>
        </w:rPr>
        <w:t>； 具体评分细则详见下表：</w:t>
      </w:r>
    </w:p>
    <w:p w14:paraId="1CF4EDE0">
      <w:pPr>
        <w:keepNext w:val="0"/>
        <w:keepLines w:val="0"/>
        <w:pageBreakBefore w:val="0"/>
        <w:widowControl w:val="0"/>
        <w:numPr>
          <w:ilvl w:val="0"/>
          <w:numId w:val="8"/>
        </w:numPr>
        <w:tabs>
          <w:tab w:val="left" w:pos="-1080"/>
          <w:tab w:val="left" w:pos="180"/>
        </w:tabs>
        <w:kinsoku/>
        <w:wordWrap/>
        <w:overflowPunct/>
        <w:topLinePunct w:val="0"/>
        <w:autoSpaceDE/>
        <w:autoSpaceDN/>
        <w:bidi w:val="0"/>
        <w:snapToGrid/>
        <w:spacing w:line="360" w:lineRule="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技术评分：满分</w:t>
      </w:r>
      <w:r>
        <w:rPr>
          <w:rFonts w:hint="default" w:ascii="Times New Roman" w:hAnsi="Times New Roman" w:cs="Times New Roman" w:eastAsiaTheme="minorEastAsia"/>
          <w:color w:val="auto"/>
          <w:sz w:val="21"/>
          <w:szCs w:val="21"/>
          <w:highlight w:val="none"/>
          <w:lang w:val="en-US" w:eastAsia="zh-CN"/>
        </w:rPr>
        <w:t>50</w:t>
      </w:r>
      <w:r>
        <w:rPr>
          <w:rFonts w:hint="default" w:ascii="Times New Roman" w:hAnsi="Times New Roman" w:cs="Times New Roman" w:eastAsiaTheme="minorEastAsia"/>
          <w:color w:val="auto"/>
          <w:sz w:val="21"/>
          <w:szCs w:val="21"/>
          <w:highlight w:val="none"/>
        </w:rPr>
        <w:t>分</w:t>
      </w:r>
    </w:p>
    <w:p w14:paraId="38AD79E7">
      <w:pPr>
        <w:ind w:left="108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表1  技术标评分标准</w:t>
      </w:r>
    </w:p>
    <w:tbl>
      <w:tblPr>
        <w:tblStyle w:val="46"/>
        <w:tblW w:w="5198" w:type="pct"/>
        <w:tblInd w:w="0" w:type="dxa"/>
        <w:tblLayout w:type="autofit"/>
        <w:tblCellMar>
          <w:top w:w="0" w:type="dxa"/>
          <w:left w:w="108" w:type="dxa"/>
          <w:bottom w:w="0" w:type="dxa"/>
          <w:right w:w="108" w:type="dxa"/>
        </w:tblCellMar>
      </w:tblPr>
      <w:tblGrid>
        <w:gridCol w:w="711"/>
        <w:gridCol w:w="1532"/>
        <w:gridCol w:w="6081"/>
        <w:gridCol w:w="1059"/>
      </w:tblGrid>
      <w:tr w14:paraId="4B7F6AA3">
        <w:tblPrEx>
          <w:tblCellMar>
            <w:top w:w="0" w:type="dxa"/>
            <w:left w:w="108" w:type="dxa"/>
            <w:bottom w:w="0" w:type="dxa"/>
            <w:right w:w="108" w:type="dxa"/>
          </w:tblCellMar>
        </w:tblPrEx>
        <w:trPr>
          <w:trHeight w:val="387" w:hRule="atLeast"/>
        </w:trPr>
        <w:tc>
          <w:tcPr>
            <w:tcW w:w="379" w:type="pct"/>
            <w:tcBorders>
              <w:top w:val="single" w:color="000000" w:sz="8" w:space="0"/>
              <w:left w:val="single" w:color="000000" w:sz="8" w:space="0"/>
              <w:bottom w:val="nil"/>
              <w:right w:val="single" w:color="000000" w:sz="8" w:space="0"/>
            </w:tcBorders>
            <w:noWrap w:val="0"/>
            <w:vAlign w:val="center"/>
          </w:tcPr>
          <w:p w14:paraId="5AABE5A1">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816" w:type="pct"/>
            <w:tcBorders>
              <w:top w:val="single" w:color="000000" w:sz="8" w:space="0"/>
              <w:left w:val="nil"/>
              <w:bottom w:val="nil"/>
              <w:right w:val="single" w:color="000000" w:sz="8" w:space="0"/>
            </w:tcBorders>
            <w:noWrap w:val="0"/>
            <w:vAlign w:val="center"/>
          </w:tcPr>
          <w:p w14:paraId="65CC0182">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评标项目</w:t>
            </w:r>
          </w:p>
        </w:tc>
        <w:tc>
          <w:tcPr>
            <w:tcW w:w="3240" w:type="pct"/>
            <w:tcBorders>
              <w:top w:val="single" w:color="000000" w:sz="8" w:space="0"/>
              <w:left w:val="nil"/>
              <w:bottom w:val="nil"/>
              <w:right w:val="single" w:color="000000" w:sz="8" w:space="0"/>
            </w:tcBorders>
            <w:noWrap w:val="0"/>
            <w:vAlign w:val="center"/>
          </w:tcPr>
          <w:p w14:paraId="50D19784">
            <w:pPr>
              <w:widowControl/>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评标方法描述</w:t>
            </w:r>
          </w:p>
        </w:tc>
        <w:tc>
          <w:tcPr>
            <w:tcW w:w="564" w:type="pct"/>
            <w:tcBorders>
              <w:top w:val="single" w:color="000000" w:sz="8" w:space="0"/>
              <w:left w:val="nil"/>
              <w:bottom w:val="nil"/>
              <w:right w:val="single" w:color="000000" w:sz="8" w:space="0"/>
            </w:tcBorders>
            <w:noWrap w:val="0"/>
            <w:vAlign w:val="center"/>
          </w:tcPr>
          <w:p w14:paraId="0B18923E">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满分分值</w:t>
            </w:r>
          </w:p>
        </w:tc>
      </w:tr>
      <w:tr w14:paraId="624957F3">
        <w:tblPrEx>
          <w:tblCellMar>
            <w:top w:w="0" w:type="dxa"/>
            <w:left w:w="108" w:type="dxa"/>
            <w:bottom w:w="0" w:type="dxa"/>
            <w:right w:w="108" w:type="dxa"/>
          </w:tblCellMar>
        </w:tblPrEx>
        <w:trPr>
          <w:trHeight w:val="657"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14:paraId="4EEAF8CF">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03A9BDAA">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技术方案</w:t>
            </w:r>
          </w:p>
        </w:tc>
        <w:tc>
          <w:tcPr>
            <w:tcW w:w="3240" w:type="pct"/>
            <w:tcBorders>
              <w:top w:val="single" w:color="000000" w:sz="4" w:space="0"/>
              <w:left w:val="single" w:color="000000" w:sz="4" w:space="0"/>
              <w:right w:val="single" w:color="000000" w:sz="4" w:space="0"/>
            </w:tcBorders>
            <w:noWrap w:val="0"/>
            <w:vAlign w:val="center"/>
          </w:tcPr>
          <w:p w14:paraId="7D7ABC18">
            <w:pPr>
              <w:widowControl/>
              <w:jc w:val="left"/>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项目技术方案建议书包括（对项目需求的理解、初步思路、工作计划、主要方法等）</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满分10分。</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D05ECFC">
            <w:pPr>
              <w:widowControl/>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w:t>
            </w:r>
          </w:p>
        </w:tc>
      </w:tr>
      <w:tr w14:paraId="5D190C83">
        <w:tblPrEx>
          <w:tblCellMar>
            <w:top w:w="0" w:type="dxa"/>
            <w:left w:w="108" w:type="dxa"/>
            <w:bottom w:w="0" w:type="dxa"/>
            <w:right w:w="108" w:type="dxa"/>
          </w:tblCellMar>
        </w:tblPrEx>
        <w:trPr>
          <w:trHeight w:val="1564"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14:paraId="49F6C638">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w:t>
            </w:r>
          </w:p>
        </w:tc>
        <w:tc>
          <w:tcPr>
            <w:tcW w:w="816" w:type="pct"/>
            <w:tcBorders>
              <w:top w:val="single" w:color="000000" w:sz="4" w:space="0"/>
              <w:left w:val="single" w:color="000000" w:sz="4" w:space="0"/>
              <w:bottom w:val="single" w:color="000000" w:sz="4" w:space="0"/>
              <w:right w:val="single" w:color="000000" w:sz="4" w:space="0"/>
            </w:tcBorders>
            <w:noWrap w:val="0"/>
            <w:vAlign w:val="center"/>
          </w:tcPr>
          <w:p w14:paraId="76E5D59E">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人员</w:t>
            </w:r>
          </w:p>
          <w:p w14:paraId="4ED08EE9">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配置</w:t>
            </w:r>
          </w:p>
          <w:p w14:paraId="31B40758">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情况</w:t>
            </w:r>
          </w:p>
        </w:tc>
        <w:tc>
          <w:tcPr>
            <w:tcW w:w="3240" w:type="pct"/>
            <w:tcBorders>
              <w:top w:val="single" w:color="000000" w:sz="4" w:space="0"/>
              <w:left w:val="single" w:color="000000" w:sz="4" w:space="0"/>
              <w:right w:val="single" w:color="000000" w:sz="4" w:space="0"/>
            </w:tcBorders>
            <w:noWrap w:val="0"/>
            <w:vAlign w:val="center"/>
          </w:tcPr>
          <w:p w14:paraId="3C1952C0">
            <w:pPr>
              <w:widowControl/>
              <w:jc w:val="left"/>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项目团队介绍及经验证明（核心成员简历、类似项目成功案例合同关键页或证明文件（对应项目的合同）得</w:t>
            </w:r>
            <w:r>
              <w:rPr>
                <w:rFonts w:hint="default"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rPr>
              <w:t>分，否则得0分。</w:t>
            </w:r>
          </w:p>
          <w:p w14:paraId="5BED3676">
            <w:pPr>
              <w:widowControl/>
              <w:jc w:val="left"/>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2、每增加一份项目组中个人成功案例加1分，最高加3分。</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F3BC8EC">
            <w:pPr>
              <w:widowControl/>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9</w:t>
            </w:r>
          </w:p>
        </w:tc>
      </w:tr>
      <w:tr w14:paraId="175F3497">
        <w:tblPrEx>
          <w:tblCellMar>
            <w:top w:w="0" w:type="dxa"/>
            <w:left w:w="108" w:type="dxa"/>
            <w:bottom w:w="0" w:type="dxa"/>
            <w:right w:w="108" w:type="dxa"/>
          </w:tblCellMar>
        </w:tblPrEx>
        <w:trPr>
          <w:trHeight w:val="714" w:hRule="atLeast"/>
        </w:trPr>
        <w:tc>
          <w:tcPr>
            <w:tcW w:w="379" w:type="pct"/>
            <w:vMerge w:val="restart"/>
            <w:tcBorders>
              <w:top w:val="single" w:color="000000" w:sz="4" w:space="0"/>
              <w:left w:val="single" w:color="000000" w:sz="4" w:space="0"/>
              <w:right w:val="single" w:color="000000" w:sz="4" w:space="0"/>
            </w:tcBorders>
            <w:noWrap w:val="0"/>
            <w:vAlign w:val="center"/>
          </w:tcPr>
          <w:p w14:paraId="22B57B0E">
            <w:pPr>
              <w:widowControl/>
              <w:jc w:val="center"/>
              <w:textAlignment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3</w:t>
            </w:r>
          </w:p>
        </w:tc>
        <w:tc>
          <w:tcPr>
            <w:tcW w:w="816" w:type="pct"/>
            <w:vMerge w:val="restart"/>
            <w:tcBorders>
              <w:top w:val="single" w:color="000000" w:sz="4" w:space="0"/>
              <w:left w:val="single" w:color="000000" w:sz="4" w:space="0"/>
              <w:right w:val="single" w:color="000000" w:sz="4" w:space="0"/>
            </w:tcBorders>
            <w:noWrap w:val="0"/>
            <w:vAlign w:val="center"/>
          </w:tcPr>
          <w:p w14:paraId="480CDD06">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业绩情况</w:t>
            </w:r>
          </w:p>
        </w:tc>
        <w:tc>
          <w:tcPr>
            <w:tcW w:w="3240" w:type="pct"/>
            <w:tcBorders>
              <w:top w:val="single" w:color="000000" w:sz="4" w:space="0"/>
              <w:left w:val="single" w:color="000000" w:sz="4" w:space="0"/>
              <w:bottom w:val="single" w:color="000000" w:sz="4" w:space="0"/>
              <w:right w:val="single" w:color="000000" w:sz="4" w:space="0"/>
            </w:tcBorders>
            <w:noWrap w:val="0"/>
            <w:vAlign w:val="center"/>
          </w:tcPr>
          <w:p w14:paraId="1D88B4C3">
            <w:pPr>
              <w:widowControl/>
              <w:jc w:val="left"/>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出版过加工贸易相关的专业著作（提供出版著作信息）得</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rPr>
              <w:t>分，未提供以上各项证明材料的不得分。</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485FF0E8">
            <w:pPr>
              <w:widowControl/>
              <w:jc w:val="center"/>
              <w:textAlignment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5</w:t>
            </w:r>
          </w:p>
        </w:tc>
      </w:tr>
      <w:tr w14:paraId="15A31DBE">
        <w:tblPrEx>
          <w:tblCellMar>
            <w:top w:w="0" w:type="dxa"/>
            <w:left w:w="108" w:type="dxa"/>
            <w:bottom w:w="0" w:type="dxa"/>
            <w:right w:w="108" w:type="dxa"/>
          </w:tblCellMar>
        </w:tblPrEx>
        <w:trPr>
          <w:trHeight w:val="898" w:hRule="atLeast"/>
        </w:trPr>
        <w:tc>
          <w:tcPr>
            <w:tcW w:w="379" w:type="pct"/>
            <w:vMerge w:val="continue"/>
            <w:tcBorders>
              <w:left w:val="single" w:color="000000" w:sz="4" w:space="0"/>
              <w:right w:val="single" w:color="000000" w:sz="4" w:space="0"/>
            </w:tcBorders>
            <w:noWrap w:val="0"/>
            <w:vAlign w:val="center"/>
          </w:tcPr>
          <w:p w14:paraId="51876405">
            <w:pPr>
              <w:widowControl/>
              <w:jc w:val="center"/>
              <w:textAlignment w:val="center"/>
              <w:rPr>
                <w:rFonts w:hint="default" w:ascii="Times New Roman" w:hAnsi="Times New Roman" w:cs="Times New Roman" w:eastAsiaTheme="minorEastAsia"/>
                <w:color w:val="auto"/>
                <w:sz w:val="21"/>
                <w:szCs w:val="21"/>
                <w:highlight w:val="none"/>
              </w:rPr>
            </w:pPr>
          </w:p>
        </w:tc>
        <w:tc>
          <w:tcPr>
            <w:tcW w:w="816" w:type="pct"/>
            <w:vMerge w:val="continue"/>
            <w:tcBorders>
              <w:left w:val="single" w:color="000000" w:sz="4" w:space="0"/>
              <w:right w:val="single" w:color="000000" w:sz="4" w:space="0"/>
            </w:tcBorders>
            <w:noWrap w:val="0"/>
            <w:vAlign w:val="center"/>
          </w:tcPr>
          <w:p w14:paraId="1DE4A030">
            <w:pPr>
              <w:widowControl/>
              <w:jc w:val="center"/>
              <w:textAlignment w:val="center"/>
              <w:rPr>
                <w:rFonts w:hint="default" w:ascii="Times New Roman" w:hAnsi="Times New Roman" w:cs="Times New Roman" w:eastAsiaTheme="minorEastAsia"/>
                <w:color w:val="auto"/>
                <w:sz w:val="21"/>
                <w:szCs w:val="21"/>
                <w:highlight w:val="none"/>
              </w:rPr>
            </w:pPr>
          </w:p>
        </w:tc>
        <w:tc>
          <w:tcPr>
            <w:tcW w:w="3240" w:type="pct"/>
            <w:tcBorders>
              <w:top w:val="single" w:color="000000" w:sz="4" w:space="0"/>
              <w:left w:val="single" w:color="000000" w:sz="4" w:space="0"/>
              <w:bottom w:val="single" w:color="000000" w:sz="4" w:space="0"/>
              <w:right w:val="single" w:color="000000" w:sz="4" w:space="0"/>
            </w:tcBorders>
            <w:noWrap w:val="0"/>
            <w:vAlign w:val="center"/>
          </w:tcPr>
          <w:p w14:paraId="4D4D70B9">
            <w:pPr>
              <w:widowControl/>
              <w:jc w:val="left"/>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1、参加海关、地方政府与保税经济、加工贸易相关的课题研究得5分，否则不得分；</w:t>
            </w:r>
          </w:p>
          <w:p w14:paraId="65698DA8">
            <w:pPr>
              <w:widowControl/>
              <w:jc w:val="left"/>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2、有平台建设得3分，否则不得分。</w:t>
            </w:r>
          </w:p>
          <w:p w14:paraId="308BB1BB">
            <w:pPr>
              <w:widowControl/>
              <w:jc w:val="left"/>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3、提供相关项目合同，每提供1个项目合同加1分，最高可加3分。</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500DF53A">
            <w:pPr>
              <w:widowControl/>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w:t>
            </w:r>
          </w:p>
        </w:tc>
      </w:tr>
      <w:tr w14:paraId="7484245D">
        <w:tblPrEx>
          <w:tblCellMar>
            <w:top w:w="0" w:type="dxa"/>
            <w:left w:w="108" w:type="dxa"/>
            <w:bottom w:w="0" w:type="dxa"/>
            <w:right w:w="108" w:type="dxa"/>
          </w:tblCellMar>
        </w:tblPrEx>
        <w:trPr>
          <w:trHeight w:val="1032" w:hRule="atLeast"/>
        </w:trPr>
        <w:tc>
          <w:tcPr>
            <w:tcW w:w="379" w:type="pct"/>
            <w:vMerge w:val="continue"/>
            <w:tcBorders>
              <w:left w:val="single" w:color="000000" w:sz="4" w:space="0"/>
              <w:right w:val="single" w:color="000000" w:sz="4" w:space="0"/>
            </w:tcBorders>
            <w:noWrap w:val="0"/>
            <w:vAlign w:val="center"/>
          </w:tcPr>
          <w:p w14:paraId="72F5DCBE">
            <w:pPr>
              <w:widowControl/>
              <w:jc w:val="center"/>
              <w:textAlignment w:val="center"/>
              <w:rPr>
                <w:rFonts w:hint="default" w:ascii="Times New Roman" w:hAnsi="Times New Roman" w:cs="Times New Roman" w:eastAsiaTheme="minorEastAsia"/>
                <w:color w:val="auto"/>
                <w:sz w:val="21"/>
                <w:szCs w:val="21"/>
                <w:highlight w:val="none"/>
              </w:rPr>
            </w:pPr>
          </w:p>
        </w:tc>
        <w:tc>
          <w:tcPr>
            <w:tcW w:w="816" w:type="pct"/>
            <w:vMerge w:val="continue"/>
            <w:tcBorders>
              <w:left w:val="single" w:color="000000" w:sz="4" w:space="0"/>
              <w:right w:val="single" w:color="000000" w:sz="4" w:space="0"/>
            </w:tcBorders>
            <w:noWrap w:val="0"/>
            <w:vAlign w:val="center"/>
          </w:tcPr>
          <w:p w14:paraId="5CB0B704">
            <w:pPr>
              <w:widowControl/>
              <w:jc w:val="center"/>
              <w:textAlignment w:val="center"/>
              <w:rPr>
                <w:rFonts w:hint="default" w:ascii="Times New Roman" w:hAnsi="Times New Roman" w:cs="Times New Roman" w:eastAsiaTheme="minorEastAsia"/>
                <w:color w:val="auto"/>
                <w:sz w:val="21"/>
                <w:szCs w:val="21"/>
                <w:highlight w:val="none"/>
              </w:rPr>
            </w:pPr>
          </w:p>
        </w:tc>
        <w:tc>
          <w:tcPr>
            <w:tcW w:w="3240" w:type="pct"/>
            <w:tcBorders>
              <w:top w:val="single" w:color="000000" w:sz="4" w:space="0"/>
              <w:left w:val="single" w:color="000000" w:sz="4" w:space="0"/>
              <w:right w:val="single" w:color="000000" w:sz="4" w:space="0"/>
            </w:tcBorders>
            <w:noWrap w:val="0"/>
            <w:vAlign w:val="center"/>
          </w:tcPr>
          <w:p w14:paraId="389A0094">
            <w:pPr>
              <w:pStyle w:val="41"/>
              <w:numPr>
                <w:ilvl w:val="0"/>
                <w:numId w:val="0"/>
              </w:numPr>
              <w:shd w:val="clear" w:color="auto" w:fill="FCFCFC"/>
              <w:spacing w:before="96" w:beforeAutospacing="0" w:after="144" w:afterAutospacing="0" w:line="21" w:lineRule="atLeast"/>
              <w:jc w:val="both"/>
              <w:textAlignment w:val="baseline"/>
              <w:rPr>
                <w:rFonts w:hint="default" w:ascii="Times New Roman" w:hAnsi="Times New Roman" w:cs="Times New Roman" w:eastAsiaTheme="minorEastAsia"/>
                <w:color w:val="auto"/>
                <w:kern w:val="2"/>
                <w:sz w:val="21"/>
                <w:szCs w:val="21"/>
                <w:highlight w:val="none"/>
              </w:rPr>
            </w:pPr>
            <w:r>
              <w:rPr>
                <w:rFonts w:hint="eastAsia" w:ascii="Times New Roman" w:hAnsi="Times New Roman" w:cs="Times New Roman" w:eastAsiaTheme="minorEastAsia"/>
                <w:color w:val="auto"/>
                <w:kern w:val="2"/>
                <w:sz w:val="21"/>
                <w:szCs w:val="21"/>
                <w:highlight w:val="none"/>
                <w:lang w:val="en-US" w:eastAsia="zh-CN"/>
              </w:rPr>
              <w:t>4、</w:t>
            </w:r>
            <w:r>
              <w:rPr>
                <w:rFonts w:hint="default" w:ascii="Times New Roman" w:hAnsi="Times New Roman" w:cs="Times New Roman" w:eastAsiaTheme="minorEastAsia"/>
                <w:color w:val="auto"/>
                <w:kern w:val="2"/>
                <w:sz w:val="21"/>
                <w:szCs w:val="21"/>
                <w:highlight w:val="none"/>
              </w:rPr>
              <w:t>提供近5年石油化工进料加工实施成功案例1项的得4分；提供石油化工进料加工实施成功案例2项的得8分；提供石油化工油进料加工实施成功案例3项及以上成功案例的得15分</w:t>
            </w:r>
            <w:r>
              <w:rPr>
                <w:rFonts w:hint="default" w:ascii="Times New Roman" w:hAnsi="Times New Roman" w:cs="Times New Roman" w:eastAsiaTheme="minorEastAsia"/>
                <w:color w:val="auto"/>
                <w:kern w:val="2"/>
                <w:sz w:val="21"/>
                <w:szCs w:val="21"/>
                <w:highlight w:val="none"/>
                <w:lang w:eastAsia="zh-CN"/>
              </w:rPr>
              <w:t>，</w:t>
            </w:r>
            <w:r>
              <w:rPr>
                <w:rFonts w:hint="default" w:ascii="Times New Roman" w:hAnsi="Times New Roman" w:cs="Times New Roman" w:eastAsiaTheme="minorEastAsia"/>
                <w:color w:val="auto"/>
                <w:kern w:val="2"/>
                <w:sz w:val="21"/>
                <w:szCs w:val="21"/>
                <w:highlight w:val="none"/>
                <w:lang w:val="en-US" w:eastAsia="zh-CN"/>
              </w:rPr>
              <w:t>未提供</w:t>
            </w:r>
            <w:r>
              <w:rPr>
                <w:rFonts w:hint="default" w:ascii="Times New Roman" w:hAnsi="Times New Roman" w:cs="Times New Roman" w:eastAsiaTheme="minorEastAsia"/>
                <w:color w:val="auto"/>
                <w:kern w:val="2"/>
                <w:sz w:val="21"/>
                <w:szCs w:val="21"/>
                <w:highlight w:val="none"/>
              </w:rPr>
              <w:t>不得分。</w:t>
            </w: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0593B70C">
            <w:pPr>
              <w:widowControl/>
              <w:jc w:val="center"/>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15</w:t>
            </w:r>
          </w:p>
        </w:tc>
      </w:tr>
      <w:tr w14:paraId="5A5B2DF4">
        <w:tblPrEx>
          <w:tblCellMar>
            <w:top w:w="0" w:type="dxa"/>
            <w:left w:w="108" w:type="dxa"/>
            <w:bottom w:w="0" w:type="dxa"/>
            <w:right w:w="108" w:type="dxa"/>
          </w:tblCellMar>
        </w:tblPrEx>
        <w:trPr>
          <w:trHeight w:val="510" w:hRule="atLeast"/>
        </w:trPr>
        <w:tc>
          <w:tcPr>
            <w:tcW w:w="379" w:type="pct"/>
            <w:tcBorders>
              <w:top w:val="single" w:color="000000" w:sz="4" w:space="0"/>
              <w:left w:val="single" w:color="000000" w:sz="4" w:space="0"/>
              <w:bottom w:val="single" w:color="000000" w:sz="4" w:space="0"/>
              <w:right w:val="single" w:color="000000" w:sz="4" w:space="0"/>
            </w:tcBorders>
            <w:noWrap w:val="0"/>
            <w:vAlign w:val="center"/>
          </w:tcPr>
          <w:p w14:paraId="55487BE8">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合计</w:t>
            </w:r>
          </w:p>
        </w:tc>
        <w:tc>
          <w:tcPr>
            <w:tcW w:w="816" w:type="pct"/>
            <w:tcBorders>
              <w:top w:val="single" w:color="000000" w:sz="4" w:space="0"/>
              <w:left w:val="single" w:color="000000" w:sz="4" w:space="0"/>
              <w:bottom w:val="single" w:color="000000" w:sz="4" w:space="0"/>
              <w:right w:val="single" w:color="000000" w:sz="4" w:space="0"/>
            </w:tcBorders>
            <w:noWrap/>
            <w:vAlign w:val="center"/>
          </w:tcPr>
          <w:p w14:paraId="6467498B">
            <w:pPr>
              <w:jc w:val="center"/>
              <w:rPr>
                <w:rFonts w:hint="default" w:ascii="Times New Roman" w:hAnsi="Times New Roman" w:cs="Times New Roman" w:eastAsiaTheme="minorEastAsia"/>
                <w:color w:val="auto"/>
                <w:sz w:val="21"/>
                <w:szCs w:val="21"/>
                <w:highlight w:val="none"/>
              </w:rPr>
            </w:pPr>
          </w:p>
        </w:tc>
        <w:tc>
          <w:tcPr>
            <w:tcW w:w="3240" w:type="pct"/>
            <w:tcBorders>
              <w:top w:val="single" w:color="000000" w:sz="4" w:space="0"/>
              <w:left w:val="single" w:color="000000" w:sz="4" w:space="0"/>
              <w:bottom w:val="single" w:color="000000" w:sz="4" w:space="0"/>
              <w:right w:val="single" w:color="000000" w:sz="4" w:space="0"/>
            </w:tcBorders>
            <w:noWrap w:val="0"/>
            <w:vAlign w:val="center"/>
          </w:tcPr>
          <w:p w14:paraId="4A0E8C1D">
            <w:pPr>
              <w:widowControl/>
              <w:jc w:val="center"/>
              <w:textAlignment w:val="center"/>
              <w:rPr>
                <w:rFonts w:hint="default" w:ascii="Times New Roman" w:hAnsi="Times New Roman" w:cs="Times New Roman" w:eastAsiaTheme="minorEastAsia"/>
                <w:color w:val="auto"/>
                <w:sz w:val="21"/>
                <w:szCs w:val="21"/>
                <w:highlight w:val="none"/>
              </w:rPr>
            </w:pPr>
          </w:p>
        </w:tc>
        <w:tc>
          <w:tcPr>
            <w:tcW w:w="564" w:type="pct"/>
            <w:tcBorders>
              <w:top w:val="single" w:color="000000" w:sz="4" w:space="0"/>
              <w:left w:val="single" w:color="000000" w:sz="4" w:space="0"/>
              <w:bottom w:val="single" w:color="000000" w:sz="4" w:space="0"/>
              <w:right w:val="single" w:color="000000" w:sz="4" w:space="0"/>
            </w:tcBorders>
            <w:noWrap/>
            <w:vAlign w:val="center"/>
          </w:tcPr>
          <w:p w14:paraId="55666C7A">
            <w:pPr>
              <w:widowControl/>
              <w:jc w:val="center"/>
              <w:textAlignment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50</w:t>
            </w:r>
          </w:p>
        </w:tc>
      </w:tr>
    </w:tbl>
    <w:p w14:paraId="18D77498">
      <w:pPr>
        <w:spacing w:line="600" w:lineRule="exact"/>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（二） 商务价格</w:t>
      </w:r>
      <w:r>
        <w:rPr>
          <w:rFonts w:hint="default" w:ascii="Times New Roman" w:hAnsi="Times New Roman" w:cs="Times New Roman" w:eastAsiaTheme="minorEastAsia"/>
          <w:color w:val="auto"/>
          <w:kern w:val="0"/>
          <w:sz w:val="21"/>
          <w:szCs w:val="21"/>
          <w:highlight w:val="none"/>
          <w:lang w:val="en-US" w:eastAsia="zh-CN"/>
        </w:rPr>
        <w:t>评分</w:t>
      </w:r>
      <w:r>
        <w:rPr>
          <w:rFonts w:hint="default" w:ascii="Times New Roman" w:hAnsi="Times New Roman" w:cs="Times New Roman" w:eastAsiaTheme="minorEastAsia"/>
          <w:color w:val="auto"/>
          <w:kern w:val="0"/>
          <w:sz w:val="21"/>
          <w:szCs w:val="21"/>
          <w:highlight w:val="none"/>
        </w:rPr>
        <w:t>：满分</w:t>
      </w:r>
      <w:r>
        <w:rPr>
          <w:rFonts w:hint="default" w:ascii="Times New Roman" w:hAnsi="Times New Roman" w:cs="Times New Roman" w:eastAsiaTheme="minorEastAsia"/>
          <w:color w:val="auto"/>
          <w:kern w:val="0"/>
          <w:sz w:val="21"/>
          <w:szCs w:val="21"/>
          <w:highlight w:val="none"/>
          <w:lang w:val="en-US" w:eastAsia="zh-CN"/>
        </w:rPr>
        <w:t>50</w:t>
      </w:r>
      <w:r>
        <w:rPr>
          <w:rFonts w:hint="default" w:ascii="Times New Roman" w:hAnsi="Times New Roman" w:cs="Times New Roman" w:eastAsiaTheme="minorEastAsia"/>
          <w:color w:val="auto"/>
          <w:kern w:val="0"/>
          <w:sz w:val="21"/>
          <w:szCs w:val="21"/>
          <w:highlight w:val="none"/>
        </w:rPr>
        <w:t>分：</w:t>
      </w:r>
    </w:p>
    <w:p w14:paraId="0BE5B5F8">
      <w:pPr>
        <w:pStyle w:val="20"/>
        <w:spacing w:line="336" w:lineRule="auto"/>
        <w:ind w:right="121"/>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 评标基准价</w:t>
      </w:r>
      <w:r>
        <w:rPr>
          <w:rFonts w:hint="default" w:ascii="Times New Roman" w:hAnsi="Times New Roman" w:cs="Times New Roman" w:eastAsiaTheme="minorEastAsia"/>
          <w:color w:val="auto"/>
          <w:sz w:val="21"/>
          <w:szCs w:val="21"/>
          <w:highlight w:val="none"/>
          <w:lang w:eastAsia="zh-CN"/>
        </w:rPr>
        <w:br w:type="textWrapping"/>
      </w:r>
      <w:r>
        <w:rPr>
          <w:rFonts w:hint="default" w:ascii="Times New Roman" w:hAnsi="Times New Roman" w:cs="Times New Roman" w:eastAsiaTheme="minorEastAsia"/>
          <w:color w:val="auto"/>
          <w:sz w:val="21"/>
          <w:szCs w:val="21"/>
          <w:highlight w:val="none"/>
          <w:lang w:eastAsia="zh-CN"/>
        </w:rPr>
        <w:t>1.1 评标委员会对各有效标的投标报价进行审核确定评标价，并将所有投标人的评标价去掉一个最高值后的算术平均数定为评标基准价（如参与评标价平均值计算的投标人少于4家时，不再去掉最高和最低值，直接计算其算术平均数为评标基准价）。</w:t>
      </w:r>
      <w:r>
        <w:rPr>
          <w:rFonts w:hint="default" w:ascii="Times New Roman" w:hAnsi="Times New Roman" w:cs="Times New Roman" w:eastAsiaTheme="minorEastAsia"/>
          <w:color w:val="auto"/>
          <w:sz w:val="21"/>
          <w:szCs w:val="21"/>
          <w:highlight w:val="none"/>
          <w:lang w:eastAsia="zh-CN"/>
        </w:rPr>
        <w:br w:type="textWrapping"/>
      </w:r>
      <w:r>
        <w:rPr>
          <w:rFonts w:hint="default" w:ascii="Times New Roman" w:hAnsi="Times New Roman" w:cs="Times New Roman" w:eastAsiaTheme="minorEastAsia"/>
          <w:color w:val="auto"/>
          <w:sz w:val="21"/>
          <w:szCs w:val="21"/>
          <w:highlight w:val="none"/>
          <w:lang w:eastAsia="zh-CN"/>
        </w:rPr>
        <w:t>1.2 有效报价&gt;=5家时，去掉1个最高价后，再计算其投标报价平均值作为评标基准价。</w:t>
      </w:r>
    </w:p>
    <w:p w14:paraId="152C2F9A">
      <w:pPr>
        <w:pStyle w:val="20"/>
        <w:spacing w:line="336" w:lineRule="auto"/>
        <w:ind w:right="121"/>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1.3 有效报价&lt;5家时，评审基准价计算统一采用投标报价平均值作为评标基准价。</w:t>
      </w:r>
    </w:p>
    <w:p w14:paraId="6211F0B1">
      <w:pPr>
        <w:pStyle w:val="20"/>
        <w:spacing w:line="336" w:lineRule="auto"/>
        <w:ind w:right="121"/>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1.4 评审基准价计算统一采用投标报价平均值作为评标基准价，即满足采购文件要求评审价格的加权平均报价作为评审基准价，其价格分为满分。其他投标响应供应商</w:t>
      </w:r>
    </w:p>
    <w:p w14:paraId="2D2114F5">
      <w:pPr>
        <w:pStyle w:val="20"/>
        <w:spacing w:line="336" w:lineRule="auto"/>
        <w:ind w:right="121" w:firstLine="420" w:firstLineChars="200"/>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价格分按下列公式计算：投标报价得分=</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0-（|Ai-评标基准价|÷评标基准价）×100×Q。</w:t>
      </w:r>
    </w:p>
    <w:p w14:paraId="2A49F1BD">
      <w:pPr>
        <w:pStyle w:val="20"/>
        <w:spacing w:line="336" w:lineRule="auto"/>
        <w:ind w:right="121" w:firstLine="420" w:firstLineChars="200"/>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其中，Ai 为通过初步评审的各合格投标人有效报价评标价；</w:t>
      </w:r>
    </w:p>
    <w:p w14:paraId="14180BC5">
      <w:pPr>
        <w:pStyle w:val="20"/>
        <w:spacing w:line="336" w:lineRule="auto"/>
        <w:ind w:right="121" w:firstLine="420" w:firstLineChars="200"/>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Q为折价分，即有效报价评标价每偏离本项目评标基准价1%所扣的分数：</w:t>
      </w:r>
    </w:p>
    <w:p w14:paraId="035AFD0E">
      <w:pPr>
        <w:pStyle w:val="20"/>
        <w:spacing w:line="336" w:lineRule="auto"/>
        <w:ind w:right="121" w:firstLine="420" w:firstLineChars="200"/>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当合格投标人的有效报价评标价≤评标基准价时，Q的取值为0.50；</w:t>
      </w:r>
    </w:p>
    <w:p w14:paraId="0A2C9928">
      <w:pPr>
        <w:pStyle w:val="20"/>
        <w:spacing w:line="336" w:lineRule="auto"/>
        <w:ind w:right="121" w:firstLine="420" w:firstLineChars="200"/>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当合格投标人的有效报价评标价&gt;评标基准价时，Q的取值为1。</w:t>
      </w:r>
    </w:p>
    <w:p w14:paraId="7F962947">
      <w:pPr>
        <w:pStyle w:val="20"/>
        <w:spacing w:line="336" w:lineRule="auto"/>
        <w:ind w:left="860" w:leftChars="200" w:right="121" w:hanging="420" w:hangingChars="200"/>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1.5 投标人评标价=评标基准价；</w:t>
      </w:r>
      <w:r>
        <w:rPr>
          <w:rFonts w:hint="default" w:ascii="Times New Roman" w:hAnsi="Times New Roman" w:cs="Times New Roman" w:eastAsiaTheme="minorEastAsia"/>
          <w:color w:val="auto"/>
          <w:sz w:val="21"/>
          <w:szCs w:val="21"/>
          <w:highlight w:val="none"/>
          <w:lang w:eastAsia="zh-CN"/>
        </w:rPr>
        <w:br w:type="textWrapping"/>
      </w:r>
      <w:r>
        <w:rPr>
          <w:rFonts w:hint="default" w:ascii="Times New Roman" w:hAnsi="Times New Roman" w:cs="Times New Roman" w:eastAsiaTheme="minorEastAsia"/>
          <w:color w:val="auto"/>
          <w:sz w:val="21"/>
          <w:szCs w:val="21"/>
          <w:highlight w:val="none"/>
          <w:lang w:eastAsia="zh-CN"/>
        </w:rPr>
        <w:t>评标价得分=</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0</w:t>
      </w:r>
    </w:p>
    <w:p w14:paraId="421AD196">
      <w:pPr>
        <w:pStyle w:val="20"/>
        <w:spacing w:line="336" w:lineRule="auto"/>
        <w:ind w:right="121"/>
        <w:jc w:val="both"/>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 xml:space="preserve">（三）综合得分= </w:t>
      </w:r>
      <w:r>
        <w:rPr>
          <w:rFonts w:hint="default" w:ascii="Times New Roman" w:hAnsi="Times New Roman" w:cs="Times New Roman" w:eastAsiaTheme="minorEastAsia"/>
          <w:color w:val="auto"/>
          <w:sz w:val="21"/>
          <w:szCs w:val="21"/>
          <w:highlight w:val="none"/>
        </w:rPr>
        <w:t>技术评分</w:t>
      </w:r>
      <w:r>
        <w:rPr>
          <w:rFonts w:hint="default" w:ascii="Times New Roman" w:hAnsi="Times New Roman" w:cs="Times New Roman" w:eastAsiaTheme="minorEastAsia"/>
          <w:color w:val="auto"/>
          <w:sz w:val="21"/>
          <w:szCs w:val="21"/>
          <w:highlight w:val="none"/>
          <w:lang w:eastAsia="zh-CN"/>
        </w:rPr>
        <w:t xml:space="preserve"> + </w:t>
      </w:r>
      <w:r>
        <w:rPr>
          <w:rFonts w:hint="default" w:ascii="Times New Roman" w:hAnsi="Times New Roman" w:cs="Times New Roman" w:eastAsiaTheme="minorEastAsia"/>
          <w:color w:val="auto"/>
          <w:kern w:val="0"/>
          <w:sz w:val="21"/>
          <w:szCs w:val="21"/>
          <w:highlight w:val="none"/>
        </w:rPr>
        <w:t>商务</w:t>
      </w:r>
      <w:r>
        <w:rPr>
          <w:rFonts w:hint="default" w:ascii="Times New Roman" w:hAnsi="Times New Roman" w:cs="Times New Roman" w:eastAsiaTheme="minorEastAsia"/>
          <w:color w:val="auto"/>
          <w:kern w:val="0"/>
          <w:sz w:val="21"/>
          <w:szCs w:val="21"/>
          <w:highlight w:val="none"/>
          <w:lang w:val="en-US" w:eastAsia="zh-CN"/>
        </w:rPr>
        <w:t>评分</w:t>
      </w:r>
      <w:r>
        <w:rPr>
          <w:rFonts w:hint="default" w:ascii="Times New Roman" w:hAnsi="Times New Roman" w:cs="Times New Roman" w:eastAsiaTheme="minorEastAsia"/>
          <w:color w:val="auto"/>
          <w:sz w:val="21"/>
          <w:szCs w:val="21"/>
          <w:highlight w:val="none"/>
          <w:lang w:eastAsia="zh-CN"/>
        </w:rPr>
        <w:t>。</w:t>
      </w:r>
    </w:p>
    <w:p w14:paraId="1CD317F7">
      <w:pPr>
        <w:pStyle w:val="2"/>
        <w:rPr>
          <w:rFonts w:hint="default" w:ascii="仿宋" w:hAnsi="仿宋" w:eastAsia="仿宋"/>
          <w:color w:val="auto"/>
          <w:sz w:val="28"/>
          <w:szCs w:val="28"/>
          <w:highlight w:val="none"/>
          <w:lang w:val="en-US" w:eastAsia="zh-CN"/>
        </w:rPr>
      </w:pPr>
    </w:p>
    <w:p w14:paraId="65542C2E">
      <w:pPr>
        <w:pStyle w:val="2"/>
        <w:spacing w:line="360" w:lineRule="auto"/>
        <w:rPr>
          <w:rFonts w:ascii="仿宋" w:hAnsi="仿宋" w:eastAsia="仿宋"/>
          <w:color w:val="auto"/>
          <w:sz w:val="28"/>
          <w:szCs w:val="28"/>
          <w:highlight w:val="none"/>
        </w:rPr>
      </w:pPr>
    </w:p>
    <w:bookmarkEnd w:id="0"/>
    <w:p w14:paraId="692FCFC1">
      <w:pPr>
        <w:spacing w:line="360" w:lineRule="auto"/>
        <w:jc w:val="center"/>
        <w:rPr>
          <w:rFonts w:ascii="仿宋" w:hAnsi="仿宋" w:eastAsia="仿宋"/>
          <w:color w:val="auto"/>
          <w:sz w:val="28"/>
          <w:szCs w:val="28"/>
          <w:highlight w:val="none"/>
          <w:lang w:eastAsia="zh-CN"/>
        </w:rPr>
      </w:pPr>
    </w:p>
    <w:sectPr>
      <w:footerReference r:id="rId6" w:type="default"/>
      <w:pgSz w:w="11910" w:h="16840"/>
      <w:pgMar w:top="1500" w:right="1420" w:bottom="126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30"/>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14:paraId="27B0B2B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30"/>
          <w:jc w:val="center"/>
        </w:pPr>
      </w:p>
      <w:sdt>
        <w:sdtPr>
          <w:rPr>
            <w:sz w:val="21"/>
            <w:szCs w:val="21"/>
          </w:rPr>
          <w:id w:val="2119642350"/>
        </w:sdtPr>
        <w:sdtEndPr>
          <w:rPr>
            <w:sz w:val="21"/>
            <w:szCs w:val="21"/>
          </w:rPr>
        </w:sdtEndPr>
        <w:sdtContent>
          <w:p w14:paraId="0A72A009">
            <w:pPr>
              <w:pStyle w:val="30"/>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11</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28</w:t>
            </w:r>
            <w:r>
              <w:rPr>
                <w:b/>
                <w:bCs/>
                <w:sz w:val="21"/>
                <w:szCs w:val="21"/>
              </w:rPr>
              <w:fldChar w:fldCharType="end"/>
            </w:r>
            <w:r>
              <w:rPr>
                <w:rFonts w:hint="eastAsia"/>
                <w:b/>
                <w:bCs/>
                <w:sz w:val="21"/>
                <w:szCs w:val="21"/>
                <w:lang w:eastAsia="zh-CN"/>
              </w:rPr>
              <w:t xml:space="preserve"> 页</w:t>
            </w:r>
          </w:p>
        </w:sdtContent>
      </w:sdt>
      <w:p w14:paraId="6A723A3B">
        <w:pPr>
          <w:pStyle w:val="30"/>
          <w:jc w:val="center"/>
        </w:pPr>
      </w:p>
    </w:sdtContent>
  </w:sdt>
  <w:p w14:paraId="3B30D5C8">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053E6"/>
    <w:multiLevelType w:val="singleLevel"/>
    <w:tmpl w:val="F3D053E6"/>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B9BF4C4"/>
    <w:multiLevelType w:val="singleLevel"/>
    <w:tmpl w:val="0B9BF4C4"/>
    <w:lvl w:ilvl="0" w:tentative="0">
      <w:start w:val="1"/>
      <w:numFmt w:val="decimal"/>
      <w:suff w:val="nothing"/>
      <w:lvlText w:val="%1、"/>
      <w:lvlJc w:val="left"/>
      <w:rPr>
        <w:i w:val="0"/>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173911"/>
    <w:multiLevelType w:val="singleLevel"/>
    <w:tmpl w:val="6D173911"/>
    <w:lvl w:ilvl="0" w:tentative="0">
      <w:start w:val="1"/>
      <w:numFmt w:val="chineseCounting"/>
      <w:suff w:val="nothing"/>
      <w:lvlText w:val="%1、"/>
      <w:lvlJc w:val="left"/>
      <w:rPr>
        <w:rFonts w:hint="eastAsia"/>
      </w:rPr>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10">
    <w:nsid w:val="786A5739"/>
    <w:multiLevelType w:val="multilevel"/>
    <w:tmpl w:val="786A573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3"/>
  </w:num>
  <w:num w:numId="4">
    <w:abstractNumId w:val="4"/>
  </w:num>
  <w:num w:numId="5">
    <w:abstractNumId w:val="6"/>
  </w:num>
  <w:num w:numId="6">
    <w:abstractNumId w:val="9"/>
  </w:num>
  <w:num w:numId="7">
    <w:abstractNumId w:val="2"/>
  </w:num>
  <w:num w:numId="8">
    <w:abstractNumId w:val="10"/>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55BB7"/>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371D"/>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053C"/>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1CEF"/>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A49F9"/>
    <w:rsid w:val="003B0814"/>
    <w:rsid w:val="003B3C4F"/>
    <w:rsid w:val="003B3F6B"/>
    <w:rsid w:val="003B6804"/>
    <w:rsid w:val="003B7CBD"/>
    <w:rsid w:val="003C1AF2"/>
    <w:rsid w:val="003D1BC1"/>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256B4"/>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344"/>
    <w:rsid w:val="004C4B54"/>
    <w:rsid w:val="004D543F"/>
    <w:rsid w:val="004D6A19"/>
    <w:rsid w:val="004E610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14A1"/>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3F7B"/>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5D9A"/>
    <w:rsid w:val="00876586"/>
    <w:rsid w:val="00877188"/>
    <w:rsid w:val="00881942"/>
    <w:rsid w:val="00885D5E"/>
    <w:rsid w:val="00892A2A"/>
    <w:rsid w:val="00895AAC"/>
    <w:rsid w:val="008A20B3"/>
    <w:rsid w:val="008A28CB"/>
    <w:rsid w:val="008B0670"/>
    <w:rsid w:val="008B4179"/>
    <w:rsid w:val="008C03C3"/>
    <w:rsid w:val="008E0EE1"/>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63B"/>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5A9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28E"/>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046"/>
    <w:rsid w:val="00C5267D"/>
    <w:rsid w:val="00C53E9A"/>
    <w:rsid w:val="00C6183F"/>
    <w:rsid w:val="00C6491F"/>
    <w:rsid w:val="00C71916"/>
    <w:rsid w:val="00C76112"/>
    <w:rsid w:val="00C77EDD"/>
    <w:rsid w:val="00C8060B"/>
    <w:rsid w:val="00C8345D"/>
    <w:rsid w:val="00C864FC"/>
    <w:rsid w:val="00C8727A"/>
    <w:rsid w:val="00C913CE"/>
    <w:rsid w:val="00C93BEF"/>
    <w:rsid w:val="00CA196F"/>
    <w:rsid w:val="00CA54A9"/>
    <w:rsid w:val="00CB2E01"/>
    <w:rsid w:val="00CB2F5D"/>
    <w:rsid w:val="00CB3440"/>
    <w:rsid w:val="00CB5372"/>
    <w:rsid w:val="00CB73DA"/>
    <w:rsid w:val="00CC6798"/>
    <w:rsid w:val="00CC77EC"/>
    <w:rsid w:val="00CD371C"/>
    <w:rsid w:val="00CD3723"/>
    <w:rsid w:val="00CD487B"/>
    <w:rsid w:val="00CD623F"/>
    <w:rsid w:val="00CD7E0C"/>
    <w:rsid w:val="00CE2DB4"/>
    <w:rsid w:val="00CE411C"/>
    <w:rsid w:val="00CE591F"/>
    <w:rsid w:val="00CE7D5B"/>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46D7D"/>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5CF"/>
    <w:rsid w:val="00E739AE"/>
    <w:rsid w:val="00E80BDD"/>
    <w:rsid w:val="00E85991"/>
    <w:rsid w:val="00E93446"/>
    <w:rsid w:val="00E94724"/>
    <w:rsid w:val="00E974B5"/>
    <w:rsid w:val="00E975FE"/>
    <w:rsid w:val="00E97CE7"/>
    <w:rsid w:val="00EA3D4B"/>
    <w:rsid w:val="00EA5A6E"/>
    <w:rsid w:val="00EB36A5"/>
    <w:rsid w:val="00EC50D4"/>
    <w:rsid w:val="00EC5462"/>
    <w:rsid w:val="00EC66E4"/>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86767"/>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CA5E60"/>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8B2DD7"/>
    <w:rsid w:val="20D50BF7"/>
    <w:rsid w:val="21933AA2"/>
    <w:rsid w:val="2236163B"/>
    <w:rsid w:val="22EE775E"/>
    <w:rsid w:val="25BF356F"/>
    <w:rsid w:val="25DB0C2D"/>
    <w:rsid w:val="269469E7"/>
    <w:rsid w:val="26AE398C"/>
    <w:rsid w:val="26C85874"/>
    <w:rsid w:val="29FC3B14"/>
    <w:rsid w:val="2B11792E"/>
    <w:rsid w:val="2BFC66E0"/>
    <w:rsid w:val="2CDC646A"/>
    <w:rsid w:val="2D946557"/>
    <w:rsid w:val="2E587B29"/>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9762AE7"/>
    <w:rsid w:val="4DC35387"/>
    <w:rsid w:val="4E1458CD"/>
    <w:rsid w:val="4E293FE6"/>
    <w:rsid w:val="4E8823C4"/>
    <w:rsid w:val="50F63E28"/>
    <w:rsid w:val="519C64C0"/>
    <w:rsid w:val="5221007F"/>
    <w:rsid w:val="52926B5A"/>
    <w:rsid w:val="53D0583A"/>
    <w:rsid w:val="545C5E51"/>
    <w:rsid w:val="5486175B"/>
    <w:rsid w:val="56966EC2"/>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733315"/>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0"/>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99"/>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99"/>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8"/>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表的标题"/>
    <w:basedOn w:val="1"/>
    <w:next w:val="215"/>
    <w:qFormat/>
    <w:uiPriority w:val="0"/>
    <w:pPr>
      <w:adjustRightInd w:val="0"/>
      <w:snapToGrid w:val="0"/>
      <w:jc w:val="center"/>
    </w:pPr>
    <w:rPr>
      <w:rFonts w:ascii="Arial" w:hAnsi="Arial"/>
      <w:sz w:val="24"/>
      <w:szCs w:val="20"/>
    </w:rPr>
  </w:style>
  <w:style w:type="paragraph" w:customStyle="1" w:styleId="215">
    <w:name w:val="表中正文"/>
    <w:basedOn w:val="1"/>
    <w:qFormat/>
    <w:uiPriority w:val="0"/>
    <w:pPr>
      <w:adjustRightInd w:val="0"/>
      <w:snapToGrid w:val="0"/>
      <w:spacing w:line="300" w:lineRule="exact"/>
      <w:jc w:val="center"/>
    </w:pPr>
    <w:rPr>
      <w:rFonts w:hAnsi="Times New Roman" w:cs="Times New Roman"/>
      <w:szCs w:val="21"/>
    </w:rPr>
  </w:style>
  <w:style w:type="paragraph" w:customStyle="1" w:styleId="216">
    <w:name w:val="mdf-toolbarpagetitle"/>
    <w:basedOn w:val="1"/>
    <w:uiPriority w:val="0"/>
    <w:pPr>
      <w:widowControl/>
      <w:autoSpaceDE/>
      <w:autoSpaceDN/>
      <w:spacing w:before="100" w:beforeAutospacing="1" w:after="100" w:afterAutospacing="1"/>
    </w:pPr>
    <w:rPr>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8A0BA-BEB3-4195-A551-16EDF31DCD1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967</Words>
  <Characters>1046</Characters>
  <Lines>80</Lines>
  <Paragraphs>22</Paragraphs>
  <TotalTime>2</TotalTime>
  <ScaleCrop>false</ScaleCrop>
  <LinksUpToDate>false</LinksUpToDate>
  <CharactersWithSpaces>1099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2025-04-29T01:02:00Z</dcterms:created>
  <dc:creator>CGC</dc:creator>
  <cp:lastModifiedBy>寒梅（钦）</cp:lastModifiedBy>
  <dcterms:modified xsi:type="dcterms:W3CDTF">2025-07-23T02:03:59Z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611CA501D6374935BC74EB9782B152EE</vt:lpwstr>
  </property>
  <property fmtid="{D5CDD505-2E9C-101B-9397-08002B2CF9AE}" pid="7" name="KSOTemplateDocerSaveRecord">
    <vt:lpwstr>eyJoZGlkIjoiMDAwZGE1YzMwMDlmOTIxMTA2ZTkzZTJhZThjODRkZDQiLCJ1c2VySWQiOiI5ODEyNzgwOTAifQ==</vt:lpwstr>
  </property>
</Properties>
</file>