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19"/>
        <w:rPr>
          <w:rFonts w:ascii="Times New Roman"/>
          <w:sz w:val="20"/>
          <w:lang w:eastAsia="zh-CN"/>
        </w:rPr>
      </w:pPr>
    </w:p>
    <w:p w14:paraId="71ACEBD5">
      <w:pPr>
        <w:pStyle w:val="19"/>
        <w:rPr>
          <w:rFonts w:ascii="Times New Roman"/>
          <w:sz w:val="20"/>
        </w:rPr>
      </w:pPr>
    </w:p>
    <w:p w14:paraId="11E04291">
      <w:pPr>
        <w:pStyle w:val="19"/>
        <w:rPr>
          <w:rFonts w:ascii="Times New Roman"/>
          <w:sz w:val="20"/>
        </w:rPr>
      </w:pPr>
    </w:p>
    <w:p w14:paraId="636675A3">
      <w:pPr>
        <w:pStyle w:val="19"/>
        <w:rPr>
          <w:rFonts w:ascii="Times New Roman"/>
          <w:sz w:val="20"/>
        </w:rPr>
      </w:pPr>
    </w:p>
    <w:p w14:paraId="6CBBDA8F">
      <w:pPr>
        <w:pStyle w:val="19"/>
        <w:rPr>
          <w:rFonts w:ascii="Times New Roman"/>
          <w:sz w:val="20"/>
        </w:rPr>
      </w:pPr>
    </w:p>
    <w:p w14:paraId="7DBC92D0">
      <w:pPr>
        <w:pStyle w:val="19"/>
        <w:spacing w:before="5"/>
        <w:rPr>
          <w:rFonts w:ascii="Times New Roman"/>
          <w:sz w:val="20"/>
        </w:rPr>
      </w:pPr>
    </w:p>
    <w:p w14:paraId="465920EF">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387D505E">
      <w:pPr>
        <w:pStyle w:val="19"/>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原料适应性技改项目阶段性职业病危害控制效果评价及职业病防护设施竣工验收</w:t>
      </w:r>
    </w:p>
    <w:p w14:paraId="1F595A08">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4"/>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FAP1-T-CGSQ-202506-002</w:t>
      </w:r>
      <w:r>
        <w:rPr>
          <w:color w:val="000000" w:themeColor="text1"/>
          <w:sz w:val="28"/>
          <w:szCs w:val="28"/>
          <w:u w:val="single"/>
        </w:rPr>
        <w:t xml:space="preserve"> </w:t>
      </w:r>
      <w:r>
        <w:rPr>
          <w:rFonts w:hint="eastAsia"/>
          <w:color w:val="000000" w:themeColor="text1"/>
          <w:sz w:val="28"/>
          <w:szCs w:val="28"/>
        </w:rPr>
        <w:t xml:space="preserve"> ）</w:t>
      </w:r>
    </w:p>
    <w:p w14:paraId="3EED7F56">
      <w:pPr>
        <w:pStyle w:val="19"/>
        <w:rPr>
          <w:rFonts w:ascii="微软雅黑"/>
          <w:b/>
          <w:color w:val="000000" w:themeColor="text1"/>
          <w:sz w:val="94"/>
          <w:lang w:eastAsia="zh-CN"/>
        </w:rPr>
      </w:pPr>
    </w:p>
    <w:p w14:paraId="383ADAD6">
      <w:pPr>
        <w:pStyle w:val="19"/>
        <w:rPr>
          <w:rFonts w:ascii="微软雅黑"/>
          <w:b/>
          <w:sz w:val="94"/>
          <w:lang w:eastAsia="zh-CN"/>
        </w:rPr>
      </w:pPr>
    </w:p>
    <w:p w14:paraId="44EA205B">
      <w:pPr>
        <w:pStyle w:val="19"/>
        <w:rPr>
          <w:rFonts w:ascii="微软雅黑"/>
          <w:b/>
          <w:sz w:val="32"/>
          <w:szCs w:val="32"/>
          <w:lang w:eastAsia="zh-CN"/>
        </w:rPr>
      </w:pPr>
    </w:p>
    <w:p w14:paraId="64E80A04">
      <w:pPr>
        <w:pStyle w:val="19"/>
        <w:rPr>
          <w:rFonts w:ascii="微软雅黑"/>
          <w:b/>
          <w:sz w:val="32"/>
          <w:szCs w:val="32"/>
          <w:lang w:eastAsia="zh-CN"/>
        </w:rPr>
      </w:pPr>
    </w:p>
    <w:p w14:paraId="7FBC88FE">
      <w:pPr>
        <w:pStyle w:val="19"/>
        <w:rPr>
          <w:rFonts w:ascii="微软雅黑"/>
          <w:b/>
          <w:sz w:val="32"/>
          <w:szCs w:val="32"/>
          <w:lang w:eastAsia="zh-CN"/>
        </w:rPr>
      </w:pPr>
    </w:p>
    <w:p w14:paraId="7EE06F7B">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19"/>
        <w:rPr>
          <w:rFonts w:ascii="黑体"/>
          <w:sz w:val="20"/>
          <w:lang w:eastAsia="zh-CN"/>
        </w:rPr>
      </w:pPr>
    </w:p>
    <w:p w14:paraId="2601590C">
      <w:pPr>
        <w:pStyle w:val="19"/>
        <w:rPr>
          <w:rFonts w:ascii="黑体"/>
          <w:sz w:val="20"/>
          <w:lang w:eastAsia="zh-CN"/>
        </w:rPr>
      </w:pPr>
    </w:p>
    <w:p w14:paraId="1CC1F056">
      <w:pPr>
        <w:pStyle w:val="19"/>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0"/>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4"/>
      </w:pPr>
    </w:p>
    <w:p w14:paraId="18BA934E">
      <w:pPr>
        <w:jc w:val="center"/>
        <w:rPr>
          <w:rFonts w:hint="eastAsia"/>
          <w:b/>
          <w:bCs/>
          <w:sz w:val="32"/>
          <w:lang w:eastAsia="zh-CN"/>
        </w:rPr>
      </w:pPr>
      <w:r>
        <w:rPr>
          <w:rFonts w:hint="eastAsia"/>
          <w:b/>
          <w:bCs/>
          <w:sz w:val="32"/>
          <w:lang w:eastAsia="zh-CN"/>
        </w:rPr>
        <w:t>福建福海创石油化工有限公司</w:t>
      </w:r>
    </w:p>
    <w:p w14:paraId="448318D1">
      <w:pPr>
        <w:jc w:val="center"/>
        <w:rPr>
          <w:b/>
          <w:bCs/>
          <w:sz w:val="32"/>
          <w:lang w:eastAsia="zh-CN"/>
        </w:rPr>
      </w:pPr>
      <w:r>
        <w:rPr>
          <w:rFonts w:hint="eastAsia"/>
          <w:b/>
          <w:bCs/>
          <w:sz w:val="32"/>
          <w:lang w:eastAsia="zh-CN"/>
        </w:rPr>
        <w:t>原料适应性技改项目阶段性职业病危害控制效果评价及职业病防护设施竣工验收询比公告</w:t>
      </w:r>
    </w:p>
    <w:p w14:paraId="745BDD3E">
      <w:pPr>
        <w:pStyle w:val="19"/>
        <w:rPr>
          <w:b/>
          <w:sz w:val="28"/>
          <w:lang w:eastAsia="zh-CN"/>
        </w:rPr>
      </w:pPr>
    </w:p>
    <w:p w14:paraId="03439321">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福建福海创石油化工有限公司原料适应性技改项目阶段性职业病危害控制效果评价及职业病防护设施竣工验收（项目编号：FAP1-T-CGSQ-202506-002）</w:t>
      </w:r>
      <w:r>
        <w:rPr>
          <w:rFonts w:hint="eastAsia"/>
          <w:color w:val="000000" w:themeColor="text1"/>
          <w:lang w:eastAsia="zh-CN"/>
        </w:rPr>
        <w:t>”</w:t>
      </w:r>
      <w:r>
        <w:rPr>
          <w:color w:val="000000" w:themeColor="text1"/>
          <w:lang w:eastAsia="zh-CN"/>
        </w:rPr>
        <w:t>进行国内公开</w:t>
      </w:r>
      <w:r>
        <w:rPr>
          <w:rFonts w:hint="eastAsia"/>
          <w:color w:val="000000" w:themeColor="text1"/>
          <w:lang w:eastAsia="zh-CN"/>
        </w:rPr>
        <w:t>询比</w:t>
      </w:r>
      <w:r>
        <w:rPr>
          <w:color w:val="000000" w:themeColor="text1"/>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项目名称：福建福海创石油化工有限公司原料适应性技改项目阶段性职业病危害控制效果评价及职业病防护设施竣工验收</w:t>
      </w:r>
    </w:p>
    <w:p w14:paraId="33CF4C01">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2.采购项目简要说明：</w:t>
      </w:r>
      <w:r>
        <w:rPr>
          <w:rFonts w:hint="eastAsia"/>
          <w:sz w:val="24"/>
          <w:szCs w:val="24"/>
          <w:lang w:val="en-US" w:eastAsia="zh-CN"/>
        </w:rPr>
        <w:t>福建福海创石油化工有限公司原料适应性技改项目沸腾床加氢装置、新建硫磺回收装置以及相关公用工程职业病危害控制效果评价及职业病防护设施竣工验收。</w:t>
      </w:r>
    </w:p>
    <w:p w14:paraId="10E7CD1A">
      <w:pPr>
        <w:tabs>
          <w:tab w:val="left" w:pos="709"/>
        </w:tabs>
        <w:spacing w:line="360" w:lineRule="auto"/>
        <w:ind w:firstLine="480" w:firstLineChars="200"/>
        <w:rPr>
          <w:rFonts w:hint="default"/>
          <w:sz w:val="24"/>
          <w:szCs w:val="24"/>
          <w:lang w:val="en-US" w:eastAsia="zh-CN"/>
        </w:rPr>
      </w:pPr>
      <w:r>
        <w:rPr>
          <w:sz w:val="24"/>
          <w:szCs w:val="24"/>
          <w:lang w:eastAsia="zh-CN"/>
        </w:rPr>
        <w:t>3.</w:t>
      </w:r>
      <w:r>
        <w:rPr>
          <w:rFonts w:hint="eastAsia"/>
          <w:sz w:val="24"/>
          <w:szCs w:val="24"/>
          <w:lang w:eastAsia="zh-CN"/>
        </w:rPr>
        <w:t>采购控制价：</w:t>
      </w:r>
      <w:r>
        <w:rPr>
          <w:rFonts w:hint="eastAsia"/>
          <w:sz w:val="24"/>
          <w:szCs w:val="24"/>
          <w:lang w:val="en-US" w:eastAsia="zh-CN"/>
        </w:rPr>
        <w:t>26万元整（含6%增值税）</w:t>
      </w:r>
    </w:p>
    <w:p w14:paraId="4E3EE2E0">
      <w:pPr>
        <w:tabs>
          <w:tab w:val="left" w:pos="709"/>
        </w:tabs>
        <w:spacing w:line="360" w:lineRule="auto"/>
        <w:ind w:firstLine="480" w:firstLineChars="20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w:t>
      </w:r>
      <w:r>
        <w:rPr>
          <w:rFonts w:hint="eastAsia" w:ascii="宋体" w:hAnsi="宋体" w:eastAsia="宋体" w:cs="宋体"/>
          <w:color w:val="000000"/>
          <w:sz w:val="24"/>
          <w:szCs w:val="24"/>
          <w:lang w:eastAsia="zh-CN"/>
        </w:rPr>
        <w:t>由</w:t>
      </w:r>
      <w:r>
        <w:rPr>
          <w:rFonts w:hint="eastAsia" w:cs="宋体"/>
          <w:color w:val="000000"/>
          <w:sz w:val="24"/>
          <w:szCs w:val="24"/>
          <w:lang w:val="en-US" w:eastAsia="zh-CN"/>
        </w:rPr>
        <w:t>发包人</w:t>
      </w:r>
      <w:r>
        <w:rPr>
          <w:rFonts w:hint="eastAsia" w:ascii="宋体" w:hAnsi="宋体" w:eastAsia="宋体" w:cs="宋体"/>
          <w:color w:val="000000"/>
          <w:sz w:val="24"/>
          <w:szCs w:val="24"/>
          <w:lang w:eastAsia="zh-CN"/>
        </w:rPr>
        <w:t>通知项目开始启动后</w:t>
      </w:r>
      <w:r>
        <w:rPr>
          <w:rFonts w:hint="eastAsia" w:ascii="宋体" w:hAnsi="宋体" w:eastAsia="宋体" w:cs="宋体"/>
          <w:color w:val="000000"/>
          <w:sz w:val="24"/>
          <w:szCs w:val="24"/>
          <w:lang w:val="en-US" w:eastAsia="zh-CN"/>
        </w:rPr>
        <w:t>3个月内出具评价报告初稿，4个月内完成验收</w:t>
      </w:r>
      <w:r>
        <w:rPr>
          <w:rFonts w:hint="eastAsia" w:ascii="宋体" w:hAnsi="宋体" w:eastAsia="宋体" w:cs="宋体"/>
          <w:color w:val="000000"/>
          <w:sz w:val="24"/>
          <w:szCs w:val="24"/>
        </w:rPr>
        <w:t>。</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5E2DF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b w:val="0"/>
          <w:bCs w:val="0"/>
          <w:sz w:val="24"/>
          <w:szCs w:val="24"/>
          <w:lang w:val="en-US" w:eastAsia="zh-CN"/>
        </w:rPr>
        <w:t>具备有效的职业卫生技术服务机构资质证书，业务范围包含：第一类：化工、石化。第二类：核技术工业应用。</w:t>
      </w:r>
    </w:p>
    <w:p w14:paraId="4D6CC882">
      <w:pPr>
        <w:tabs>
          <w:tab w:val="left" w:pos="709"/>
        </w:tabs>
        <w:spacing w:line="360" w:lineRule="auto"/>
        <w:ind w:firstLine="480" w:firstLineChars="200"/>
        <w:rPr>
          <w:rFonts w:hint="eastAsia"/>
          <w:sz w:val="24"/>
          <w:szCs w:val="24"/>
          <w:lang w:eastAsia="zh-CN"/>
        </w:rPr>
      </w:pPr>
      <w:r>
        <w:rPr>
          <w:sz w:val="24"/>
          <w:szCs w:val="24"/>
          <w:lang w:eastAsia="zh-CN"/>
        </w:rPr>
        <w:t>3.参</w:t>
      </w:r>
      <w:r>
        <w:rPr>
          <w:rFonts w:hint="eastAsia"/>
          <w:sz w:val="24"/>
          <w:szCs w:val="24"/>
          <w:lang w:eastAsia="zh-CN"/>
        </w:rPr>
        <w:t>比</w:t>
      </w:r>
      <w:r>
        <w:rPr>
          <w:sz w:val="24"/>
          <w:szCs w:val="24"/>
          <w:lang w:eastAsia="zh-CN"/>
        </w:rPr>
        <w:t>人具有</w:t>
      </w:r>
      <w:r>
        <w:rPr>
          <w:rFonts w:hint="eastAsia"/>
          <w:sz w:val="24"/>
          <w:szCs w:val="24"/>
          <w:lang w:val="en-US" w:eastAsia="zh-CN"/>
        </w:rPr>
        <w:t>近5年已完成同等规模的职业病危害控制效果评价业绩，并提供相关业绩证明,须提供</w:t>
      </w:r>
      <w:r>
        <w:rPr>
          <w:rFonts w:hint="eastAsia"/>
          <w:sz w:val="24"/>
          <w:szCs w:val="24"/>
          <w:lang w:eastAsia="zh-CN"/>
        </w:rPr>
        <w:t>项目合同复印件、评价报告（至少包含首页、签署页）等证明材料。</w:t>
      </w:r>
    </w:p>
    <w:p w14:paraId="43813E71">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4.参比人</w:t>
      </w:r>
      <w:r>
        <w:rPr>
          <w:rFonts w:hint="eastAsia" w:ascii="宋体" w:hAnsi="宋体" w:eastAsia="宋体" w:cs="宋体"/>
          <w:b w:val="0"/>
          <w:bCs w:val="0"/>
          <w:sz w:val="24"/>
          <w:szCs w:val="24"/>
          <w:lang w:val="en-US" w:eastAsia="zh-CN"/>
        </w:rPr>
        <w:t>具有相应的检测能力并提供检测资质证明材料</w:t>
      </w:r>
      <w:r>
        <w:rPr>
          <w:rFonts w:hint="eastAsia" w:cs="宋体"/>
          <w:b w:val="0"/>
          <w:bCs w:val="0"/>
          <w:sz w:val="24"/>
          <w:szCs w:val="24"/>
          <w:lang w:val="en-US" w:eastAsia="zh-CN"/>
        </w:rPr>
        <w:t>。</w:t>
      </w:r>
    </w:p>
    <w:p w14:paraId="560B8A2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4ADE390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6</w:t>
      </w:r>
      <w:r>
        <w:rPr>
          <w:color w:val="000000" w:themeColor="text1"/>
          <w:sz w:val="24"/>
          <w:szCs w:val="24"/>
          <w:lang w:eastAsia="zh-CN"/>
        </w:rPr>
        <w:t>.与</w:t>
      </w:r>
      <w:r>
        <w:rPr>
          <w:rFonts w:hint="eastAsia"/>
          <w:color w:val="000000" w:themeColor="text1"/>
          <w:sz w:val="24"/>
          <w:szCs w:val="24"/>
          <w:lang w:eastAsia="zh-CN"/>
        </w:rPr>
        <w:t>采购人</w:t>
      </w:r>
      <w:r>
        <w:rPr>
          <w:color w:val="000000" w:themeColor="text1"/>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w:t>
      </w:r>
    </w:p>
    <w:p w14:paraId="7E3EC19A">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2.报名方式：参比人在报名时间内将报名文件发送至邮箱hjzhang@fhcpec.com.cn，报名文件包含：</w:t>
      </w:r>
    </w:p>
    <w:p w14:paraId="5BD37808">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796C6F0E">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14:paraId="290B8165">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3</w:t>
      </w:r>
      <w:r>
        <w:rPr>
          <w:rFonts w:hint="eastAsia"/>
          <w:color w:val="000000" w:themeColor="text1"/>
          <w:sz w:val="24"/>
          <w:szCs w:val="24"/>
          <w:lang w:eastAsia="zh-CN"/>
        </w:rPr>
        <w:t>）</w:t>
      </w:r>
      <w:r>
        <w:rPr>
          <w:rFonts w:hint="eastAsia"/>
          <w:color w:val="000000" w:themeColor="text1"/>
          <w:sz w:val="24"/>
          <w:szCs w:val="24"/>
          <w:lang w:val="en-US" w:eastAsia="zh-CN"/>
        </w:rPr>
        <w:t>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56194370">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2DAF9550">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日14时0分。</w:t>
      </w:r>
    </w:p>
    <w:p w14:paraId="6590676D">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/3921639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66BA385E">
      <w:pPr>
        <w:tabs>
          <w:tab w:val="left" w:pos="709"/>
        </w:tabs>
        <w:spacing w:line="360" w:lineRule="auto"/>
        <w:ind w:firstLine="480" w:firstLineChars="200"/>
        <w:rPr>
          <w:rFonts w:ascii="华文楷体" w:hAnsi="华文楷体" w:eastAsia="华文楷体"/>
          <w:b/>
          <w:bCs/>
          <w:color w:val="3333FF"/>
          <w:sz w:val="24"/>
          <w:szCs w:val="24"/>
          <w:lang w:eastAsia="zh-CN"/>
        </w:rPr>
      </w:pPr>
      <w:r>
        <w:rPr>
          <w:rFonts w:hint="eastAsia"/>
          <w:color w:val="000000" w:themeColor="text1"/>
          <w:sz w:val="24"/>
          <w:szCs w:val="24"/>
          <w:lang w:eastAsia="zh-CN"/>
        </w:rPr>
        <w:t>联系地址：漳州市古雷经济开发区疏港大道南102号 福海创改扩建项目组采购管理部</w:t>
      </w:r>
      <w:r>
        <w:rPr>
          <w:color w:val="000000" w:themeColor="text1"/>
          <w:sz w:val="24"/>
          <w:szCs w:val="24"/>
          <w:lang w:eastAsia="zh-CN"/>
        </w:rPr>
        <w:t>230</w:t>
      </w:r>
      <w:r>
        <w:rPr>
          <w:rFonts w:hint="eastAsia"/>
          <w:color w:val="000000" w:themeColor="text1"/>
          <w:sz w:val="24"/>
          <w:szCs w:val="24"/>
          <w:lang w:eastAsia="zh-CN"/>
        </w:rPr>
        <w:t>室。</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FF0000"/>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4"/>
      </w:pPr>
    </w:p>
    <w:p w14:paraId="0480057A">
      <w:pPr>
        <w:pStyle w:val="54"/>
      </w:pPr>
    </w:p>
    <w:p w14:paraId="3E5EC0CF">
      <w:pPr>
        <w:pStyle w:val="54"/>
      </w:pPr>
    </w:p>
    <w:p w14:paraId="54179479">
      <w:pPr>
        <w:pStyle w:val="54"/>
      </w:pPr>
    </w:p>
    <w:p w14:paraId="27A7C68B">
      <w:pPr>
        <w:pStyle w:val="54"/>
      </w:pPr>
    </w:p>
    <w:p w14:paraId="6A787B24">
      <w:pPr>
        <w:pStyle w:val="54"/>
      </w:pPr>
    </w:p>
    <w:p w14:paraId="2B18FA35">
      <w:pPr>
        <w:pStyle w:val="54"/>
      </w:pPr>
    </w:p>
    <w:p w14:paraId="78438CD5">
      <w:pPr>
        <w:pStyle w:val="54"/>
      </w:pPr>
    </w:p>
    <w:p w14:paraId="527EAF74">
      <w:pPr>
        <w:pStyle w:val="54"/>
      </w:pPr>
    </w:p>
    <w:p w14:paraId="611DDA84">
      <w:pPr>
        <w:pStyle w:val="54"/>
      </w:pPr>
    </w:p>
    <w:p w14:paraId="5154F0F0">
      <w:pPr>
        <w:pStyle w:val="54"/>
      </w:pPr>
    </w:p>
    <w:p w14:paraId="42AC121C">
      <w:pPr>
        <w:pStyle w:val="54"/>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w:t>
      </w:r>
      <w:r>
        <w:rPr>
          <w:rFonts w:hint="eastAsia" w:hAnsi="Calibri" w:cs="黑体"/>
          <w:color w:val="000000" w:themeColor="text1"/>
          <w:sz w:val="24"/>
          <w:szCs w:val="24"/>
          <w:lang w:eastAsia="zh-CN"/>
        </w:rPr>
        <w:t>的</w:t>
      </w:r>
      <w:r>
        <w:rPr>
          <w:rFonts w:hint="eastAsia" w:hAnsi="Calibri" w:cs="黑体"/>
          <w:sz w:val="24"/>
          <w:szCs w:val="24"/>
          <w:u w:val="single"/>
          <w:lang w:eastAsia="zh-CN"/>
        </w:rPr>
        <w:t xml:space="preserve"> 福建福海创石油化工有限公司原料适应性技改项目阶段性职业病危害控制效果评价及职业病防护设施竣工验收（项目编号：FAP1-T-CGSQ-202506-002）</w:t>
      </w:r>
      <w:r>
        <w:rPr>
          <w:rFonts w:hint="eastAsia" w:hAnsi="Calibri" w:cs="黑体"/>
          <w:sz w:val="24"/>
          <w:szCs w:val="24"/>
          <w:lang w:eastAsia="zh-CN"/>
        </w:rPr>
        <w:t>的询比活动，并代表我方全权处理一切与之有关的具体事务和签署相关文件，我均予以承认。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4"/>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3B5C7BE4">
      <w:pPr>
        <w:pStyle w:val="19"/>
        <w:spacing w:line="360" w:lineRule="auto"/>
        <w:ind w:right="121" w:firstLine="480"/>
        <w:jc w:val="both"/>
        <w:rPr>
          <w:rFonts w:hint="eastAsia"/>
          <w:color w:val="FF0000"/>
          <w:lang w:eastAsia="zh-CN"/>
        </w:rPr>
      </w:pPr>
      <w:r>
        <w:rPr>
          <w:rFonts w:hint="eastAsia"/>
          <w:lang w:eastAsia="zh-CN"/>
        </w:rPr>
        <w:t>1.项目</w:t>
      </w:r>
      <w:r>
        <w:rPr>
          <w:lang w:eastAsia="zh-CN"/>
        </w:rPr>
        <w:t>名称：</w:t>
      </w:r>
      <w:r>
        <w:rPr>
          <w:rFonts w:hint="eastAsia"/>
          <w:color w:val="000000" w:themeColor="text1"/>
          <w:lang w:eastAsia="zh-CN"/>
        </w:rPr>
        <w:t>福建福海创石油化工有限公司原料适应性技改项目阶段性职业病危害控制效果评价及职业病防护设施竣工验收</w:t>
      </w:r>
    </w:p>
    <w:p w14:paraId="48298414">
      <w:pPr>
        <w:pStyle w:val="19"/>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19"/>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固定总价包干</w:t>
      </w:r>
    </w:p>
    <w:p w14:paraId="17CA1751">
      <w:pPr>
        <w:pStyle w:val="19"/>
        <w:spacing w:line="360" w:lineRule="auto"/>
        <w:ind w:right="121"/>
        <w:jc w:val="both"/>
        <w:rPr>
          <w:lang w:eastAsia="zh-CN"/>
        </w:rPr>
      </w:pPr>
      <w:r>
        <w:rPr>
          <w:rFonts w:hint="eastAsia"/>
          <w:lang w:eastAsia="zh-CN"/>
        </w:rPr>
        <w:t xml:space="preserve">    4.项目工作范围及技术要求：见附件发包说明</w:t>
      </w:r>
    </w:p>
    <w:p w14:paraId="3EED35CC">
      <w:pPr>
        <w:pStyle w:val="19"/>
        <w:spacing w:line="360" w:lineRule="auto"/>
        <w:ind w:right="121"/>
        <w:jc w:val="both"/>
        <w:rPr>
          <w:lang w:eastAsia="zh-CN"/>
        </w:rPr>
      </w:pPr>
      <w:r>
        <w:rPr>
          <w:rFonts w:hint="eastAsia"/>
          <w:lang w:eastAsia="zh-CN"/>
        </w:rPr>
        <w:t xml:space="preserve">    5.项目联系人</w:t>
      </w:r>
    </w:p>
    <w:p w14:paraId="2D35B5DE">
      <w:pPr>
        <w:pStyle w:val="19"/>
        <w:spacing w:line="360" w:lineRule="auto"/>
        <w:ind w:right="121"/>
        <w:jc w:val="both"/>
        <w:rPr>
          <w:rFonts w:hint="eastAsia" w:eastAsia="宋体"/>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 xml:space="preserve">黄小玲 </w:t>
      </w:r>
      <w:r>
        <w:rPr>
          <w:lang w:eastAsia="zh-CN"/>
        </w:rPr>
        <w:t>0596</w:t>
      </w:r>
      <w:r>
        <w:rPr>
          <w:rFonts w:hint="eastAsia"/>
          <w:lang w:val="en-US" w:eastAsia="zh-CN"/>
        </w:rPr>
        <w:t>-</w:t>
      </w:r>
      <w:r>
        <w:rPr>
          <w:lang w:eastAsia="zh-CN"/>
        </w:rPr>
        <w:t>6311101</w:t>
      </w:r>
      <w:r>
        <w:rPr>
          <w:rFonts w:hint="eastAsia"/>
          <w:lang w:eastAsia="zh-CN"/>
        </w:rPr>
        <w:t>，</w:t>
      </w:r>
      <w:r>
        <w:rPr>
          <w:lang w:eastAsia="zh-CN"/>
        </w:rPr>
        <w:t>xlhuang@fhcpec.com.cn</w:t>
      </w:r>
    </w:p>
    <w:p w14:paraId="008EC890">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0596-6311</w:t>
      </w:r>
      <w:r>
        <w:rPr>
          <w:lang w:eastAsia="zh-CN"/>
        </w:rPr>
        <w:t>821</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19"/>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19"/>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19"/>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19"/>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19"/>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19"/>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19"/>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16990EA9">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BCB92F2">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r>
        <w:rPr>
          <w:sz w:val="24"/>
          <w:szCs w:val="24"/>
          <w:lang w:eastAsia="zh-CN"/>
        </w:rPr>
        <w:t>人</w:t>
      </w:r>
      <w:r>
        <w:rPr>
          <w:rFonts w:hint="eastAsia" w:ascii="宋体" w:hAnsi="宋体" w:eastAsia="宋体" w:cs="宋体"/>
          <w:b w:val="0"/>
          <w:bCs w:val="0"/>
          <w:sz w:val="24"/>
          <w:szCs w:val="24"/>
          <w:lang w:val="en-US" w:eastAsia="zh-CN"/>
        </w:rPr>
        <w:t>具备有效的职业卫生技术服务机构资质证书，业务范围包含：第一类：化工、石化。第二类：核技术工业应用。</w:t>
      </w:r>
    </w:p>
    <w:p w14:paraId="7461554B">
      <w:pPr>
        <w:tabs>
          <w:tab w:val="left" w:pos="709"/>
        </w:tabs>
        <w:spacing w:line="360" w:lineRule="auto"/>
        <w:ind w:firstLine="480" w:firstLineChars="200"/>
        <w:rPr>
          <w:rFonts w:hint="eastAsia"/>
          <w:sz w:val="24"/>
          <w:szCs w:val="24"/>
          <w:lang w:eastAsia="zh-CN"/>
        </w:rPr>
      </w:pPr>
      <w:r>
        <w:rPr>
          <w:sz w:val="24"/>
          <w:szCs w:val="24"/>
          <w:lang w:eastAsia="zh-CN"/>
        </w:rPr>
        <w:t>3.参</w:t>
      </w:r>
      <w:r>
        <w:rPr>
          <w:rFonts w:hint="eastAsia"/>
          <w:sz w:val="24"/>
          <w:szCs w:val="24"/>
          <w:lang w:eastAsia="zh-CN"/>
        </w:rPr>
        <w:t>比</w:t>
      </w:r>
      <w:r>
        <w:rPr>
          <w:sz w:val="24"/>
          <w:szCs w:val="24"/>
          <w:lang w:eastAsia="zh-CN"/>
        </w:rPr>
        <w:t>人具有</w:t>
      </w:r>
      <w:r>
        <w:rPr>
          <w:rFonts w:hint="eastAsia"/>
          <w:sz w:val="24"/>
          <w:szCs w:val="24"/>
          <w:lang w:val="en-US" w:eastAsia="zh-CN"/>
        </w:rPr>
        <w:t>近5年已完成同等规模的职业病危害控制效果评价业绩，并提供相关业绩证明,须提供</w:t>
      </w:r>
      <w:r>
        <w:rPr>
          <w:rFonts w:hint="eastAsia"/>
          <w:sz w:val="24"/>
          <w:szCs w:val="24"/>
          <w:lang w:eastAsia="zh-CN"/>
        </w:rPr>
        <w:t>项目合同复印件、评价报告（至少包含首页、签署页）等证明材料。</w:t>
      </w:r>
    </w:p>
    <w:p w14:paraId="6B76F8C7">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4.参比人</w:t>
      </w:r>
      <w:r>
        <w:rPr>
          <w:rFonts w:hint="eastAsia" w:ascii="宋体" w:hAnsi="宋体" w:eastAsia="宋体" w:cs="宋体"/>
          <w:b w:val="0"/>
          <w:bCs w:val="0"/>
          <w:sz w:val="24"/>
          <w:szCs w:val="24"/>
          <w:lang w:val="en-US" w:eastAsia="zh-CN"/>
        </w:rPr>
        <w:t>具有相应的检测能力并提供检测资质证明材料</w:t>
      </w:r>
      <w:r>
        <w:rPr>
          <w:rFonts w:hint="eastAsia" w:cs="宋体"/>
          <w:b w:val="0"/>
          <w:bCs w:val="0"/>
          <w:sz w:val="24"/>
          <w:szCs w:val="24"/>
          <w:lang w:val="en-US" w:eastAsia="zh-CN"/>
        </w:rPr>
        <w:t>。</w:t>
      </w:r>
    </w:p>
    <w:p w14:paraId="41306CD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w:t>
      </w:r>
      <w:r>
        <w:rPr>
          <w:color w:val="000000" w:themeColor="text1"/>
          <w:sz w:val="24"/>
          <w:szCs w:val="24"/>
          <w:lang w:eastAsia="zh-CN"/>
        </w:rPr>
        <w:t>参</w:t>
      </w:r>
      <w:r>
        <w:rPr>
          <w:rFonts w:hint="eastAsia"/>
          <w:color w:val="000000" w:themeColor="text1"/>
          <w:sz w:val="24"/>
          <w:szCs w:val="24"/>
          <w:lang w:eastAsia="zh-CN"/>
        </w:rPr>
        <w:t>比</w:t>
      </w:r>
      <w:r>
        <w:rPr>
          <w:color w:val="000000" w:themeColor="text1"/>
          <w:sz w:val="24"/>
          <w:szCs w:val="24"/>
          <w:lang w:eastAsia="zh-CN"/>
        </w:rPr>
        <w:t>人没有失信黑名单记录（以最高院失信被执行人系统发布信息为准）</w:t>
      </w:r>
      <w:r>
        <w:rPr>
          <w:rFonts w:hint="eastAsia"/>
          <w:color w:val="000000" w:themeColor="text1"/>
          <w:sz w:val="24"/>
          <w:szCs w:val="24"/>
          <w:lang w:eastAsia="zh-CN"/>
        </w:rPr>
        <w:t>。</w:t>
      </w:r>
    </w:p>
    <w:p w14:paraId="51CDA0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6</w:t>
      </w:r>
      <w:r>
        <w:rPr>
          <w:color w:val="000000" w:themeColor="text1"/>
          <w:sz w:val="24"/>
          <w:szCs w:val="24"/>
          <w:lang w:eastAsia="zh-CN"/>
        </w:rPr>
        <w:t>.与</w:t>
      </w:r>
      <w:r>
        <w:rPr>
          <w:rFonts w:hint="eastAsia"/>
          <w:color w:val="000000" w:themeColor="text1"/>
          <w:sz w:val="24"/>
          <w:szCs w:val="24"/>
          <w:lang w:eastAsia="zh-CN"/>
        </w:rPr>
        <w:t>采购人</w:t>
      </w:r>
      <w:r>
        <w:rPr>
          <w:color w:val="000000" w:themeColor="text1"/>
          <w:sz w:val="24"/>
          <w:szCs w:val="24"/>
          <w:lang w:eastAsia="zh-CN"/>
        </w:rPr>
        <w:t>无诉讼纠纷。</w:t>
      </w:r>
    </w:p>
    <w:p w14:paraId="584E60F4">
      <w:pPr>
        <w:pStyle w:val="19"/>
        <w:spacing w:line="360" w:lineRule="auto"/>
        <w:ind w:right="121"/>
        <w:jc w:val="both"/>
        <w:rPr>
          <w:b/>
          <w:color w:val="000000" w:themeColor="text1"/>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pPr>
        <w:pStyle w:val="19"/>
        <w:spacing w:line="360" w:lineRule="auto"/>
        <w:ind w:right="121"/>
        <w:jc w:val="both"/>
        <w:rPr>
          <w:color w:val="000000" w:themeColor="text1"/>
          <w:lang w:eastAsia="zh-CN"/>
        </w:rPr>
      </w:pPr>
      <w:r>
        <w:rPr>
          <w:rFonts w:hint="eastAsia"/>
          <w:color w:val="000000" w:themeColor="text1"/>
          <w:lang w:eastAsia="zh-CN"/>
        </w:rPr>
        <w:t xml:space="preserve">    1.参比单位应缴纳参比保证金，保证金金额</w:t>
      </w:r>
      <w:r>
        <w:rPr>
          <w:rFonts w:hint="eastAsia"/>
          <w:color w:val="000000" w:themeColor="text1"/>
          <w:lang w:val="en-US" w:eastAsia="zh-CN"/>
        </w:rPr>
        <w:t>5000</w:t>
      </w:r>
      <w:r>
        <w:rPr>
          <w:rFonts w:hint="eastAsia"/>
          <w:color w:val="000000" w:themeColor="text1"/>
          <w:lang w:eastAsia="zh-CN"/>
        </w:rPr>
        <w:t>元整，参比单位应按照要求从参比单位基本账户转入采购单位的账户，比选单位账户信息如下：</w:t>
      </w:r>
    </w:p>
    <w:p w14:paraId="27E6F7F0">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pPr>
        <w:pStyle w:val="19"/>
        <w:spacing w:line="360" w:lineRule="auto"/>
        <w:ind w:right="121"/>
        <w:jc w:val="both"/>
        <w:rPr>
          <w:color w:val="000000" w:themeColor="text1"/>
          <w:lang w:eastAsia="zh-CN"/>
        </w:rPr>
      </w:pPr>
      <w:r>
        <w:rPr>
          <w:rFonts w:hint="eastAsia"/>
          <w:color w:val="000000" w:themeColor="text1"/>
          <w:lang w:eastAsia="zh-CN"/>
        </w:rPr>
        <w:t xml:space="preserve">    注明用途：职业病危害控制效果评价及职业病防护设施竣工验收参比</w:t>
      </w:r>
      <w:r>
        <w:rPr>
          <w:color w:val="000000" w:themeColor="text1"/>
          <w:lang w:eastAsia="zh-CN"/>
        </w:rPr>
        <w:t>保证金</w:t>
      </w:r>
    </w:p>
    <w:p w14:paraId="5F94F630">
      <w:pPr>
        <w:pStyle w:val="19"/>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pPr>
        <w:pStyle w:val="19"/>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7BB9CD45">
      <w:pPr>
        <w:pStyle w:val="19"/>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2204D178">
      <w:pPr>
        <w:pStyle w:val="19"/>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2DE4B6BF">
      <w:pPr>
        <w:pStyle w:val="19"/>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pPr>
        <w:pStyle w:val="19"/>
        <w:spacing w:line="360" w:lineRule="auto"/>
        <w:ind w:right="121"/>
        <w:jc w:val="both"/>
        <w:rPr>
          <w:lang w:eastAsia="zh-CN"/>
        </w:rPr>
      </w:pPr>
      <w:r>
        <w:rPr>
          <w:rFonts w:hint="eastAsia"/>
          <w:lang w:eastAsia="zh-CN"/>
        </w:rPr>
        <w:t xml:space="preserve">    5.如有下列情况发生，将被没收参比保证金：</w:t>
      </w:r>
    </w:p>
    <w:p w14:paraId="4AE5A215">
      <w:pPr>
        <w:pStyle w:val="19"/>
        <w:spacing w:line="360" w:lineRule="auto"/>
        <w:ind w:right="121"/>
        <w:jc w:val="both"/>
        <w:rPr>
          <w:lang w:eastAsia="zh-CN"/>
        </w:rPr>
      </w:pPr>
      <w:r>
        <w:rPr>
          <w:rFonts w:hint="eastAsia"/>
          <w:lang w:eastAsia="zh-CN"/>
        </w:rPr>
        <w:t xml:space="preserve">    （1）参比单位在参选有效期内撤回询比文件；</w:t>
      </w:r>
    </w:p>
    <w:p w14:paraId="6687E022">
      <w:pPr>
        <w:pStyle w:val="19"/>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spacing w:before="15" w:line="360" w:lineRule="auto"/>
        <w:ind w:firstLine="534" w:firstLineChars="200"/>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pPr>
        <w:pStyle w:val="19"/>
        <w:spacing w:line="360" w:lineRule="auto"/>
        <w:ind w:right="121"/>
        <w:jc w:val="both"/>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文件递交的截止时间</w:t>
      </w:r>
      <w:r>
        <w:rPr>
          <w:rFonts w:hint="eastAsia"/>
          <w:color w:val="000000" w:themeColor="text1"/>
          <w:lang w:eastAsia="zh-CN"/>
        </w:rPr>
        <w:t>：</w:t>
      </w:r>
      <w:r>
        <w:rPr>
          <w:rFonts w:hint="eastAsia"/>
          <w:color w:val="000000" w:themeColor="text1"/>
          <w:sz w:val="24"/>
          <w:szCs w:val="24"/>
          <w:lang w:eastAsia="zh-CN"/>
        </w:rPr>
        <w:t>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4</w:t>
      </w:r>
      <w:bookmarkStart w:id="1" w:name="_GoBack"/>
      <w:bookmarkEnd w:id="1"/>
      <w:r>
        <w:rPr>
          <w:rFonts w:hint="eastAsia"/>
          <w:color w:val="000000" w:themeColor="text1"/>
          <w:sz w:val="24"/>
          <w:szCs w:val="24"/>
          <w:lang w:eastAsia="zh-CN"/>
        </w:rPr>
        <w:t>日14时0分</w:t>
      </w:r>
      <w:r>
        <w:rPr>
          <w:rFonts w:hint="eastAsia"/>
          <w:color w:val="000000" w:themeColor="text1"/>
          <w:lang w:eastAsia="zh-CN"/>
        </w:rPr>
        <w:t>。</w:t>
      </w:r>
    </w:p>
    <w:p w14:paraId="7C2A1CFD">
      <w:pPr>
        <w:pStyle w:val="19"/>
        <w:spacing w:line="360" w:lineRule="auto"/>
        <w:ind w:right="121"/>
        <w:jc w:val="both"/>
        <w:rPr>
          <w:lang w:eastAsia="zh-CN"/>
        </w:rPr>
      </w:pPr>
      <w:r>
        <w:rPr>
          <w:rFonts w:hint="eastAsia"/>
          <w:lang w:eastAsia="zh-CN"/>
        </w:rPr>
        <w:t xml:space="preserve">    </w:t>
      </w:r>
      <w:r>
        <w:rPr>
          <w:lang w:eastAsia="zh-CN"/>
        </w:rPr>
        <w:t>2.递交参</w:t>
      </w:r>
      <w:r>
        <w:rPr>
          <w:rFonts w:hint="eastAsia"/>
          <w:lang w:eastAsia="zh-CN"/>
        </w:rPr>
        <w:t>比</w:t>
      </w:r>
      <w:r>
        <w:rPr>
          <w:lang w:eastAsia="zh-CN"/>
        </w:rPr>
        <w:t>文件的地点为：</w:t>
      </w:r>
      <w:r>
        <w:rPr>
          <w:rFonts w:hint="eastAsia"/>
          <w:lang w:eastAsia="zh-CN"/>
        </w:rPr>
        <w:t>漳州市古雷经济开发区疏港大道南102号 福海创改扩建项目组采购管理部</w:t>
      </w:r>
      <w:r>
        <w:rPr>
          <w:lang w:eastAsia="zh-CN"/>
        </w:rPr>
        <w:t>230</w:t>
      </w:r>
      <w:r>
        <w:rPr>
          <w:rFonts w:hint="eastAsia"/>
          <w:lang w:eastAsia="zh-CN"/>
        </w:rPr>
        <w:t>室</w:t>
      </w:r>
      <w:r>
        <w:rPr>
          <w:lang w:eastAsia="zh-CN"/>
        </w:rPr>
        <w:t>，联系人：</w:t>
      </w:r>
      <w:r>
        <w:rPr>
          <w:rFonts w:hint="eastAsia"/>
          <w:lang w:eastAsia="zh-CN"/>
        </w:rPr>
        <w:t xml:space="preserve">张华娟  </w:t>
      </w:r>
      <w:r>
        <w:rPr>
          <w:lang w:eastAsia="zh-CN"/>
        </w:rPr>
        <w:t xml:space="preserve"> 联系电话：</w:t>
      </w:r>
      <w:r>
        <w:rPr>
          <w:rFonts w:hint="eastAsia"/>
          <w:lang w:eastAsia="zh-CN"/>
        </w:rPr>
        <w:t>0596-6311</w:t>
      </w:r>
      <w:r>
        <w:rPr>
          <w:lang w:eastAsia="zh-CN"/>
        </w:rPr>
        <w:t>821</w:t>
      </w:r>
      <w:r>
        <w:rPr>
          <w:rFonts w:hint="eastAsia"/>
          <w:lang w:eastAsia="zh-CN"/>
        </w:rPr>
        <w:t xml:space="preserve"> 。</w:t>
      </w:r>
    </w:p>
    <w:p w14:paraId="76A70181">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pPr>
        <w:pStyle w:val="19"/>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pPr>
        <w:pStyle w:val="19"/>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pPr>
        <w:pStyle w:val="19"/>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pPr>
        <w:pStyle w:val="19"/>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pPr>
        <w:spacing w:line="321" w:lineRule="auto"/>
        <w:jc w:val="both"/>
        <w:rPr>
          <w:lang w:eastAsia="zh-CN"/>
        </w:rPr>
        <w:sectPr>
          <w:pgSz w:w="11910" w:h="16840"/>
          <w:pgMar w:top="1420" w:right="1140" w:bottom="740" w:left="1300" w:header="0" w:footer="551" w:gutter="0"/>
          <w:cols w:space="720" w:num="1"/>
        </w:sect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3418FE70">
      <w:pPr>
        <w:pStyle w:val="19"/>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3BCF3EFE">
      <w:pPr>
        <w:pStyle w:val="19"/>
        <w:spacing w:line="360" w:lineRule="auto"/>
        <w:ind w:right="121" w:firstLine="360" w:firstLineChars="150"/>
        <w:jc w:val="both"/>
        <w:rPr>
          <w:rFonts w:hint="eastAsia"/>
          <w:lang w:val="en-US" w:eastAsia="zh-CN"/>
        </w:rPr>
      </w:pPr>
      <w:r>
        <w:rPr>
          <w:rFonts w:hint="eastAsia"/>
          <w:lang w:eastAsia="zh-CN"/>
        </w:rPr>
        <w:t>（</w:t>
      </w:r>
      <w:r>
        <w:rPr>
          <w:lang w:eastAsia="zh-CN"/>
        </w:rPr>
        <w:t>2</w:t>
      </w:r>
      <w:r>
        <w:rPr>
          <w:rFonts w:hint="eastAsia"/>
          <w:lang w:eastAsia="zh-CN"/>
        </w:rPr>
        <w:t>）</w:t>
      </w:r>
      <w:r>
        <w:rPr>
          <w:rFonts w:hint="eastAsia"/>
          <w:lang w:val="en-US" w:eastAsia="zh-CN"/>
        </w:rPr>
        <w:t>近5年已完成同等规模的职业病危害控制效果评价业绩，并提供相关业绩证明,须提供</w:t>
      </w:r>
      <w:r>
        <w:rPr>
          <w:rFonts w:hint="eastAsia"/>
          <w:lang w:eastAsia="zh-CN"/>
        </w:rPr>
        <w:t>项目合同复印件、评价报告（至少包含首页、签署页）等证明材料。</w:t>
      </w:r>
    </w:p>
    <w:p w14:paraId="63558416">
      <w:pPr>
        <w:pStyle w:val="19"/>
        <w:spacing w:line="360" w:lineRule="auto"/>
        <w:ind w:right="121" w:firstLine="360" w:firstLineChars="150"/>
        <w:jc w:val="both"/>
        <w:rPr>
          <w:rFonts w:hint="default"/>
          <w:lang w:val="en-US" w:eastAsia="zh-CN"/>
        </w:rPr>
      </w:pPr>
      <w:r>
        <w:rPr>
          <w:rFonts w:hint="eastAsia"/>
          <w:lang w:val="en-US" w:eastAsia="zh-CN"/>
        </w:rPr>
        <w:t>（3）检测资质证明文件。</w:t>
      </w:r>
    </w:p>
    <w:p w14:paraId="6360E806">
      <w:pPr>
        <w:pStyle w:val="19"/>
        <w:spacing w:line="360" w:lineRule="auto"/>
        <w:ind w:right="121" w:firstLine="360" w:firstLineChars="150"/>
        <w:jc w:val="both"/>
        <w:rPr>
          <w:lang w:eastAsia="zh-CN"/>
        </w:rPr>
      </w:pPr>
      <w:r>
        <w:rPr>
          <w:rFonts w:hint="eastAsia"/>
          <w:lang w:eastAsia="zh-CN"/>
        </w:rPr>
        <w:t>（</w:t>
      </w:r>
      <w:r>
        <w:rPr>
          <w:rFonts w:hint="eastAsia"/>
          <w:lang w:val="en-US" w:eastAsia="zh-CN"/>
        </w:rPr>
        <w:t>4</w:t>
      </w:r>
      <w:r>
        <w:rPr>
          <w:rFonts w:hint="eastAsia"/>
          <w:lang w:eastAsia="zh-CN"/>
        </w:rPr>
        <w:t>）商务报价文件。</w:t>
      </w:r>
    </w:p>
    <w:p w14:paraId="63887837">
      <w:pPr>
        <w:pStyle w:val="19"/>
        <w:spacing w:line="360" w:lineRule="auto"/>
        <w:ind w:right="121" w:firstLine="480" w:firstLineChars="200"/>
        <w:jc w:val="both"/>
        <w:rPr>
          <w:lang w:eastAsia="zh-CN"/>
        </w:rPr>
      </w:pPr>
      <w:r>
        <w:rPr>
          <w:rFonts w:hint="eastAsia"/>
          <w:lang w:eastAsia="zh-CN"/>
        </w:rPr>
        <w:t>2.商务参比文件</w:t>
      </w:r>
    </w:p>
    <w:p w14:paraId="0578C973">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19"/>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19"/>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19"/>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19"/>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19"/>
        <w:spacing w:line="360" w:lineRule="auto"/>
        <w:ind w:right="121" w:firstLine="482" w:firstLineChars="200"/>
        <w:jc w:val="both"/>
        <w:rPr>
          <w:lang w:eastAsia="zh-CN"/>
        </w:rPr>
      </w:pPr>
      <w:r>
        <w:rPr>
          <w:rFonts w:hint="eastAsia"/>
          <w:b/>
          <w:color w:val="000000" w:themeColor="text1"/>
          <w:lang w:eastAsia="zh-CN"/>
        </w:rPr>
        <w:t>本项目设置最高控制价</w:t>
      </w:r>
      <w:r>
        <w:rPr>
          <w:rFonts w:hint="eastAsia"/>
          <w:b/>
          <w:color w:val="000000" w:themeColor="text1"/>
          <w:lang w:val="en-US" w:eastAsia="zh-CN"/>
        </w:rPr>
        <w:t>26</w:t>
      </w:r>
      <w:r>
        <w:rPr>
          <w:rFonts w:hint="eastAsia"/>
          <w:b/>
          <w:color w:val="000000" w:themeColor="text1"/>
          <w:lang w:eastAsia="zh-CN"/>
        </w:rPr>
        <w:t>万元整（含税包干总价）</w:t>
      </w:r>
      <w:r>
        <w:rPr>
          <w:rFonts w:hint="eastAsia"/>
          <w:color w:val="000000" w:themeColor="text1"/>
          <w:lang w:eastAsia="zh-CN"/>
        </w:rPr>
        <w:t>。</w:t>
      </w:r>
      <w:r>
        <w:rPr>
          <w:rFonts w:hint="eastAsia"/>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lang w:eastAsia="zh-CN"/>
        </w:rPr>
        <w:t>如参比人对控制价存疑请于报价截止前发邮件至hjzhang@fhcpec.com.cn</w:t>
      </w:r>
      <w:r>
        <w:rPr>
          <w:rFonts w:hint="eastAsia"/>
          <w:lang w:eastAsia="zh-CN"/>
        </w:rPr>
        <w:fldChar w:fldCharType="end"/>
      </w:r>
      <w:r>
        <w:rPr>
          <w:rFonts w:hint="eastAsia"/>
          <w:lang w:eastAsia="zh-CN"/>
        </w:rPr>
        <w:t>。</w:t>
      </w:r>
    </w:p>
    <w:p w14:paraId="7DCD8A41">
      <w:pPr>
        <w:pStyle w:val="19"/>
        <w:spacing w:line="360" w:lineRule="auto"/>
        <w:ind w:right="121" w:firstLine="480" w:firstLineChars="200"/>
        <w:jc w:val="both"/>
        <w:rPr>
          <w:rFonts w:hint="eastAsia"/>
          <w:lang w:eastAsia="zh-CN"/>
        </w:rPr>
      </w:pPr>
      <w:r>
        <w:rPr>
          <w:rFonts w:hint="eastAsia"/>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19"/>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19"/>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19"/>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19"/>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19"/>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19"/>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19"/>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19"/>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19"/>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19"/>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19"/>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19"/>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19"/>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19"/>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技术咨询服务合同</w:t>
      </w:r>
      <w:r>
        <w:rPr>
          <w:lang w:eastAsia="zh-CN"/>
        </w:rPr>
        <w:t>（详见附件一）的规定。</w:t>
      </w:r>
    </w:p>
    <w:p w14:paraId="2B23763A">
      <w:pPr>
        <w:pStyle w:val="19"/>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19"/>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4"/>
      </w:pPr>
    </w:p>
    <w:p w14:paraId="00ABAC03">
      <w:pPr>
        <w:pStyle w:val="54"/>
      </w:pPr>
    </w:p>
    <w:p w14:paraId="54F29C7F">
      <w:pPr>
        <w:pStyle w:val="54"/>
      </w:pPr>
    </w:p>
    <w:p w14:paraId="7A6A90D2">
      <w:pPr>
        <w:pStyle w:val="54"/>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19"/>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19"/>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19"/>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19"/>
        <w:spacing w:line="360" w:lineRule="auto"/>
        <w:ind w:left="215"/>
        <w:rPr>
          <w:lang w:eastAsia="zh-CN"/>
        </w:rPr>
      </w:pPr>
      <w:r>
        <w:rPr>
          <w:lang w:eastAsia="zh-CN"/>
        </w:rPr>
        <w:br w:type="page"/>
      </w:r>
    </w:p>
    <w:p w14:paraId="3F4B5FBC">
      <w:pPr>
        <w:pStyle w:val="19"/>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468D0824">
      <w:pPr>
        <w:jc w:val="center"/>
        <w:rPr>
          <w:b/>
          <w:sz w:val="44"/>
          <w:szCs w:val="44"/>
          <w:lang w:eastAsia="zh-CN"/>
        </w:rPr>
      </w:pPr>
      <w:r>
        <w:rPr>
          <w:rFonts w:hint="eastAsia"/>
          <w:b/>
          <w:sz w:val="44"/>
          <w:szCs w:val="44"/>
          <w:lang w:eastAsia="zh-CN"/>
        </w:rPr>
        <w:t>福建福海创石油化工有限公司</w:t>
      </w:r>
    </w:p>
    <w:p w14:paraId="2B7E1636">
      <w:pPr>
        <w:jc w:val="center"/>
        <w:rPr>
          <w:b/>
          <w:sz w:val="44"/>
          <w:szCs w:val="44"/>
          <w:lang w:eastAsia="zh-CN"/>
        </w:rPr>
      </w:pPr>
    </w:p>
    <w:p w14:paraId="1F26D3E3">
      <w:pPr>
        <w:jc w:val="center"/>
        <w:rPr>
          <w:b/>
          <w:color w:val="000000"/>
          <w:sz w:val="44"/>
          <w:szCs w:val="44"/>
          <w:lang w:eastAsia="zh-CN"/>
        </w:rPr>
      </w:pPr>
    </w:p>
    <w:p w14:paraId="2F9B5CC5">
      <w:pPr>
        <w:pStyle w:val="54"/>
      </w:pPr>
    </w:p>
    <w:p w14:paraId="7454FFCD">
      <w:pPr>
        <w:spacing w:line="480" w:lineRule="exact"/>
        <w:jc w:val="center"/>
        <w:rPr>
          <w:rFonts w:hint="eastAsia"/>
          <w:b/>
          <w:color w:val="000000"/>
          <w:sz w:val="44"/>
          <w:szCs w:val="44"/>
          <w:lang w:eastAsia="zh-CN"/>
        </w:rPr>
      </w:pPr>
      <w:r>
        <w:rPr>
          <w:rFonts w:hint="eastAsia"/>
          <w:b/>
          <w:color w:val="000000"/>
          <w:sz w:val="44"/>
          <w:szCs w:val="44"/>
          <w:lang w:eastAsia="zh-CN"/>
        </w:rPr>
        <w:t>原料适应性技改项目阶段性职业病危害控制效果评价及职业病防护设施竣工验收</w:t>
      </w:r>
    </w:p>
    <w:p w14:paraId="78BF0644">
      <w:pPr>
        <w:spacing w:line="480" w:lineRule="exact"/>
        <w:jc w:val="center"/>
        <w:rPr>
          <w:b/>
          <w:color w:val="000000"/>
          <w:sz w:val="44"/>
          <w:szCs w:val="44"/>
          <w:lang w:eastAsia="zh-CN"/>
        </w:rPr>
      </w:pPr>
      <w:r>
        <w:rPr>
          <w:b/>
          <w:color w:val="000000"/>
          <w:sz w:val="44"/>
          <w:szCs w:val="44"/>
          <w:lang w:eastAsia="zh-CN"/>
        </w:rPr>
        <w:t>技术咨询服务合同</w:t>
      </w:r>
    </w:p>
    <w:p w14:paraId="5360486D">
      <w:pPr>
        <w:spacing w:line="480" w:lineRule="exact"/>
        <w:jc w:val="center"/>
        <w:rPr>
          <w:b/>
          <w:color w:val="000000"/>
          <w:sz w:val="44"/>
          <w:szCs w:val="44"/>
          <w:lang w:eastAsia="zh-CN"/>
        </w:rPr>
      </w:pPr>
    </w:p>
    <w:p w14:paraId="2FC762D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pPr>
        <w:rPr>
          <w:b/>
          <w:sz w:val="30"/>
          <w:lang w:eastAsia="zh-CN"/>
        </w:rPr>
      </w:pPr>
    </w:p>
    <w:p w14:paraId="6B44C331">
      <w:pPr>
        <w:rPr>
          <w:b/>
          <w:sz w:val="30"/>
          <w:lang w:eastAsia="zh-CN"/>
        </w:rPr>
      </w:pPr>
    </w:p>
    <w:p w14:paraId="48010F9C">
      <w:pPr>
        <w:rPr>
          <w:b/>
          <w:sz w:val="30"/>
          <w:lang w:eastAsia="zh-CN"/>
        </w:rPr>
      </w:pPr>
    </w:p>
    <w:p w14:paraId="6BC0A138">
      <w:pPr>
        <w:rPr>
          <w:b/>
          <w:sz w:val="30"/>
          <w:lang w:eastAsia="zh-CN"/>
        </w:rPr>
      </w:pPr>
    </w:p>
    <w:p w14:paraId="57F5E178">
      <w:pPr>
        <w:rPr>
          <w:b/>
          <w:sz w:val="30"/>
          <w:lang w:eastAsia="zh-CN"/>
        </w:rPr>
      </w:pPr>
    </w:p>
    <w:p w14:paraId="0ED7A9D0">
      <w:pPr>
        <w:rPr>
          <w:b/>
          <w:sz w:val="30"/>
          <w:lang w:eastAsia="zh-CN"/>
        </w:rPr>
      </w:pPr>
    </w:p>
    <w:p w14:paraId="029A55A7">
      <w:pPr>
        <w:ind w:firstLine="960" w:firstLineChars="300"/>
        <w:rPr>
          <w:sz w:val="32"/>
          <w:szCs w:val="32"/>
          <w:lang w:eastAsia="zh-CN"/>
        </w:rPr>
      </w:pPr>
      <w:r>
        <w:rPr>
          <w:rFonts w:hint="eastAsia"/>
          <w:sz w:val="32"/>
          <w:szCs w:val="32"/>
          <w:lang w:eastAsia="zh-CN"/>
        </w:rPr>
        <w:t>委托方：福建福海创石油化工有限公司</w:t>
      </w:r>
    </w:p>
    <w:p w14:paraId="75D486E9">
      <w:pPr>
        <w:ind w:firstLine="960" w:firstLineChars="300"/>
        <w:rPr>
          <w:sz w:val="32"/>
          <w:szCs w:val="32"/>
          <w:lang w:eastAsia="zh-CN"/>
        </w:rPr>
      </w:pPr>
      <w:r>
        <w:rPr>
          <w:rFonts w:hint="eastAsia"/>
          <w:sz w:val="32"/>
          <w:szCs w:val="32"/>
          <w:lang w:eastAsia="zh-CN"/>
        </w:rPr>
        <w:t xml:space="preserve">受托方： </w:t>
      </w:r>
    </w:p>
    <w:p w14:paraId="75488F08">
      <w:pPr>
        <w:ind w:firstLine="800" w:firstLineChars="250"/>
        <w:rPr>
          <w:sz w:val="32"/>
          <w:szCs w:val="32"/>
          <w:lang w:eastAsia="zh-CN"/>
        </w:rPr>
      </w:pPr>
    </w:p>
    <w:p w14:paraId="7BA41685">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5</w:t>
      </w:r>
      <w:r>
        <w:rPr>
          <w:rFonts w:hint="eastAsia"/>
          <w:sz w:val="32"/>
          <w:szCs w:val="32"/>
          <w:lang w:eastAsia="zh-CN"/>
        </w:rPr>
        <w:t>年</w:t>
      </w:r>
      <w:r>
        <w:rPr>
          <w:rFonts w:hint="eastAsia"/>
          <w:sz w:val="32"/>
          <w:szCs w:val="32"/>
          <w:lang w:val="en-US" w:eastAsia="zh-CN"/>
        </w:rPr>
        <w:t>7</w:t>
      </w:r>
      <w:r>
        <w:rPr>
          <w:rFonts w:hint="eastAsia"/>
          <w:sz w:val="32"/>
          <w:szCs w:val="32"/>
          <w:lang w:eastAsia="zh-CN"/>
        </w:rPr>
        <w:t>月  日</w:t>
      </w:r>
    </w:p>
    <w:p w14:paraId="6100ECD1">
      <w:pPr>
        <w:tabs>
          <w:tab w:val="left" w:pos="2130"/>
          <w:tab w:val="center" w:pos="4535"/>
        </w:tabs>
        <w:jc w:val="center"/>
        <w:rPr>
          <w:b/>
          <w:sz w:val="30"/>
          <w:szCs w:val="30"/>
          <w:lang w:eastAsia="zh-CN"/>
        </w:rPr>
      </w:pPr>
    </w:p>
    <w:p w14:paraId="7B89FB8B">
      <w:pPr>
        <w:pStyle w:val="24"/>
        <w:spacing w:line="400" w:lineRule="exact"/>
        <w:rPr>
          <w:rFonts w:hAnsi="宋体"/>
          <w:lang w:eastAsia="zh-CN"/>
        </w:rPr>
      </w:pPr>
      <w:r>
        <w:rPr>
          <w:b/>
          <w:sz w:val="30"/>
          <w:szCs w:val="30"/>
          <w:lang w:eastAsia="zh-CN"/>
        </w:rPr>
        <w:br w:type="page"/>
      </w:r>
      <w:r>
        <w:rPr>
          <w:rFonts w:hAnsi="宋体"/>
          <w:lang w:eastAsia="zh-CN"/>
        </w:rPr>
        <w:t>委托方（甲方）</w:t>
      </w:r>
      <w:r>
        <w:rPr>
          <w:rFonts w:hint="eastAsia" w:hAnsi="宋体"/>
          <w:lang w:eastAsia="zh-CN"/>
        </w:rPr>
        <w:t>：</w:t>
      </w:r>
      <w:r>
        <w:rPr>
          <w:rFonts w:hAnsi="宋体"/>
          <w:lang w:eastAsia="zh-CN"/>
        </w:rPr>
        <w:t xml:space="preserve"> 福建福海创石油化工有限公司</w:t>
      </w:r>
    </w:p>
    <w:p w14:paraId="7783F9BB">
      <w:pPr>
        <w:pStyle w:val="24"/>
        <w:spacing w:line="400" w:lineRule="exact"/>
        <w:rPr>
          <w:rFonts w:hAnsi="宋体"/>
          <w:lang w:eastAsia="zh-CN"/>
        </w:rPr>
      </w:pPr>
      <w:r>
        <w:rPr>
          <w:rFonts w:hAnsi="宋体"/>
          <w:lang w:eastAsia="zh-CN"/>
        </w:rPr>
        <w:t>住  所  地：漳州市古雷经济开发区腾龙路</w:t>
      </w:r>
      <w:r>
        <w:rPr>
          <w:rFonts w:hint="eastAsia" w:hAnsi="宋体"/>
          <w:lang w:eastAsia="zh-CN"/>
        </w:rPr>
        <w:t>8</w:t>
      </w:r>
      <w:r>
        <w:rPr>
          <w:rFonts w:hAnsi="宋体"/>
          <w:lang w:eastAsia="zh-CN"/>
        </w:rPr>
        <w:t>6号</w:t>
      </w:r>
    </w:p>
    <w:p w14:paraId="1D106D0D">
      <w:pPr>
        <w:pStyle w:val="24"/>
        <w:spacing w:line="400" w:lineRule="exact"/>
        <w:rPr>
          <w:rFonts w:hint="default" w:hAnsi="宋体"/>
          <w:lang w:val="en-US" w:eastAsia="zh-CN"/>
        </w:rPr>
      </w:pPr>
      <w:r>
        <w:rPr>
          <w:rFonts w:hAnsi="宋体"/>
          <w:lang w:eastAsia="zh-CN"/>
        </w:rPr>
        <w:t>法定代表人</w:t>
      </w:r>
      <w:r>
        <w:rPr>
          <w:rFonts w:hint="eastAsia" w:hAnsi="宋体"/>
          <w:lang w:eastAsia="zh-CN"/>
        </w:rPr>
        <w:t>：</w:t>
      </w:r>
      <w:r>
        <w:rPr>
          <w:rFonts w:hint="eastAsia" w:hAnsi="宋体"/>
          <w:lang w:val="en-US" w:eastAsia="zh-CN"/>
        </w:rPr>
        <w:t>连毅敏</w:t>
      </w:r>
    </w:p>
    <w:p w14:paraId="1A3457C7">
      <w:pPr>
        <w:pStyle w:val="24"/>
        <w:spacing w:line="400" w:lineRule="exact"/>
        <w:rPr>
          <w:rFonts w:hint="default" w:hAnsi="宋体"/>
          <w:lang w:val="en-US" w:eastAsia="zh-CN"/>
        </w:rPr>
      </w:pPr>
      <w:r>
        <w:rPr>
          <w:rFonts w:hAnsi="宋体"/>
          <w:lang w:eastAsia="zh-CN"/>
        </w:rPr>
        <w:t>项目联系人</w:t>
      </w:r>
      <w:r>
        <w:rPr>
          <w:rFonts w:hint="eastAsia" w:hAnsi="宋体"/>
          <w:lang w:eastAsia="zh-CN"/>
        </w:rPr>
        <w:t>：</w:t>
      </w:r>
      <w:r>
        <w:rPr>
          <w:rFonts w:hint="eastAsia" w:hAnsi="宋体"/>
          <w:lang w:val="en-US" w:eastAsia="zh-CN"/>
        </w:rPr>
        <w:t>黄小玲</w:t>
      </w:r>
    </w:p>
    <w:p w14:paraId="65182EC7">
      <w:pPr>
        <w:pStyle w:val="24"/>
        <w:spacing w:line="400" w:lineRule="exact"/>
        <w:rPr>
          <w:rFonts w:hAnsi="宋体"/>
          <w:lang w:eastAsia="zh-CN"/>
        </w:rPr>
      </w:pPr>
      <w:r>
        <w:rPr>
          <w:rFonts w:hAnsi="宋体"/>
          <w:lang w:eastAsia="zh-CN"/>
        </w:rPr>
        <w:t>通讯地址</w:t>
      </w:r>
      <w:r>
        <w:rPr>
          <w:rFonts w:hint="eastAsia" w:hAnsi="宋体"/>
          <w:lang w:eastAsia="zh-CN"/>
        </w:rPr>
        <w:t>：</w:t>
      </w:r>
      <w:r>
        <w:rPr>
          <w:rFonts w:hAnsi="宋体"/>
          <w:lang w:eastAsia="zh-CN"/>
        </w:rPr>
        <w:t>漳州市古雷经济开发区腾龙路</w:t>
      </w:r>
      <w:r>
        <w:rPr>
          <w:rFonts w:hint="eastAsia" w:hAnsi="宋体"/>
          <w:lang w:eastAsia="zh-CN"/>
        </w:rPr>
        <w:t>8</w:t>
      </w:r>
      <w:r>
        <w:rPr>
          <w:rFonts w:hAnsi="宋体"/>
          <w:lang w:eastAsia="zh-CN"/>
        </w:rPr>
        <w:t>6号</w:t>
      </w:r>
    </w:p>
    <w:p w14:paraId="6BC77F0D">
      <w:pPr>
        <w:pStyle w:val="24"/>
        <w:spacing w:line="400" w:lineRule="exact"/>
        <w:rPr>
          <w:rFonts w:hAnsi="宋体"/>
          <w:lang w:eastAsia="zh-CN"/>
        </w:rPr>
      </w:pPr>
      <w:r>
        <w:rPr>
          <w:rFonts w:hAnsi="宋体"/>
          <w:lang w:eastAsia="zh-CN"/>
        </w:rPr>
        <w:t>电    话</w:t>
      </w:r>
      <w:r>
        <w:rPr>
          <w:rFonts w:hint="eastAsia" w:hAnsi="宋体" w:cs="Courier New"/>
          <w:lang w:val="en-US" w:eastAsia="zh-CN"/>
        </w:rPr>
        <w:t>：15260561396</w:t>
      </w:r>
    </w:p>
    <w:p w14:paraId="5F62121A">
      <w:pPr>
        <w:pStyle w:val="24"/>
        <w:spacing w:line="400" w:lineRule="exact"/>
        <w:rPr>
          <w:rFonts w:hAnsi="宋体"/>
          <w:lang w:eastAsia="zh-CN"/>
        </w:rPr>
      </w:pPr>
      <w:r>
        <w:rPr>
          <w:rFonts w:hAnsi="宋体"/>
          <w:lang w:eastAsia="zh-CN"/>
        </w:rPr>
        <w:t>传</w:t>
      </w:r>
      <w:r>
        <w:rPr>
          <w:rFonts w:hint="eastAsia" w:hAnsi="宋体"/>
          <w:lang w:eastAsia="zh-CN"/>
        </w:rPr>
        <w:t xml:space="preserve">  </w:t>
      </w:r>
      <w:r>
        <w:rPr>
          <w:rFonts w:hAnsi="宋体"/>
          <w:lang w:eastAsia="zh-CN"/>
        </w:rPr>
        <w:t xml:space="preserve">  真</w:t>
      </w:r>
      <w:r>
        <w:rPr>
          <w:rFonts w:hint="eastAsia" w:hAnsi="宋体"/>
          <w:lang w:eastAsia="zh-CN"/>
        </w:rPr>
        <w:t>：/</w:t>
      </w:r>
    </w:p>
    <w:p w14:paraId="505D5D5D">
      <w:pPr>
        <w:pStyle w:val="24"/>
        <w:spacing w:line="400" w:lineRule="exact"/>
        <w:rPr>
          <w:rFonts w:hAnsi="宋体"/>
          <w:lang w:eastAsia="zh-CN"/>
        </w:rPr>
      </w:pPr>
      <w:r>
        <w:rPr>
          <w:rFonts w:hAnsi="宋体"/>
          <w:lang w:eastAsia="zh-CN"/>
        </w:rPr>
        <w:t>电子信箱</w:t>
      </w:r>
      <w:r>
        <w:rPr>
          <w:rFonts w:hint="eastAsia" w:hAnsi="宋体"/>
          <w:lang w:eastAsia="zh-CN"/>
        </w:rPr>
        <w:t>：</w:t>
      </w:r>
      <w:r>
        <w:rPr>
          <w:rFonts w:hAnsi="宋体" w:cs="Courier New"/>
          <w:lang w:eastAsia="zh-CN"/>
        </w:rPr>
        <w:t>xlhuang@fhcpec.com.cn</w:t>
      </w:r>
    </w:p>
    <w:p w14:paraId="28D3A489">
      <w:pPr>
        <w:pStyle w:val="24"/>
        <w:spacing w:line="400" w:lineRule="exact"/>
        <w:rPr>
          <w:rFonts w:hAnsi="宋体"/>
          <w:lang w:eastAsia="zh-CN"/>
        </w:rPr>
      </w:pPr>
    </w:p>
    <w:p w14:paraId="5A5BD6E3">
      <w:pPr>
        <w:pStyle w:val="24"/>
        <w:spacing w:line="400" w:lineRule="exact"/>
        <w:rPr>
          <w:rFonts w:hAnsi="宋体"/>
          <w:lang w:eastAsia="zh-CN"/>
        </w:rPr>
      </w:pPr>
      <w:r>
        <w:rPr>
          <w:rFonts w:hAnsi="宋体"/>
          <w:lang w:eastAsia="zh-CN"/>
        </w:rPr>
        <w:t>受托方（乙方）</w:t>
      </w:r>
      <w:r>
        <w:rPr>
          <w:rFonts w:hint="eastAsia" w:hAnsi="宋体"/>
          <w:lang w:eastAsia="zh-CN"/>
        </w:rPr>
        <w:t>：</w:t>
      </w:r>
    </w:p>
    <w:p w14:paraId="104FA85F">
      <w:pPr>
        <w:pStyle w:val="24"/>
        <w:spacing w:line="400" w:lineRule="exact"/>
        <w:rPr>
          <w:rFonts w:hAnsi="宋体"/>
          <w:lang w:eastAsia="zh-CN"/>
        </w:rPr>
      </w:pPr>
      <w:r>
        <w:rPr>
          <w:rFonts w:hAnsi="宋体"/>
          <w:lang w:eastAsia="zh-CN"/>
        </w:rPr>
        <w:t>住  所  地</w:t>
      </w:r>
      <w:r>
        <w:rPr>
          <w:rFonts w:hint="eastAsia" w:hAnsi="宋体"/>
          <w:lang w:eastAsia="zh-CN"/>
        </w:rPr>
        <w:t>：</w:t>
      </w:r>
    </w:p>
    <w:p w14:paraId="5AFAF92F">
      <w:pPr>
        <w:pStyle w:val="24"/>
        <w:spacing w:line="400" w:lineRule="exact"/>
        <w:rPr>
          <w:rFonts w:hAnsi="宋体"/>
          <w:lang w:eastAsia="zh-CN"/>
        </w:rPr>
      </w:pPr>
      <w:r>
        <w:rPr>
          <w:rFonts w:hAnsi="宋体"/>
          <w:lang w:eastAsia="zh-CN"/>
        </w:rPr>
        <w:t>法定代表人</w:t>
      </w:r>
      <w:r>
        <w:rPr>
          <w:rFonts w:hint="eastAsia" w:hAnsi="宋体"/>
          <w:lang w:eastAsia="zh-CN"/>
        </w:rPr>
        <w:t>：</w:t>
      </w:r>
    </w:p>
    <w:p w14:paraId="69367483">
      <w:pPr>
        <w:pStyle w:val="24"/>
        <w:spacing w:line="400" w:lineRule="exact"/>
        <w:rPr>
          <w:rFonts w:hAnsi="宋体"/>
          <w:lang w:eastAsia="zh-CN"/>
        </w:rPr>
      </w:pPr>
      <w:r>
        <w:rPr>
          <w:rFonts w:hint="eastAsia" w:hAnsi="宋体"/>
          <w:lang w:eastAsia="zh-CN"/>
        </w:rPr>
        <w:t>项目联系人:</w:t>
      </w:r>
    </w:p>
    <w:p w14:paraId="6920A9C4">
      <w:pPr>
        <w:pStyle w:val="24"/>
        <w:spacing w:line="400" w:lineRule="exact"/>
        <w:rPr>
          <w:rFonts w:hAnsi="宋体"/>
          <w:lang w:eastAsia="zh-CN"/>
        </w:rPr>
      </w:pPr>
      <w:r>
        <w:rPr>
          <w:rFonts w:hAnsi="宋体"/>
          <w:lang w:eastAsia="zh-CN"/>
        </w:rPr>
        <w:t>通讯地址</w:t>
      </w:r>
      <w:r>
        <w:rPr>
          <w:rFonts w:hint="eastAsia" w:hAnsi="宋体"/>
          <w:lang w:eastAsia="zh-CN"/>
        </w:rPr>
        <w:t>：</w:t>
      </w:r>
    </w:p>
    <w:p w14:paraId="251DBECA">
      <w:pPr>
        <w:pStyle w:val="24"/>
        <w:spacing w:line="400" w:lineRule="exact"/>
        <w:rPr>
          <w:rFonts w:hAnsi="宋体"/>
          <w:lang w:eastAsia="zh-CN"/>
        </w:rPr>
      </w:pPr>
      <w:r>
        <w:rPr>
          <w:rFonts w:hAnsi="宋体"/>
          <w:lang w:eastAsia="zh-CN"/>
        </w:rPr>
        <w:t>电    话</w:t>
      </w:r>
      <w:r>
        <w:rPr>
          <w:rFonts w:hint="eastAsia" w:hAnsi="宋体"/>
          <w:lang w:eastAsia="zh-CN"/>
        </w:rPr>
        <w:t>：</w:t>
      </w:r>
    </w:p>
    <w:p w14:paraId="012D0528">
      <w:pPr>
        <w:pStyle w:val="24"/>
        <w:spacing w:line="400" w:lineRule="exact"/>
        <w:rPr>
          <w:rFonts w:hAnsi="宋体"/>
          <w:lang w:eastAsia="zh-CN"/>
        </w:rPr>
      </w:pPr>
      <w:r>
        <w:rPr>
          <w:rFonts w:hAnsi="宋体"/>
          <w:lang w:eastAsia="zh-CN"/>
        </w:rPr>
        <w:t>传    真：</w:t>
      </w:r>
    </w:p>
    <w:p w14:paraId="372B84BB">
      <w:pPr>
        <w:pStyle w:val="24"/>
        <w:spacing w:line="400" w:lineRule="exact"/>
        <w:rPr>
          <w:rFonts w:hAnsi="宋体"/>
          <w:lang w:eastAsia="zh-CN"/>
        </w:rPr>
      </w:pPr>
      <w:r>
        <w:rPr>
          <w:rFonts w:hAnsi="宋体"/>
          <w:lang w:eastAsia="zh-CN"/>
        </w:rPr>
        <w:t>电子信箱</w:t>
      </w:r>
      <w:r>
        <w:rPr>
          <w:rFonts w:hint="eastAsia" w:hAnsi="宋体"/>
          <w:lang w:eastAsia="zh-CN"/>
        </w:rPr>
        <w:t>：</w:t>
      </w:r>
    </w:p>
    <w:p w14:paraId="1B8FD26D">
      <w:pPr>
        <w:pStyle w:val="24"/>
        <w:spacing w:line="400" w:lineRule="exact"/>
        <w:rPr>
          <w:rFonts w:hAnsi="宋体"/>
          <w:lang w:eastAsia="zh-CN"/>
        </w:rPr>
      </w:pPr>
      <w:r>
        <w:rPr>
          <w:rFonts w:hint="eastAsia" w:hAnsi="宋体"/>
          <w:lang w:eastAsia="zh-CN"/>
        </w:rPr>
        <w:t xml:space="preserve">    </w:t>
      </w:r>
    </w:p>
    <w:p w14:paraId="77887264">
      <w:pPr>
        <w:pStyle w:val="24"/>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福建福海创石油化工有限公司原料适应性技改项目阶段性职业病危害控制效果评价及职业病防护设施竣工验收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14:paraId="48995B84">
      <w:pPr>
        <w:pStyle w:val="24"/>
        <w:spacing w:line="400" w:lineRule="exact"/>
        <w:rPr>
          <w:rFonts w:hAnsi="宋体"/>
          <w:lang w:eastAsia="zh-CN"/>
        </w:rPr>
      </w:pPr>
      <w:r>
        <w:rPr>
          <w:rFonts w:hint="eastAsia" w:hAnsi="宋体"/>
          <w:lang w:eastAsia="zh-CN"/>
        </w:rPr>
        <w:t xml:space="preserve">    第一条　乙方进行技术咨询的内容、要求、方式：</w:t>
      </w:r>
    </w:p>
    <w:p w14:paraId="3E58B417">
      <w:pPr>
        <w:pStyle w:val="24"/>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见附件发包说明      </w:t>
      </w:r>
    </w:p>
    <w:p w14:paraId="6C01A7BA">
      <w:pPr>
        <w:pStyle w:val="24"/>
        <w:spacing w:line="400" w:lineRule="exact"/>
        <w:rPr>
          <w:rFonts w:hAnsi="宋体"/>
          <w:lang w:eastAsia="zh-CN"/>
        </w:rPr>
      </w:pPr>
      <w:r>
        <w:rPr>
          <w:rFonts w:hint="eastAsia" w:hAnsi="宋体"/>
          <w:lang w:eastAsia="zh-CN"/>
        </w:rPr>
        <w:t xml:space="preserve">    2.技术服务及咨询要求：</w:t>
      </w:r>
      <w:r>
        <w:rPr>
          <w:rFonts w:hint="eastAsia" w:hAnsi="宋体" w:cs="Courier New"/>
          <w:u w:val="single"/>
          <w:lang w:eastAsia="zh-CN"/>
        </w:rPr>
        <w:t xml:space="preserve">  </w:t>
      </w:r>
      <w:r>
        <w:rPr>
          <w:rFonts w:hint="eastAsia" w:hAnsi="宋体" w:cs="Courier New"/>
          <w:u w:val="single"/>
          <w:lang w:val="en-US" w:eastAsia="zh-CN"/>
        </w:rPr>
        <w:t>福建福海创石油化工有限公司原料适应性技改项目沸腾床加氢装置、新建硫磺回收装置以及相关公用工程职业病危害控制效果评价及职业病防护设施竣工验收。编制的报告、职业病防护设施通过专家评审视为合格。</w:t>
      </w:r>
    </w:p>
    <w:p w14:paraId="168C6E74">
      <w:pPr>
        <w:pStyle w:val="24"/>
        <w:spacing w:line="400" w:lineRule="exact"/>
        <w:rPr>
          <w:rFonts w:hAnsi="宋体"/>
          <w:lang w:eastAsia="zh-CN"/>
        </w:rPr>
      </w:pPr>
      <w:r>
        <w:rPr>
          <w:rFonts w:hint="eastAsia" w:hAnsi="宋体"/>
          <w:lang w:eastAsia="zh-CN"/>
        </w:rPr>
        <w:t xml:space="preserve">    第二条 乙方按照下列要求进行本合同项目的技术咨询工作：</w:t>
      </w:r>
    </w:p>
    <w:p w14:paraId="24761090">
      <w:pPr>
        <w:pStyle w:val="24"/>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14:paraId="60663588">
      <w:pPr>
        <w:pStyle w:val="24"/>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14:paraId="4C209EB6">
      <w:pPr>
        <w:pStyle w:val="24"/>
        <w:spacing w:line="400" w:lineRule="exact"/>
        <w:rPr>
          <w:rFonts w:hAnsi="宋体"/>
          <w:u w:val="single"/>
          <w:lang w:eastAsia="zh-CN"/>
        </w:rPr>
      </w:pPr>
      <w:r>
        <w:rPr>
          <w:rFonts w:hint="eastAsia" w:hAnsi="宋体"/>
          <w:lang w:eastAsia="zh-CN"/>
        </w:rPr>
        <w:t xml:space="preserve">    3.技术服务及咨询进度：</w:t>
      </w:r>
      <w:r>
        <w:rPr>
          <w:rFonts w:hint="eastAsia" w:hAnsi="宋体"/>
          <w:u w:val="single"/>
          <w:lang w:eastAsia="zh-CN"/>
        </w:rPr>
        <w:t xml:space="preserve"> </w:t>
      </w:r>
      <w:r>
        <w:rPr>
          <w:rFonts w:hint="eastAsia" w:hAnsi="宋体" w:cs="Courier New"/>
          <w:u w:val="single"/>
          <w:lang w:eastAsia="zh-CN"/>
        </w:rPr>
        <w:t xml:space="preserve">  由</w:t>
      </w:r>
      <w:r>
        <w:rPr>
          <w:rFonts w:hint="eastAsia" w:hAnsi="宋体" w:cs="Courier New"/>
          <w:u w:val="single"/>
          <w:lang w:val="en-US" w:eastAsia="zh-CN"/>
        </w:rPr>
        <w:t>发包人</w:t>
      </w:r>
      <w:r>
        <w:rPr>
          <w:rFonts w:hint="eastAsia" w:hAnsi="宋体" w:cs="Courier New"/>
          <w:u w:val="single"/>
          <w:lang w:eastAsia="zh-CN"/>
        </w:rPr>
        <w:t>通知项目开始启动后</w:t>
      </w:r>
      <w:r>
        <w:rPr>
          <w:rFonts w:hint="eastAsia" w:hAnsi="宋体" w:cs="Courier New"/>
          <w:u w:val="single"/>
          <w:lang w:val="en-US" w:eastAsia="zh-CN"/>
        </w:rPr>
        <w:t>3个月内出具评价报告初稿，4个月内完成验收</w:t>
      </w:r>
      <w:r>
        <w:rPr>
          <w:rFonts w:hint="eastAsia" w:hAnsi="宋体" w:cs="Courier New"/>
          <w:u w:val="single"/>
          <w:lang w:eastAsia="zh-CN"/>
        </w:rPr>
        <w:t>。</w:t>
      </w:r>
    </w:p>
    <w:p w14:paraId="1A759312">
      <w:pPr>
        <w:pStyle w:val="24"/>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w:t>
      </w:r>
      <w:r>
        <w:rPr>
          <w:rFonts w:hint="eastAsia" w:hAnsi="宋体" w:cs="Courier New"/>
          <w:u w:val="single"/>
          <w:lang w:val="en-US" w:eastAsia="zh-CN"/>
        </w:rPr>
        <w:t xml:space="preserve"> 通过专家评审    </w:t>
      </w:r>
      <w:r>
        <w:rPr>
          <w:rFonts w:hint="eastAsia" w:hAnsi="宋体"/>
          <w:u w:val="single"/>
          <w:lang w:eastAsia="zh-CN"/>
        </w:rPr>
        <w:t xml:space="preserve">    </w:t>
      </w:r>
    </w:p>
    <w:p w14:paraId="2B97E30C">
      <w:pPr>
        <w:pStyle w:val="24"/>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合同签订之日起至合同执行完毕止     </w:t>
      </w:r>
    </w:p>
    <w:p w14:paraId="7CEDFE1A">
      <w:pPr>
        <w:pStyle w:val="24"/>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14:paraId="513A14DE">
      <w:pPr>
        <w:pStyle w:val="24"/>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w:t>
      </w:r>
      <w:r>
        <w:rPr>
          <w:rFonts w:hint="eastAsia" w:hAnsi="宋体"/>
          <w:u w:val="single"/>
          <w:lang w:val="en-US" w:eastAsia="zh-CN"/>
        </w:rPr>
        <w:t>评价报告</w:t>
      </w:r>
      <w:r>
        <w:rPr>
          <w:rFonts w:hint="eastAsia" w:hAnsi="宋体"/>
          <w:u w:val="single"/>
          <w:lang w:eastAsia="zh-CN"/>
        </w:rPr>
        <w:t xml:space="preserve">相关资料             </w:t>
      </w:r>
      <w:r>
        <w:rPr>
          <w:rFonts w:hint="eastAsia" w:hAnsi="宋体"/>
          <w:lang w:eastAsia="zh-CN"/>
        </w:rPr>
        <w:t xml:space="preserve"> </w:t>
      </w:r>
    </w:p>
    <w:p w14:paraId="3C3F785E">
      <w:pPr>
        <w:pStyle w:val="24"/>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14:paraId="69F98151">
      <w:pPr>
        <w:pStyle w:val="24"/>
        <w:spacing w:line="400" w:lineRule="exact"/>
        <w:ind w:firstLine="440" w:firstLineChars="200"/>
        <w:rPr>
          <w:rFonts w:hint="default" w:hAnsi="宋体" w:cs="Courier New"/>
          <w:lang w:val="en-US"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元（含6%增值税），</w:t>
      </w:r>
      <w:r>
        <w:rPr>
          <w:rFonts w:hint="eastAsia" w:hAnsi="宋体" w:cs="Courier New"/>
          <w:lang w:val="en-US" w:eastAsia="zh-CN"/>
        </w:rPr>
        <w:t>其中福海创沸腾床加氢装置费用为：人民币</w:t>
      </w:r>
      <w:r>
        <w:rPr>
          <w:rFonts w:hint="eastAsia" w:hAnsi="宋体" w:cs="Courier New"/>
          <w:u w:val="single"/>
          <w:lang w:eastAsia="zh-CN"/>
        </w:rPr>
        <w:t xml:space="preserve">           </w:t>
      </w:r>
      <w:r>
        <w:rPr>
          <w:rFonts w:hint="eastAsia" w:hAnsi="宋体" w:cs="Courier New"/>
          <w:lang w:eastAsia="zh-CN"/>
        </w:rPr>
        <w:t>元，</w:t>
      </w:r>
      <w:r>
        <w:rPr>
          <w:rFonts w:hint="eastAsia" w:hAnsi="宋体" w:cs="Courier New"/>
          <w:lang w:val="en-US" w:eastAsia="zh-CN"/>
        </w:rPr>
        <w:t>公用工程（新建储罐、循环水站、除盐水站及管廊等）费用为</w:t>
      </w:r>
      <w:r>
        <w:rPr>
          <w:rFonts w:hint="eastAsia" w:hAnsi="宋体" w:cs="宋体"/>
          <w:b w:val="0"/>
          <w:bCs w:val="0"/>
          <w:sz w:val="24"/>
          <w:szCs w:val="24"/>
          <w:lang w:val="en-US" w:eastAsia="zh-CN"/>
        </w:rPr>
        <w:t>：</w:t>
      </w:r>
      <w:r>
        <w:rPr>
          <w:rFonts w:hint="eastAsia" w:hAnsi="宋体" w:cs="Courier New"/>
          <w:lang w:val="en-US" w:eastAsia="zh-CN"/>
        </w:rPr>
        <w:t>人民币</w:t>
      </w:r>
      <w:r>
        <w:rPr>
          <w:rFonts w:hint="eastAsia" w:hAnsi="宋体" w:cs="Courier New"/>
          <w:u w:val="single"/>
          <w:lang w:eastAsia="zh-CN"/>
        </w:rPr>
        <w:t xml:space="preserve">           </w:t>
      </w:r>
      <w:r>
        <w:rPr>
          <w:rFonts w:hint="eastAsia" w:hAnsi="宋体" w:cs="Courier New"/>
          <w:lang w:eastAsia="zh-CN"/>
        </w:rPr>
        <w:t>元，</w:t>
      </w:r>
      <w:r>
        <w:rPr>
          <w:rFonts w:hint="eastAsia" w:hAnsi="宋体" w:cs="Courier New"/>
          <w:lang w:val="en-US" w:eastAsia="zh-CN"/>
        </w:rPr>
        <w:t>新建硫磺回收装置费用为：人民币</w:t>
      </w:r>
      <w:r>
        <w:rPr>
          <w:rFonts w:hint="eastAsia" w:hAnsi="宋体" w:cs="Courier New"/>
          <w:u w:val="single"/>
          <w:lang w:eastAsia="zh-CN"/>
        </w:rPr>
        <w:t xml:space="preserve">           </w:t>
      </w:r>
      <w:r>
        <w:rPr>
          <w:rFonts w:hint="eastAsia" w:hAnsi="宋体" w:cs="Courier New"/>
          <w:lang w:eastAsia="zh-CN"/>
        </w:rPr>
        <w:t>元。</w:t>
      </w:r>
      <w:r>
        <w:rPr>
          <w:rFonts w:hint="eastAsia" w:hAnsi="宋体" w:cs="Courier New"/>
          <w:lang w:val="en-US" w:eastAsia="zh-CN"/>
        </w:rPr>
        <w:t>不含税金额为：人民币</w:t>
      </w:r>
      <w:r>
        <w:rPr>
          <w:rFonts w:hint="eastAsia" w:hAnsi="宋体" w:cs="Courier New"/>
          <w:u w:val="single"/>
          <w:lang w:eastAsia="zh-CN"/>
        </w:rPr>
        <w:t xml:space="preserve">           </w:t>
      </w:r>
      <w:r>
        <w:rPr>
          <w:rFonts w:hint="eastAsia" w:hAnsi="宋体" w:cs="Courier New"/>
          <w:lang w:eastAsia="zh-CN"/>
        </w:rPr>
        <w:t>元。</w:t>
      </w:r>
    </w:p>
    <w:p w14:paraId="23E2F218">
      <w:pPr>
        <w:pStyle w:val="24"/>
        <w:spacing w:line="400" w:lineRule="exact"/>
        <w:rPr>
          <w:rFonts w:hAnsi="宋体"/>
          <w:lang w:eastAsia="zh-CN"/>
        </w:rPr>
      </w:pPr>
      <w:r>
        <w:rPr>
          <w:rFonts w:hAnsi="宋体"/>
          <w:lang w:eastAsia="zh-CN"/>
        </w:rPr>
        <w:t xml:space="preserve"> </w:t>
      </w:r>
      <w:r>
        <w:rPr>
          <w:rFonts w:hint="eastAsia" w:hAnsi="宋体"/>
          <w:lang w:eastAsia="zh-CN"/>
        </w:rPr>
        <w:t xml:space="preserve">    </w:t>
      </w:r>
      <w:r>
        <w:rPr>
          <w:rFonts w:hint="eastAsia" w:hAnsi="宋体"/>
          <w:lang w:val="en-US" w:eastAsia="zh-CN"/>
        </w:rPr>
        <w:t>三个项目根据进度分别进行支付，</w:t>
      </w:r>
      <w:r>
        <w:rPr>
          <w:rFonts w:hint="eastAsia" w:hAnsi="宋体"/>
          <w:lang w:eastAsia="zh-CN"/>
        </w:rPr>
        <w:t>具体支付方式和时间分配如下：</w:t>
      </w:r>
    </w:p>
    <w:p w14:paraId="546E4B40">
      <w:pPr>
        <w:pStyle w:val="24"/>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的服务，并出具经甲方认可的正式</w:t>
      </w:r>
      <w:r>
        <w:rPr>
          <w:rFonts w:hint="eastAsia" w:hAnsi="宋体"/>
          <w:u w:val="single"/>
          <w:lang w:eastAsia="zh-CN"/>
        </w:rPr>
        <w:t xml:space="preserve"> </w:t>
      </w:r>
      <w:r>
        <w:rPr>
          <w:rFonts w:hint="eastAsia" w:hAnsi="宋体"/>
          <w:u w:val="single"/>
          <w:lang w:val="en-US" w:eastAsia="zh-CN"/>
        </w:rPr>
        <w:t>评价</w:t>
      </w:r>
      <w:r>
        <w:rPr>
          <w:rFonts w:hint="eastAsia" w:hAnsi="宋体"/>
          <w:u w:val="single"/>
          <w:lang w:eastAsia="zh-CN"/>
        </w:rPr>
        <w:t xml:space="preserve"> </w:t>
      </w:r>
      <w:r>
        <w:rPr>
          <w:rFonts w:hAnsi="宋体"/>
          <w:lang w:eastAsia="zh-CN"/>
        </w:rPr>
        <w:t>报告</w:t>
      </w:r>
      <w:r>
        <w:rPr>
          <w:rFonts w:hint="eastAsia" w:hAnsi="宋体"/>
          <w:lang w:val="en-US" w:eastAsia="zh-CN"/>
        </w:rPr>
        <w:t>且收到该项目全额增值税专用发票</w:t>
      </w:r>
      <w:r>
        <w:rPr>
          <w:rFonts w:hint="eastAsia" w:hAnsi="宋体"/>
          <w:lang w:eastAsia="zh-CN"/>
        </w:rPr>
        <w:t>后</w:t>
      </w:r>
      <w:r>
        <w:rPr>
          <w:rFonts w:hint="eastAsia" w:hAnsi="宋体"/>
          <w:u w:val="single"/>
          <w:lang w:eastAsia="zh-CN"/>
        </w:rPr>
        <w:t xml:space="preserve"> </w:t>
      </w:r>
      <w:r>
        <w:rPr>
          <w:rFonts w:hint="eastAsia" w:hAnsi="宋体"/>
          <w:u w:val="single"/>
          <w:lang w:val="en-US" w:eastAsia="zh-CN"/>
        </w:rPr>
        <w:t>30</w:t>
      </w:r>
      <w:r>
        <w:rPr>
          <w:rFonts w:hint="eastAsia" w:hAnsi="宋体"/>
          <w:lang w:eastAsia="zh-CN"/>
        </w:rPr>
        <w:t>日内，甲方支付</w:t>
      </w:r>
      <w:r>
        <w:rPr>
          <w:rFonts w:hint="eastAsia" w:hAnsi="宋体"/>
          <w:lang w:val="en-US" w:eastAsia="zh-CN"/>
        </w:rPr>
        <w:t>该项目</w:t>
      </w:r>
      <w:r>
        <w:rPr>
          <w:rFonts w:hint="eastAsia" w:hAnsi="宋体"/>
          <w:lang w:eastAsia="zh-CN"/>
        </w:rPr>
        <w:t>总价款的</w:t>
      </w:r>
      <w:r>
        <w:rPr>
          <w:rFonts w:hint="eastAsia" w:hAnsi="宋体"/>
          <w:u w:val="single"/>
          <w:lang w:eastAsia="zh-CN"/>
        </w:rPr>
        <w:t xml:space="preserve">  </w:t>
      </w:r>
      <w:r>
        <w:rPr>
          <w:rFonts w:hAnsi="宋体"/>
          <w:u w:val="single"/>
          <w:lang w:eastAsia="zh-CN"/>
        </w:rPr>
        <w:t>70</w:t>
      </w:r>
      <w:r>
        <w:rPr>
          <w:rFonts w:hint="eastAsia" w:hAnsi="宋体"/>
          <w:u w:val="single"/>
          <w:lang w:eastAsia="zh-CN"/>
        </w:rPr>
        <w:t xml:space="preserve"> </w:t>
      </w:r>
      <w:r>
        <w:rPr>
          <w:rFonts w:hint="eastAsia" w:hAnsi="宋体"/>
          <w:lang w:eastAsia="zh-CN"/>
        </w:rPr>
        <w:t xml:space="preserve"> %。</w:t>
      </w:r>
    </w:p>
    <w:p w14:paraId="2649A97F">
      <w:pPr>
        <w:pStyle w:val="24"/>
        <w:spacing w:line="400" w:lineRule="exact"/>
        <w:ind w:firstLine="330" w:firstLineChars="150"/>
        <w:rPr>
          <w:rFonts w:hAnsi="宋体"/>
          <w:lang w:eastAsia="zh-CN"/>
        </w:rPr>
      </w:pPr>
      <w:r>
        <w:rPr>
          <w:rFonts w:hint="eastAsia" w:hAnsi="宋体"/>
          <w:lang w:eastAsia="zh-CN"/>
        </w:rPr>
        <w:t>（</w:t>
      </w:r>
      <w:r>
        <w:rPr>
          <w:rFonts w:hAnsi="宋体"/>
          <w:lang w:eastAsia="zh-CN"/>
        </w:rPr>
        <w:t>2</w:t>
      </w:r>
      <w:r>
        <w:rPr>
          <w:rFonts w:hint="eastAsia" w:hAnsi="宋体"/>
          <w:lang w:eastAsia="zh-CN"/>
        </w:rPr>
        <w:t>）在乙方</w:t>
      </w:r>
      <w:r>
        <w:rPr>
          <w:rFonts w:hAnsi="宋体"/>
          <w:lang w:eastAsia="zh-CN"/>
        </w:rPr>
        <w:t>报告</w:t>
      </w:r>
      <w:r>
        <w:rPr>
          <w:rFonts w:hint="eastAsia" w:hAnsi="宋体"/>
          <w:lang w:eastAsia="zh-CN"/>
        </w:rPr>
        <w:t>经</w:t>
      </w:r>
      <w:r>
        <w:rPr>
          <w:rFonts w:hint="eastAsia" w:hAnsi="宋体"/>
          <w:lang w:val="en-US" w:eastAsia="zh-CN"/>
        </w:rPr>
        <w:t>专家评审</w:t>
      </w:r>
      <w:r>
        <w:rPr>
          <w:rFonts w:hint="eastAsia" w:hAnsi="宋体"/>
          <w:lang w:eastAsia="zh-CN"/>
        </w:rPr>
        <w:t>通过后</w:t>
      </w:r>
      <w:r>
        <w:rPr>
          <w:rFonts w:hint="eastAsia" w:hAnsi="宋体"/>
          <w:u w:val="single"/>
          <w:lang w:eastAsia="zh-CN"/>
        </w:rPr>
        <w:t xml:space="preserve"> </w:t>
      </w:r>
      <w:r>
        <w:rPr>
          <w:rFonts w:hint="eastAsia" w:hAnsi="宋体"/>
          <w:u w:val="single"/>
          <w:lang w:val="en-US" w:eastAsia="zh-CN"/>
        </w:rPr>
        <w:t>30</w:t>
      </w:r>
      <w:r>
        <w:rPr>
          <w:rFonts w:hint="eastAsia" w:hAnsi="宋体"/>
          <w:lang w:eastAsia="zh-CN"/>
        </w:rPr>
        <w:t>日内，甲方支付剩余款。</w:t>
      </w:r>
    </w:p>
    <w:p w14:paraId="72F83F68">
      <w:pPr>
        <w:pStyle w:val="24"/>
        <w:spacing w:line="400" w:lineRule="exact"/>
        <w:ind w:firstLine="330" w:firstLineChars="150"/>
        <w:rPr>
          <w:rFonts w:hAnsi="宋体"/>
          <w:lang w:eastAsia="zh-CN"/>
        </w:rPr>
      </w:pPr>
      <w:r>
        <w:rPr>
          <w:rFonts w:hint="eastAsia" w:hAnsi="宋体"/>
          <w:lang w:eastAsia="zh-CN"/>
        </w:rPr>
        <w:t>（</w:t>
      </w:r>
      <w:r>
        <w:rPr>
          <w:rFonts w:hAnsi="宋体"/>
          <w:lang w:eastAsia="zh-CN"/>
        </w:rPr>
        <w:t>3</w:t>
      </w:r>
      <w:r>
        <w:rPr>
          <w:rFonts w:hint="eastAsia" w:hAnsi="宋体"/>
          <w:lang w:eastAsia="zh-CN"/>
        </w:rPr>
        <w:t>）乙方应在甲方付款期限届满</w:t>
      </w:r>
      <w:r>
        <w:rPr>
          <w:rFonts w:hint="eastAsia" w:hAnsi="宋体"/>
          <w:u w:val="single"/>
          <w:lang w:eastAsia="zh-CN"/>
        </w:rPr>
        <w:t xml:space="preserve">  </w:t>
      </w:r>
      <w:r>
        <w:rPr>
          <w:rFonts w:hint="eastAsia" w:hAnsi="宋体"/>
          <w:u w:val="single"/>
          <w:lang w:val="en-US" w:eastAsia="zh-CN"/>
        </w:rPr>
        <w:t>30</w:t>
      </w:r>
      <w:r>
        <w:rPr>
          <w:rFonts w:hAnsi="宋体"/>
          <w:u w:val="single"/>
          <w:lang w:eastAsia="zh-CN"/>
        </w:rPr>
        <w:t xml:space="preserve"> </w:t>
      </w:r>
      <w:r>
        <w:rPr>
          <w:rFonts w:hint="eastAsia" w:hAnsi="宋体"/>
          <w:lang w:eastAsia="zh-CN"/>
        </w:rPr>
        <w:t>日前提供正式税务发票，否则甲方有权顺延付款。上述技术服务及咨询报酬直接支付至乙方指定的下列账号：</w:t>
      </w:r>
    </w:p>
    <w:p w14:paraId="38A5638E">
      <w:pPr>
        <w:pStyle w:val="24"/>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14:paraId="3BE91248">
      <w:pPr>
        <w:pStyle w:val="24"/>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14:paraId="776F29DF">
      <w:pPr>
        <w:pStyle w:val="24"/>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14:paraId="7EA6486B">
      <w:pPr>
        <w:pStyle w:val="24"/>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14:paraId="4C352D2D">
      <w:pPr>
        <w:pStyle w:val="24"/>
        <w:spacing w:line="400" w:lineRule="exact"/>
        <w:ind w:firstLine="440" w:firstLineChars="200"/>
        <w:rPr>
          <w:rFonts w:hAnsi="宋体"/>
          <w:lang w:eastAsia="zh-CN"/>
        </w:rPr>
      </w:pPr>
      <w:r>
        <w:rPr>
          <w:rFonts w:hint="eastAsia" w:hAnsi="宋体"/>
          <w:lang w:eastAsia="zh-CN"/>
        </w:rPr>
        <w:t>甲方：</w:t>
      </w:r>
    </w:p>
    <w:p w14:paraId="2F12FE60">
      <w:pPr>
        <w:pStyle w:val="24"/>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14:paraId="06B5795A">
      <w:pPr>
        <w:pStyle w:val="24"/>
        <w:spacing w:line="400" w:lineRule="exact"/>
        <w:ind w:firstLine="440" w:firstLineChars="200"/>
        <w:rPr>
          <w:rFonts w:hAnsi="宋体"/>
          <w:lang w:eastAsia="zh-CN"/>
        </w:rPr>
      </w:pPr>
      <w:r>
        <w:rPr>
          <w:rFonts w:hint="eastAsia" w:hAnsi="宋体"/>
          <w:lang w:eastAsia="zh-CN"/>
        </w:rPr>
        <w:t xml:space="preserve">2.涉密人员范围：甲方及甲方工作人员 </w:t>
      </w:r>
    </w:p>
    <w:p w14:paraId="7AFD2851">
      <w:pPr>
        <w:pStyle w:val="24"/>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14:paraId="5D009539">
      <w:pPr>
        <w:pStyle w:val="24"/>
        <w:spacing w:line="400" w:lineRule="exact"/>
        <w:ind w:firstLine="440" w:firstLineChars="200"/>
        <w:rPr>
          <w:rFonts w:hAnsi="宋体"/>
          <w:lang w:eastAsia="zh-CN"/>
        </w:rPr>
      </w:pPr>
      <w:r>
        <w:rPr>
          <w:rFonts w:hint="eastAsia" w:hAnsi="宋体"/>
          <w:lang w:eastAsia="zh-CN"/>
        </w:rPr>
        <w:t>乙方：</w:t>
      </w:r>
    </w:p>
    <w:p w14:paraId="7A6997D3">
      <w:pPr>
        <w:pStyle w:val="24"/>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14:paraId="3FF27DFA">
      <w:pPr>
        <w:pStyle w:val="24"/>
        <w:spacing w:line="400" w:lineRule="exact"/>
        <w:ind w:firstLine="440" w:firstLineChars="200"/>
        <w:rPr>
          <w:rFonts w:hAnsi="宋体"/>
          <w:lang w:eastAsia="zh-CN"/>
        </w:rPr>
      </w:pPr>
      <w:r>
        <w:rPr>
          <w:rFonts w:hint="eastAsia" w:hAnsi="宋体"/>
          <w:lang w:eastAsia="zh-CN"/>
        </w:rPr>
        <w:t xml:space="preserve">2.涉密人员范围：乙方及乙方工作人员 </w:t>
      </w:r>
    </w:p>
    <w:p w14:paraId="54D7B144">
      <w:pPr>
        <w:pStyle w:val="24"/>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14:paraId="71B8688C">
      <w:pPr>
        <w:pStyle w:val="24"/>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14:paraId="4A8FC3D0">
      <w:pPr>
        <w:pStyle w:val="24"/>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14:paraId="0857CD45">
      <w:pPr>
        <w:pStyle w:val="24"/>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cs="Courier New"/>
          <w:u w:val="single"/>
          <w:lang w:eastAsia="zh-CN"/>
        </w:rPr>
        <w:t>按项目出具对应的</w:t>
      </w:r>
      <w:r>
        <w:rPr>
          <w:rFonts w:hint="eastAsia" w:hAnsi="宋体" w:cs="Courier New"/>
          <w:u w:val="single"/>
          <w:lang w:val="en-US" w:eastAsia="zh-CN"/>
        </w:rPr>
        <w:t>评价</w:t>
      </w:r>
      <w:r>
        <w:rPr>
          <w:rFonts w:hint="eastAsia" w:hAnsi="宋体" w:cs="Courier New"/>
          <w:u w:val="single"/>
          <w:lang w:eastAsia="zh-CN"/>
        </w:rPr>
        <w:t>报告 (装订成册)</w:t>
      </w:r>
      <w:r>
        <w:rPr>
          <w:rFonts w:hint="eastAsia" w:hAnsi="宋体" w:cs="Courier New"/>
          <w:u w:val="single"/>
          <w:lang w:val="en-US" w:eastAsia="zh-CN"/>
        </w:rPr>
        <w:t>10</w:t>
      </w:r>
      <w:r>
        <w:rPr>
          <w:rFonts w:hint="eastAsia" w:hAnsi="宋体" w:cs="Courier New"/>
          <w:u w:val="single"/>
          <w:lang w:eastAsia="zh-CN"/>
        </w:rPr>
        <w:t>份，电子档</w:t>
      </w:r>
      <w:r>
        <w:rPr>
          <w:rFonts w:hint="eastAsia" w:hAnsi="宋体" w:cs="Courier New"/>
          <w:u w:val="single"/>
          <w:lang w:val="en-US" w:eastAsia="zh-CN"/>
        </w:rPr>
        <w:t>PDF和word各</w:t>
      </w:r>
      <w:r>
        <w:rPr>
          <w:rFonts w:hint="eastAsia" w:hAnsi="宋体" w:cs="Courier New"/>
          <w:u w:val="single"/>
          <w:lang w:eastAsia="zh-CN"/>
        </w:rPr>
        <w:t>1份</w:t>
      </w:r>
      <w:r>
        <w:rPr>
          <w:rFonts w:hAnsi="宋体" w:cs="Courier New"/>
          <w:u w:val="single"/>
          <w:lang w:eastAsia="zh-CN"/>
        </w:rPr>
        <w:t>。</w:t>
      </w:r>
    </w:p>
    <w:p w14:paraId="2B6A8737">
      <w:pPr>
        <w:pStyle w:val="24"/>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w:t>
      </w:r>
      <w:r>
        <w:rPr>
          <w:rFonts w:hint="eastAsia" w:hAnsi="宋体"/>
          <w:u w:val="single"/>
          <w:lang w:val="en-US" w:eastAsia="zh-CN"/>
        </w:rPr>
        <w:t>通过专家评审</w:t>
      </w:r>
      <w:r>
        <w:rPr>
          <w:rFonts w:hAnsi="宋体"/>
          <w:u w:val="single"/>
          <w:lang w:eastAsia="zh-CN"/>
        </w:rPr>
        <w:t>。</w:t>
      </w:r>
      <w:r>
        <w:rPr>
          <w:rFonts w:hint="eastAsia" w:hAnsi="宋体"/>
          <w:u w:val="single"/>
          <w:lang w:eastAsia="zh-CN"/>
        </w:rPr>
        <w:t xml:space="preserve"> </w:t>
      </w:r>
      <w:r>
        <w:rPr>
          <w:rFonts w:hAnsi="宋体"/>
          <w:u w:val="single"/>
          <w:lang w:eastAsia="zh-CN"/>
        </w:rPr>
        <w:t xml:space="preserve"> </w:t>
      </w:r>
    </w:p>
    <w:p w14:paraId="30D216D5">
      <w:pPr>
        <w:pStyle w:val="24"/>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14:paraId="06C2B8A8">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7732BF3F">
      <w:pPr>
        <w:pStyle w:val="24"/>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w:t>
      </w:r>
      <w:r>
        <w:rPr>
          <w:rFonts w:hint="eastAsia" w:hAnsi="宋体"/>
          <w:u w:val="single"/>
          <w:lang w:val="en-US" w:eastAsia="zh-CN"/>
        </w:rPr>
        <w:t>黄小玲</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14:paraId="70DFD942">
      <w:pPr>
        <w:pStyle w:val="24"/>
        <w:spacing w:line="400" w:lineRule="exact"/>
        <w:ind w:firstLine="440" w:firstLineChars="200"/>
        <w:rPr>
          <w:rFonts w:hAnsi="宋体"/>
          <w:lang w:eastAsia="zh-CN"/>
        </w:rPr>
      </w:pPr>
      <w:r>
        <w:rPr>
          <w:rFonts w:hint="eastAsia" w:hAnsi="宋体"/>
          <w:lang w:eastAsia="zh-CN"/>
        </w:rPr>
        <w:t>第九条  违约责任</w:t>
      </w:r>
    </w:p>
    <w:p w14:paraId="569E9F1A">
      <w:pPr>
        <w:spacing w:line="400" w:lineRule="exact"/>
        <w:ind w:firstLine="440" w:firstLineChars="200"/>
        <w:rPr>
          <w:rStyle w:val="78"/>
          <w:color w:val="000000"/>
          <w:lang w:eastAsia="zh-CN"/>
        </w:rPr>
      </w:pPr>
      <w:r>
        <w:rPr>
          <w:rStyle w:val="78"/>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 xml:space="preserve">500 </w:t>
      </w:r>
      <w:r>
        <w:rPr>
          <w:rStyle w:val="78"/>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78"/>
          <w:rFonts w:hint="eastAsia"/>
          <w:color w:val="000000"/>
          <w:lang w:eastAsia="zh-CN"/>
        </w:rPr>
        <w:t>日的，甲方还有权解除本合同并要求乙方退还已经收取的费用。</w:t>
      </w:r>
    </w:p>
    <w:p w14:paraId="1E4A9877">
      <w:pPr>
        <w:pStyle w:val="24"/>
        <w:spacing w:line="400" w:lineRule="exact"/>
        <w:ind w:firstLine="440" w:firstLineChars="200"/>
        <w:rPr>
          <w:rStyle w:val="78"/>
          <w:color w:val="000000"/>
          <w:lang w:eastAsia="zh-CN"/>
        </w:rPr>
      </w:pPr>
      <w:r>
        <w:rPr>
          <w:rStyle w:val="78"/>
          <w:rFonts w:hint="eastAsia"/>
          <w:color w:val="000000"/>
          <w:lang w:eastAsia="zh-CN"/>
        </w:rPr>
        <w:t>2．乙方提交的服务咨询报告不符合合同约定的，应在甲方指定期限内修改完善直至符合合同约定为止，由此造成逾期提交的，按照第1款约定执行。</w:t>
      </w:r>
    </w:p>
    <w:p w14:paraId="2EC7D5EA">
      <w:pPr>
        <w:pStyle w:val="24"/>
        <w:spacing w:line="400" w:lineRule="exact"/>
        <w:ind w:firstLine="440" w:firstLineChars="200"/>
        <w:rPr>
          <w:rFonts w:hAnsi="宋体"/>
          <w:lang w:eastAsia="zh-CN"/>
        </w:rPr>
      </w:pPr>
      <w:r>
        <w:rPr>
          <w:rStyle w:val="78"/>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78"/>
          <w:rFonts w:hint="eastAsia"/>
          <w:color w:val="000000"/>
          <w:lang w:eastAsia="zh-CN"/>
        </w:rPr>
        <w:t>元；赔偿由此给对方造成的损失。</w:t>
      </w:r>
    </w:p>
    <w:p w14:paraId="43662CD4">
      <w:pPr>
        <w:pStyle w:val="24"/>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14:paraId="41D28B0C">
      <w:pPr>
        <w:pStyle w:val="24"/>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14:paraId="452D1085">
      <w:pPr>
        <w:pStyle w:val="24"/>
        <w:spacing w:line="400" w:lineRule="exact"/>
        <w:ind w:firstLine="440" w:firstLineChars="200"/>
        <w:rPr>
          <w:rFonts w:hAnsi="宋体"/>
          <w:lang w:eastAsia="zh-CN"/>
        </w:rPr>
      </w:pPr>
      <w:r>
        <w:rPr>
          <w:rFonts w:hint="eastAsia" w:hAnsi="宋体"/>
          <w:lang w:eastAsia="zh-CN"/>
        </w:rPr>
        <w:t>2．向甲方所在地人民法院提起诉讼。</w:t>
      </w:r>
    </w:p>
    <w:p w14:paraId="6CDF8AE4">
      <w:pPr>
        <w:pStyle w:val="24"/>
        <w:spacing w:line="400" w:lineRule="exact"/>
        <w:ind w:firstLine="440" w:firstLineChars="200"/>
        <w:rPr>
          <w:rFonts w:hAnsi="宋体"/>
          <w:lang w:eastAsia="zh-CN"/>
        </w:rPr>
      </w:pPr>
      <w:r>
        <w:rPr>
          <w:rFonts w:hint="eastAsia" w:hAnsi="宋体"/>
          <w:lang w:eastAsia="zh-CN"/>
        </w:rPr>
        <w:t>第十一条 其他</w:t>
      </w:r>
    </w:p>
    <w:p w14:paraId="56E03F18">
      <w:pPr>
        <w:pStyle w:val="24"/>
        <w:spacing w:line="400" w:lineRule="exact"/>
        <w:ind w:firstLine="440" w:firstLineChars="200"/>
        <w:rPr>
          <w:rStyle w:val="78"/>
          <w:color w:val="000000"/>
          <w:lang w:eastAsia="zh-CN"/>
        </w:rPr>
      </w:pPr>
      <w:r>
        <w:rPr>
          <w:rStyle w:val="78"/>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pPr>
        <w:pStyle w:val="24"/>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pPr>
        <w:pStyle w:val="24"/>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int="eastAsia" w:hAnsi="宋体"/>
          <w:u w:val="single"/>
          <w:lang w:val="en-US" w:eastAsia="zh-CN"/>
        </w:rPr>
        <w:t>5</w:t>
      </w:r>
      <w:r>
        <w:rPr>
          <w:rFonts w:hint="eastAsia" w:hAnsi="宋体"/>
          <w:lang w:eastAsia="zh-CN"/>
        </w:rPr>
        <w:t>份，甲方执</w:t>
      </w:r>
      <w:r>
        <w:rPr>
          <w:rFonts w:hint="eastAsia" w:hAnsi="宋体"/>
          <w:u w:val="single"/>
          <w:lang w:val="en-US"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2 </w:t>
      </w:r>
      <w:r>
        <w:rPr>
          <w:rFonts w:hint="eastAsia" w:hAnsi="宋体"/>
          <w:lang w:eastAsia="zh-CN"/>
        </w:rPr>
        <w:t>份，具有同等法律效力。</w:t>
      </w:r>
    </w:p>
    <w:p w14:paraId="2B2920EF">
      <w:pPr>
        <w:pStyle w:val="24"/>
        <w:spacing w:line="400" w:lineRule="exact"/>
        <w:rPr>
          <w:rFonts w:hAnsi="宋体"/>
          <w:lang w:eastAsia="zh-CN"/>
        </w:rPr>
      </w:pPr>
    </w:p>
    <w:p w14:paraId="63E13FCC">
      <w:pPr>
        <w:pStyle w:val="24"/>
        <w:spacing w:line="400" w:lineRule="exact"/>
        <w:ind w:firstLine="440" w:firstLineChars="200"/>
        <w:rPr>
          <w:rFonts w:hAnsi="宋体"/>
        </w:rPr>
      </w:pPr>
      <w:r>
        <w:rPr>
          <w:rFonts w:hint="eastAsia" w:hAnsi="宋体"/>
        </w:rPr>
        <w:t>甲方（公章）:   　                              乙方：（公章）</w:t>
      </w:r>
    </w:p>
    <w:p w14:paraId="5359602E">
      <w:pPr>
        <w:pStyle w:val="24"/>
        <w:spacing w:line="400" w:lineRule="exact"/>
        <w:ind w:firstLine="440" w:firstLineChars="200"/>
        <w:rPr>
          <w:rFonts w:hAnsi="宋体"/>
        </w:rPr>
      </w:pPr>
      <w:r>
        <w:rPr>
          <w:rFonts w:hint="eastAsia" w:hAnsi="宋体"/>
        </w:rPr>
        <w:t xml:space="preserve">                           </w:t>
      </w:r>
    </w:p>
    <w:p w14:paraId="26CBB435">
      <w:pPr>
        <w:pStyle w:val="24"/>
        <w:spacing w:line="400" w:lineRule="exact"/>
        <w:rPr>
          <w:rFonts w:hAnsi="宋体"/>
          <w:lang w:eastAsia="zh-CN"/>
        </w:rPr>
      </w:pPr>
      <w:r>
        <w:rPr>
          <w:rFonts w:hAnsi="宋体"/>
        </w:rPr>
        <w:t xml:space="preserve"> </w:t>
      </w:r>
      <w:r>
        <w:rPr>
          <w:rFonts w:hAnsi="宋体"/>
          <w:lang w:eastAsia="zh-CN"/>
        </w:rPr>
        <w:t>202</w:t>
      </w:r>
      <w:r>
        <w:rPr>
          <w:rFonts w:hint="eastAsia" w:hAnsi="宋体"/>
          <w:lang w:val="en-US" w:eastAsia="zh-CN"/>
        </w:rPr>
        <w:t>5</w:t>
      </w:r>
      <w:r>
        <w:rPr>
          <w:rFonts w:hAnsi="宋体"/>
          <w:lang w:eastAsia="zh-CN"/>
        </w:rPr>
        <w:t>年</w:t>
      </w:r>
      <w:r>
        <w:rPr>
          <w:rFonts w:hint="eastAsia" w:hAnsi="宋体"/>
          <w:lang w:val="en-US" w:eastAsia="zh-CN"/>
        </w:rPr>
        <w:t>7</w:t>
      </w:r>
      <w:r>
        <w:rPr>
          <w:rFonts w:hAnsi="宋体"/>
          <w:lang w:eastAsia="zh-CN"/>
        </w:rPr>
        <w:t>月      日</w:t>
      </w:r>
      <w:r>
        <w:rPr>
          <w:rFonts w:hint="eastAsia" w:hAnsi="宋体"/>
          <w:lang w:eastAsia="zh-CN"/>
        </w:rPr>
        <w:t xml:space="preserve">                          </w:t>
      </w:r>
      <w:r>
        <w:rPr>
          <w:rFonts w:hint="eastAsia" w:hAnsi="宋体"/>
          <w:lang w:val="en-US" w:eastAsia="zh-CN"/>
        </w:rPr>
        <w:t xml:space="preserve">    </w:t>
      </w:r>
      <w:r>
        <w:rPr>
          <w:rFonts w:hint="eastAsia" w:hAnsi="宋体"/>
          <w:lang w:eastAsia="zh-CN"/>
        </w:rPr>
        <w:t xml:space="preserve">   </w:t>
      </w:r>
      <w:r>
        <w:rPr>
          <w:rFonts w:hAnsi="宋体"/>
          <w:lang w:eastAsia="zh-CN"/>
        </w:rPr>
        <w:t>202</w:t>
      </w:r>
      <w:r>
        <w:rPr>
          <w:rFonts w:hint="eastAsia" w:hAnsi="宋体"/>
          <w:lang w:val="en-US" w:eastAsia="zh-CN"/>
        </w:rPr>
        <w:t>5</w:t>
      </w:r>
      <w:r>
        <w:rPr>
          <w:rFonts w:hAnsi="宋体"/>
          <w:lang w:eastAsia="zh-CN"/>
        </w:rPr>
        <w:t xml:space="preserve"> 年</w:t>
      </w:r>
      <w:r>
        <w:rPr>
          <w:rFonts w:hint="eastAsia" w:hAnsi="宋体"/>
          <w:lang w:val="en-US" w:eastAsia="zh-CN"/>
        </w:rPr>
        <w:t>7</w:t>
      </w:r>
      <w:r>
        <w:rPr>
          <w:rFonts w:hAnsi="宋体"/>
          <w:lang w:eastAsia="zh-CN"/>
        </w:rPr>
        <w:t>月      日</w:t>
      </w:r>
    </w:p>
    <w:p w14:paraId="6FCD1384">
      <w:pPr>
        <w:tabs>
          <w:tab w:val="left" w:pos="420"/>
        </w:tabs>
        <w:rPr>
          <w:sz w:val="24"/>
          <w:szCs w:val="24"/>
          <w:lang w:eastAsia="zh-CN"/>
        </w:rPr>
      </w:pPr>
    </w:p>
    <w:p w14:paraId="2972ACFC">
      <w:pPr>
        <w:pStyle w:val="54"/>
      </w:pPr>
    </w:p>
    <w:p w14:paraId="2F63071B">
      <w:pPr>
        <w:pStyle w:val="54"/>
      </w:pPr>
    </w:p>
    <w:p w14:paraId="05145C32">
      <w:pPr>
        <w:pStyle w:val="54"/>
      </w:pPr>
    </w:p>
    <w:p w14:paraId="7921A548">
      <w:pPr>
        <w:pStyle w:val="54"/>
      </w:pPr>
    </w:p>
    <w:p w14:paraId="1ACEA110">
      <w:pPr>
        <w:pStyle w:val="54"/>
      </w:pPr>
    </w:p>
    <w:p w14:paraId="7EA40A12">
      <w:pPr>
        <w:adjustRightInd w:val="0"/>
        <w:snapToGrid w:val="0"/>
        <w:spacing w:before="156" w:beforeLines="50" w:after="156" w:afterLines="50" w:line="360" w:lineRule="auto"/>
        <w:jc w:val="center"/>
        <w:rPr>
          <w:rFonts w:hint="eastAsia"/>
          <w:b/>
          <w:bCs/>
          <w:sz w:val="24"/>
          <w:szCs w:val="24"/>
          <w:lang w:eastAsia="zh-CN"/>
        </w:rPr>
      </w:pPr>
      <w:r>
        <w:rPr>
          <w:b/>
          <w:bCs/>
          <w:sz w:val="24"/>
          <w:szCs w:val="24"/>
          <w:lang w:eastAsia="zh-CN"/>
        </w:rPr>
        <w:t>附件</w:t>
      </w:r>
      <w:r>
        <w:rPr>
          <w:rFonts w:hint="eastAsia"/>
          <w:b/>
          <w:bCs/>
          <w:sz w:val="24"/>
          <w:szCs w:val="24"/>
          <w:lang w:eastAsia="zh-CN"/>
        </w:rPr>
        <w:t>：福建福海创石油化工有限公司原料适应性技改项目阶段性职业病危害控制效果评价及职业病防护设施竣工验收</w:t>
      </w:r>
      <w:r>
        <w:rPr>
          <w:rFonts w:hint="eastAsia"/>
          <w:b/>
          <w:bCs/>
          <w:sz w:val="24"/>
          <w:szCs w:val="24"/>
          <w:lang w:val="en-US" w:eastAsia="zh-CN"/>
        </w:rPr>
        <w:t>发包</w:t>
      </w:r>
      <w:r>
        <w:rPr>
          <w:rFonts w:hint="eastAsia"/>
          <w:b/>
          <w:bCs/>
          <w:sz w:val="24"/>
          <w:szCs w:val="24"/>
          <w:lang w:eastAsia="zh-CN"/>
        </w:rPr>
        <w:t>说明</w:t>
      </w:r>
    </w:p>
    <w:p w14:paraId="215A9086">
      <w:pPr>
        <w:spacing w:line="360" w:lineRule="auto"/>
        <w:rPr>
          <w:sz w:val="24"/>
          <w:szCs w:val="24"/>
          <w:lang w:eastAsia="zh-CN"/>
        </w:rPr>
      </w:pPr>
    </w:p>
    <w:p w14:paraId="58C1B50B">
      <w:pPr>
        <w:spacing w:line="360" w:lineRule="auto"/>
        <w:rPr>
          <w:rFonts w:hint="eastAsia" w:ascii="宋体" w:hAnsi="宋体" w:eastAsia="宋体" w:cs="宋体"/>
          <w:b/>
          <w:sz w:val="24"/>
          <w:szCs w:val="24"/>
        </w:rPr>
      </w:pPr>
      <w:r>
        <w:rPr>
          <w:rFonts w:hint="eastAsia" w:ascii="宋体" w:hAnsi="宋体" w:eastAsia="宋体" w:cs="宋体"/>
          <w:b/>
          <w:sz w:val="24"/>
          <w:szCs w:val="24"/>
        </w:rPr>
        <w:t>一、招标内容</w:t>
      </w:r>
    </w:p>
    <w:p w14:paraId="46D2BD5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福建福海创石油化工有限公司原料适应性技改项目沸腾床加氢装置、新建硫磺回收装置以及相关公用工程职业病危害控制效果评价及职业病防护设施竣工验收。</w:t>
      </w:r>
    </w:p>
    <w:p w14:paraId="1F87A053">
      <w:pPr>
        <w:numPr>
          <w:ilvl w:val="0"/>
          <w:numId w:val="8"/>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法律依据</w:t>
      </w:r>
    </w:p>
    <w:p w14:paraId="6D2B27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《中华人民共和国职业病防治法》</w:t>
      </w:r>
    </w:p>
    <w:p w14:paraId="6AAB5B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《工作场所职业卫生管理规定》卫健委第5号</w:t>
      </w:r>
    </w:p>
    <w:p w14:paraId="53E808D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《使用有毒物品作业场所劳动保护条例》国务院令第797号</w:t>
      </w:r>
    </w:p>
    <w:p w14:paraId="415562A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《建设项目职业病防护设施“三同时”监督管理办法》原安监总局90号</w:t>
      </w:r>
    </w:p>
    <w:p w14:paraId="3CA9E14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《建设项目职业病危害控制效果评价报告编制要求》(ZW-JB-2014-003)</w:t>
      </w:r>
    </w:p>
    <w:p w14:paraId="42310A1F">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《建设项目职业病危害控制效果评价技术导则》(GBZ/T 197-2007)</w:t>
      </w:r>
    </w:p>
    <w:p w14:paraId="3B2F94B1">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《职业卫生技术服务机构管理办法》2023年修改</w:t>
      </w:r>
    </w:p>
    <w:p w14:paraId="22D2939E">
      <w:pPr>
        <w:numPr>
          <w:ilvl w:val="0"/>
          <w:numId w:val="8"/>
        </w:numPr>
        <w:spacing w:line="360" w:lineRule="auto"/>
        <w:ind w:left="0" w:leftChars="0" w:firstLine="0" w:firstLineChars="0"/>
        <w:rPr>
          <w:rFonts w:hint="eastAsia" w:ascii="宋体" w:hAnsi="宋体" w:eastAsia="宋体" w:cs="宋体"/>
          <w:b/>
          <w:sz w:val="24"/>
          <w:szCs w:val="24"/>
          <w:lang w:eastAsia="zh-CN"/>
        </w:rPr>
      </w:pPr>
      <w:r>
        <w:rPr>
          <w:rFonts w:hint="eastAsia" w:ascii="宋体" w:hAnsi="宋体" w:eastAsia="宋体" w:cs="宋体"/>
          <w:b/>
          <w:sz w:val="24"/>
          <w:szCs w:val="24"/>
          <w:lang w:eastAsia="zh-CN"/>
        </w:rPr>
        <w:t>工作范围</w:t>
      </w:r>
    </w:p>
    <w:p w14:paraId="6D51070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福建福海创石油化工有限公司原料适应性技改项目包括主体工程、储运工程、公用工程、相应配套设施及依托工程。本次阶段性验收范围为福海创：沸腾床加氢装置、新建储罐、循环水站、除盐水站及管廊等公用工程；腾龙芳烃：新建硫磺回收装置。以上装置分别以福海创和腾龙芳烃名义出具报告。</w:t>
      </w:r>
    </w:p>
    <w:p w14:paraId="05BD06E5">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w:t>
      </w:r>
      <w:r>
        <w:rPr>
          <w:rFonts w:hint="eastAsia" w:ascii="宋体" w:hAnsi="宋体" w:eastAsia="宋体" w:cs="宋体"/>
          <w:b/>
          <w:bCs/>
          <w:sz w:val="24"/>
          <w:szCs w:val="24"/>
          <w:lang w:val="en-US" w:eastAsia="zh-CN"/>
        </w:rPr>
        <w:t>发包</w:t>
      </w:r>
      <w:r>
        <w:rPr>
          <w:rFonts w:hint="eastAsia" w:ascii="宋体" w:hAnsi="宋体" w:eastAsia="宋体" w:cs="宋体"/>
          <w:b/>
          <w:sz w:val="24"/>
          <w:szCs w:val="24"/>
        </w:rPr>
        <w:t>要求</w:t>
      </w:r>
    </w:p>
    <w:p w14:paraId="55DC75F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（一）资质要求</w:t>
      </w:r>
    </w:p>
    <w:p w14:paraId="290BAAE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1、投标单位须为中华人民共和国境内依法注册的具有独立法人资格的企业。</w:t>
      </w:r>
    </w:p>
    <w:p w14:paraId="2C10D546">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2、投标单位须具备有效的职业卫生技术服务机构资质证书，业务范围包含：第一类：化工、石化。第二类：核技术工业应用。</w:t>
      </w:r>
    </w:p>
    <w:p w14:paraId="62713910">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3、投标单位需具有近5年已完成同等规模的职业病危害控制效果评价业绩，并提供相关业绩证明,须提供</w:t>
      </w:r>
      <w:r>
        <w:rPr>
          <w:rFonts w:hint="eastAsia" w:ascii="宋体" w:hAnsi="宋体" w:eastAsia="宋体" w:cs="宋体"/>
          <w:sz w:val="24"/>
          <w:szCs w:val="24"/>
        </w:rPr>
        <w:t>项目合同复印件、</w:t>
      </w:r>
      <w:r>
        <w:rPr>
          <w:rFonts w:hint="eastAsia" w:ascii="宋体" w:hAnsi="宋体" w:eastAsia="宋体" w:cs="宋体"/>
          <w:sz w:val="24"/>
          <w:szCs w:val="24"/>
          <w:lang w:eastAsia="zh-CN"/>
        </w:rPr>
        <w:t>评价</w:t>
      </w:r>
      <w:r>
        <w:rPr>
          <w:rFonts w:hint="eastAsia" w:ascii="宋体" w:hAnsi="宋体" w:eastAsia="宋体" w:cs="宋体"/>
          <w:sz w:val="24"/>
          <w:szCs w:val="24"/>
        </w:rPr>
        <w:t>报告（至少包含首页、签署页）</w:t>
      </w:r>
      <w:r>
        <w:rPr>
          <w:rFonts w:hint="eastAsia" w:ascii="宋体" w:hAnsi="宋体" w:eastAsia="宋体" w:cs="宋体"/>
          <w:sz w:val="24"/>
          <w:szCs w:val="24"/>
          <w:lang w:eastAsia="zh-CN"/>
        </w:rPr>
        <w:t>等</w:t>
      </w:r>
      <w:r>
        <w:rPr>
          <w:rFonts w:hint="eastAsia" w:ascii="宋体" w:hAnsi="宋体" w:eastAsia="宋体" w:cs="宋体"/>
          <w:sz w:val="24"/>
          <w:szCs w:val="24"/>
        </w:rPr>
        <w:t>证明材料</w:t>
      </w:r>
      <w:r>
        <w:rPr>
          <w:rFonts w:hint="eastAsia" w:ascii="宋体" w:hAnsi="宋体" w:eastAsia="宋体" w:cs="宋体"/>
          <w:sz w:val="24"/>
          <w:szCs w:val="24"/>
          <w:lang w:eastAsia="zh-CN"/>
        </w:rPr>
        <w:t>。</w:t>
      </w:r>
    </w:p>
    <w:p w14:paraId="5F93833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4、投标单位须具有相应的检测能力并提供检测资质证明材料。</w:t>
      </w:r>
    </w:p>
    <w:p w14:paraId="681A7CB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i w:val="0"/>
          <w:iCs w:val="0"/>
          <w:caps w:val="0"/>
          <w:color w:val="000000"/>
          <w:spacing w:val="0"/>
          <w:kern w:val="0"/>
          <w:sz w:val="24"/>
          <w:szCs w:val="24"/>
          <w:shd w:val="clear" w:fill="FFFFFF"/>
          <w:lang w:val="en-US" w:eastAsia="zh-CN" w:bidi="ar"/>
        </w:rPr>
        <w:t>处于被责令停业或投标资格被取消或财产被接管、冻结、查封、破产等权利受限导致不能正常履约状态的投标人，不得参加投标。</w:t>
      </w:r>
    </w:p>
    <w:p w14:paraId="118E289D">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6、以上条款均为否决项，不满足其中任何一项，投标将被拒绝。</w:t>
      </w:r>
    </w:p>
    <w:p w14:paraId="487AF095">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（二）技术要求</w:t>
      </w:r>
    </w:p>
    <w:p w14:paraId="6041CB95">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1、投标单位须准确掌握职业病危害评价、验收等国家相关法律法规要求，涉及到现场调查的需按法律法规要求开展。</w:t>
      </w:r>
    </w:p>
    <w:p w14:paraId="66836B88">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2、投标单位须成立评价工作组，对我司进行资料审查、现场调查、编制检测方案，开展现场检测，形成评价报告，召开专家评审会议，形成评审意见，并按专家意见进行修改。</w:t>
      </w:r>
    </w:p>
    <w:p w14:paraId="4EF835F0">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3、投标单位需按法律法规要求开展工作，检测点位需包括所有工作场所、覆盖所有工种，不得漏项漏点。检测前需编制检测方案，经我司审核通过后方可开展现场检测工作。</w:t>
      </w:r>
      <w:r>
        <w:rPr>
          <w:rFonts w:hint="eastAsia" w:ascii="宋体" w:hAnsi="宋体" w:eastAsia="宋体" w:cs="宋体"/>
          <w:sz w:val="24"/>
          <w:szCs w:val="24"/>
        </w:rPr>
        <w:t>现场检测设备需为防爆设备</w:t>
      </w:r>
      <w:r>
        <w:rPr>
          <w:rFonts w:hint="eastAsia" w:ascii="宋体" w:hAnsi="宋体" w:eastAsia="宋体" w:cs="宋体"/>
          <w:sz w:val="24"/>
          <w:szCs w:val="24"/>
          <w:lang w:eastAsia="zh-CN"/>
        </w:rPr>
        <w:t>。</w:t>
      </w:r>
    </w:p>
    <w:p w14:paraId="23DB3014">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4、投标单位负责组织召开专家评审会，评审期间，涉及的参会人员交通费、住宿费、伙食费、会议费、专家费等所有费用由投标单位负责。</w:t>
      </w:r>
    </w:p>
    <w:p w14:paraId="331F8687">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color w:val="000000"/>
          <w:sz w:val="24"/>
          <w:szCs w:val="24"/>
        </w:rPr>
        <w:t>需</w:t>
      </w:r>
      <w:r>
        <w:rPr>
          <w:rFonts w:hint="eastAsia" w:ascii="宋体" w:hAnsi="宋体" w:eastAsia="宋体" w:cs="宋体"/>
          <w:color w:val="000000"/>
          <w:sz w:val="24"/>
          <w:szCs w:val="24"/>
          <w:lang w:eastAsia="zh-CN"/>
        </w:rPr>
        <w:t>按项目</w:t>
      </w:r>
      <w:r>
        <w:rPr>
          <w:rFonts w:hint="eastAsia" w:ascii="宋体" w:hAnsi="宋体" w:eastAsia="宋体" w:cs="宋体"/>
          <w:color w:val="000000"/>
          <w:sz w:val="24"/>
          <w:szCs w:val="24"/>
        </w:rPr>
        <w:t>出具对应的</w:t>
      </w:r>
      <w:r>
        <w:rPr>
          <w:rFonts w:hint="eastAsia" w:ascii="宋体" w:hAnsi="宋体" w:eastAsia="宋体" w:cs="宋体"/>
          <w:sz w:val="24"/>
          <w:szCs w:val="24"/>
          <w:lang w:val="en-US" w:eastAsia="zh-CN"/>
        </w:rPr>
        <w:t>评价</w:t>
      </w:r>
      <w:r>
        <w:rPr>
          <w:rFonts w:hint="eastAsia" w:ascii="宋体" w:hAnsi="宋体" w:eastAsia="宋体" w:cs="宋体"/>
          <w:sz w:val="24"/>
          <w:szCs w:val="24"/>
        </w:rPr>
        <w:t>报告 (装订成册)</w:t>
      </w:r>
      <w:r>
        <w:rPr>
          <w:rFonts w:hint="eastAsia" w:ascii="宋体" w:hAnsi="宋体" w:cs="宋体"/>
          <w:sz w:val="24"/>
          <w:szCs w:val="24"/>
          <w:lang w:val="en-US" w:eastAsia="zh-CN"/>
        </w:rPr>
        <w:t>10</w:t>
      </w:r>
      <w:r>
        <w:rPr>
          <w:rFonts w:hint="eastAsia" w:ascii="宋体" w:hAnsi="宋体" w:eastAsia="宋体" w:cs="宋体"/>
          <w:sz w:val="24"/>
          <w:szCs w:val="24"/>
        </w:rPr>
        <w:t>份，电子档</w:t>
      </w:r>
      <w:r>
        <w:rPr>
          <w:rFonts w:hint="eastAsia" w:ascii="宋体" w:hAnsi="宋体" w:eastAsia="宋体" w:cs="宋体"/>
          <w:sz w:val="24"/>
          <w:szCs w:val="24"/>
          <w:lang w:val="en-US" w:eastAsia="zh-CN"/>
        </w:rPr>
        <w:t>PDF和word各</w:t>
      </w:r>
      <w:r>
        <w:rPr>
          <w:rFonts w:hint="eastAsia" w:ascii="宋体" w:hAnsi="宋体" w:eastAsia="宋体" w:cs="宋体"/>
          <w:sz w:val="24"/>
          <w:szCs w:val="24"/>
        </w:rPr>
        <w:t>1份。</w:t>
      </w:r>
    </w:p>
    <w:p w14:paraId="34C10569">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6、投标单位至我司现场开展工作时需规范着装，遵守我司相关管理制度，入厂检测人员需经三级教育培训取得入厂证后方可进厂检测（办证时需提供</w:t>
      </w:r>
      <w:r>
        <w:rPr>
          <w:rFonts w:hint="eastAsia" w:ascii="宋体" w:hAnsi="宋体" w:cs="宋体"/>
          <w:b w:val="0"/>
          <w:bCs w:val="0"/>
          <w:sz w:val="24"/>
          <w:szCs w:val="24"/>
          <w:lang w:val="en-US" w:eastAsia="zh-CN"/>
        </w:rPr>
        <w:t>工伤险或</w:t>
      </w:r>
      <w:r>
        <w:rPr>
          <w:rFonts w:hint="eastAsia" w:ascii="宋体" w:hAnsi="宋体" w:eastAsia="宋体" w:cs="宋体"/>
          <w:b w:val="0"/>
          <w:bCs w:val="0"/>
          <w:sz w:val="24"/>
          <w:szCs w:val="24"/>
          <w:lang w:val="en-US" w:eastAsia="zh-CN"/>
        </w:rPr>
        <w:t>施工意外伤害保险责任额度不低于100万/人）。检测人员的交通费、住宿费、伙食费、劳动保护（安全帽、安全鞋、工作服）、辅助材料等费用均由投标单位承担。</w:t>
      </w:r>
    </w:p>
    <w:p w14:paraId="173425C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kern w:val="0"/>
          <w:sz w:val="24"/>
          <w:szCs w:val="24"/>
        </w:rPr>
        <w:t>由业主提供给的文件、资料和数据，</w:t>
      </w:r>
      <w:r>
        <w:rPr>
          <w:rFonts w:hint="eastAsia" w:ascii="宋体" w:hAnsi="宋体" w:eastAsia="宋体" w:cs="宋体"/>
          <w:b w:val="0"/>
          <w:bCs w:val="0"/>
          <w:sz w:val="24"/>
          <w:szCs w:val="24"/>
          <w:lang w:val="en-US" w:eastAsia="zh-CN"/>
        </w:rPr>
        <w:t>投标单位</w:t>
      </w:r>
      <w:r>
        <w:rPr>
          <w:rFonts w:hint="eastAsia" w:ascii="宋体" w:hAnsi="宋体" w:eastAsia="宋体" w:cs="宋体"/>
          <w:kern w:val="0"/>
          <w:sz w:val="24"/>
          <w:szCs w:val="24"/>
        </w:rPr>
        <w:t>应当承担保密义务，未经业主同意，不得以任何形式向第三方透露。</w:t>
      </w:r>
    </w:p>
    <w:p w14:paraId="6F934E13">
      <w:pPr>
        <w:pStyle w:val="205"/>
        <w:spacing w:before="0" w:after="0" w:line="353" w:lineRule="exact"/>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（三）工期要求</w:t>
      </w:r>
    </w:p>
    <w:p w14:paraId="6B80FB9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由业主通知项目开始启动后</w:t>
      </w:r>
      <w:r>
        <w:rPr>
          <w:rFonts w:hint="eastAsia" w:ascii="宋体" w:hAnsi="宋体" w:eastAsia="宋体" w:cs="宋体"/>
          <w:color w:val="000000"/>
          <w:sz w:val="24"/>
          <w:szCs w:val="24"/>
          <w:lang w:val="en-US" w:eastAsia="zh-CN"/>
        </w:rPr>
        <w:t>3个月内出具评价报告初稿，4个月内完成验收</w:t>
      </w:r>
      <w:r>
        <w:rPr>
          <w:rFonts w:hint="eastAsia" w:ascii="宋体" w:hAnsi="宋体" w:eastAsia="宋体" w:cs="宋体"/>
          <w:color w:val="000000"/>
          <w:sz w:val="24"/>
          <w:szCs w:val="24"/>
        </w:rPr>
        <w:t>。</w:t>
      </w:r>
    </w:p>
    <w:p w14:paraId="454D6BB0">
      <w:pPr>
        <w:spacing w:line="360" w:lineRule="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（四）项目验收说明</w:t>
      </w:r>
    </w:p>
    <w:p w14:paraId="5889F0A3">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技术工作验收标准：编制的报告、职业病防护设施通过专家评审视为合格。</w:t>
      </w:r>
    </w:p>
    <w:p w14:paraId="172AA787">
      <w:pPr>
        <w:numPr>
          <w:ilvl w:val="0"/>
          <w:numId w:val="0"/>
        </w:numPr>
        <w:autoSpaceDE w:val="0"/>
        <w:autoSpaceDN w:val="0"/>
        <w:adjustRightInd w:val="0"/>
        <w:spacing w:line="360" w:lineRule="auto"/>
        <w:ind w:leftChars="0"/>
        <w:jc w:val="left"/>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五、</w:t>
      </w:r>
      <w:r>
        <w:rPr>
          <w:rFonts w:hint="eastAsia" w:ascii="宋体" w:hAnsi="宋体" w:eastAsia="宋体" w:cs="宋体"/>
          <w:b/>
          <w:bCs/>
          <w:kern w:val="0"/>
          <w:sz w:val="24"/>
          <w:szCs w:val="24"/>
          <w:lang w:val="en-US" w:eastAsia="zh-CN"/>
        </w:rPr>
        <w:t>报价要求</w:t>
      </w:r>
    </w:p>
    <w:p w14:paraId="5141B29B">
      <w:pPr>
        <w:numPr>
          <w:ilvl w:val="0"/>
          <w:numId w:val="0"/>
        </w:numPr>
        <w:autoSpaceDE w:val="0"/>
        <w:autoSpaceDN w:val="0"/>
        <w:adjustRightInd w:val="0"/>
        <w:spacing w:line="360" w:lineRule="auto"/>
        <w:ind w:lef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按项目进行报价。</w:t>
      </w:r>
    </w:p>
    <w:tbl>
      <w:tblPr>
        <w:tblStyle w:val="46"/>
        <w:tblW w:w="7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6695"/>
      </w:tblGrid>
      <w:tr w14:paraId="6DE8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0CBFC0D9">
            <w:pPr>
              <w:spacing w:line="360" w:lineRule="auto"/>
              <w:jc w:val="center"/>
              <w:rPr>
                <w:rFonts w:hint="eastAsia" w:ascii="宋体" w:hAnsi="宋体" w:eastAsia="宋体" w:cs="宋体"/>
                <w:b/>
                <w:bCs w:val="0"/>
                <w:color w:val="000000"/>
                <w:sz w:val="24"/>
                <w:szCs w:val="24"/>
                <w:vertAlign w:val="baseline"/>
                <w:lang w:eastAsia="zh-CN"/>
              </w:rPr>
            </w:pPr>
            <w:r>
              <w:rPr>
                <w:rFonts w:hint="eastAsia" w:ascii="宋体" w:hAnsi="宋体" w:eastAsia="宋体" w:cs="宋体"/>
                <w:b/>
                <w:bCs w:val="0"/>
                <w:color w:val="000000"/>
                <w:sz w:val="24"/>
                <w:szCs w:val="24"/>
                <w:vertAlign w:val="baseline"/>
                <w:lang w:eastAsia="zh-CN"/>
              </w:rPr>
              <w:t>序号</w:t>
            </w:r>
          </w:p>
        </w:tc>
        <w:tc>
          <w:tcPr>
            <w:tcW w:w="6695" w:type="dxa"/>
          </w:tcPr>
          <w:p w14:paraId="54CAEF75">
            <w:pPr>
              <w:spacing w:line="360" w:lineRule="auto"/>
              <w:jc w:val="center"/>
              <w:rPr>
                <w:rFonts w:hint="eastAsia" w:ascii="宋体" w:hAnsi="宋体" w:eastAsia="宋体" w:cs="宋体"/>
                <w:b/>
                <w:bCs w:val="0"/>
                <w:color w:val="000000"/>
                <w:sz w:val="24"/>
                <w:szCs w:val="24"/>
                <w:vertAlign w:val="baseline"/>
                <w:lang w:eastAsia="zh-CN"/>
              </w:rPr>
            </w:pPr>
            <w:r>
              <w:rPr>
                <w:rFonts w:hint="eastAsia" w:ascii="宋体" w:hAnsi="宋体" w:eastAsia="宋体" w:cs="宋体"/>
                <w:b/>
                <w:bCs w:val="0"/>
                <w:color w:val="000000"/>
                <w:sz w:val="24"/>
                <w:szCs w:val="24"/>
                <w:vertAlign w:val="baseline"/>
                <w:lang w:eastAsia="zh-CN"/>
              </w:rPr>
              <w:t>项目</w:t>
            </w:r>
          </w:p>
        </w:tc>
      </w:tr>
      <w:tr w14:paraId="1957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3F19490C">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6695" w:type="dxa"/>
          </w:tcPr>
          <w:p w14:paraId="5ED32592">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福海创沸腾床加氢装置</w:t>
            </w:r>
          </w:p>
        </w:tc>
      </w:tr>
      <w:tr w14:paraId="4BA1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44515DF6">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6695" w:type="dxa"/>
          </w:tcPr>
          <w:p w14:paraId="6AF5BDE6">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福海创公用工程（新建储罐、循环水站、除盐水站及管廊等）</w:t>
            </w:r>
          </w:p>
        </w:tc>
      </w:tr>
      <w:tr w14:paraId="53F7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tcPr>
          <w:p w14:paraId="75301ECD">
            <w:pPr>
              <w:spacing w:line="360" w:lineRule="auto"/>
              <w:jc w:val="center"/>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6695" w:type="dxa"/>
          </w:tcPr>
          <w:p w14:paraId="5A60A9E6">
            <w:pPr>
              <w:spacing w:line="360" w:lineRule="auto"/>
              <w:jc w:val="center"/>
              <w:rPr>
                <w:rFonts w:hint="eastAsia" w:ascii="宋体" w:hAnsi="宋体" w:eastAsia="宋体" w:cs="宋体"/>
                <w:b w:val="0"/>
                <w:bCs/>
                <w:color w:val="000000"/>
                <w:sz w:val="24"/>
                <w:szCs w:val="24"/>
                <w:vertAlign w:val="baseline"/>
              </w:rPr>
            </w:pPr>
            <w:r>
              <w:rPr>
                <w:rFonts w:hint="eastAsia" w:ascii="宋体" w:hAnsi="宋体" w:eastAsia="宋体" w:cs="宋体"/>
                <w:b w:val="0"/>
                <w:bCs w:val="0"/>
                <w:sz w:val="24"/>
                <w:szCs w:val="24"/>
                <w:lang w:val="en-US" w:eastAsia="zh-CN"/>
              </w:rPr>
              <w:t>腾龙芳烃新建硫磺回收装置</w:t>
            </w:r>
          </w:p>
        </w:tc>
      </w:tr>
    </w:tbl>
    <w:p w14:paraId="658D82D3">
      <w:pPr>
        <w:pStyle w:val="54"/>
      </w:pPr>
    </w:p>
    <w:p w14:paraId="4E332E65">
      <w:pPr>
        <w:pStyle w:val="54"/>
        <w:rPr>
          <w:rFonts w:hint="eastAsia"/>
          <w:b/>
          <w:bCs/>
          <w:sz w:val="24"/>
          <w:szCs w:val="24"/>
        </w:rPr>
      </w:pPr>
    </w:p>
    <w:p w14:paraId="42CFC663">
      <w:pPr>
        <w:pStyle w:val="54"/>
        <w:rPr>
          <w:b/>
          <w:bCs/>
          <w:sz w:val="24"/>
          <w:szCs w:val="24"/>
        </w:rPr>
      </w:pPr>
      <w:r>
        <w:rPr>
          <w:rFonts w:hint="eastAsia"/>
          <w:b/>
          <w:bCs/>
          <w:sz w:val="24"/>
          <w:szCs w:val="24"/>
        </w:rPr>
        <w:t>附件二、参比文件范本</w:t>
      </w:r>
    </w:p>
    <w:p w14:paraId="37FA9111">
      <w:pPr>
        <w:pStyle w:val="24"/>
        <w:jc w:val="center"/>
        <w:rPr>
          <w:rFonts w:ascii="Times New Roman" w:hAnsi="Times New Roman"/>
          <w:b/>
          <w:sz w:val="52"/>
          <w:szCs w:val="52"/>
          <w:lang w:eastAsia="zh-CN"/>
        </w:rPr>
      </w:pPr>
    </w:p>
    <w:p w14:paraId="229C0F7F">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4"/>
        <w:spacing w:line="615" w:lineRule="exact"/>
        <w:jc w:val="center"/>
        <w:rPr>
          <w:rFonts w:ascii="方正小标宋简体" w:hAnsi="方正小标宋简体" w:eastAsia="方正小标宋简体" w:cs="方正小标宋简体"/>
          <w:b/>
          <w:sz w:val="44"/>
          <w:szCs w:val="44"/>
          <w:lang w:eastAsia="zh-CN"/>
        </w:rPr>
      </w:pPr>
    </w:p>
    <w:p w14:paraId="4177FE27">
      <w:pPr>
        <w:pStyle w:val="24"/>
        <w:spacing w:line="615" w:lineRule="exact"/>
        <w:jc w:val="center"/>
        <w:rPr>
          <w:rFonts w:ascii="方正小标宋简体" w:hAnsi="方正小标宋简体" w:eastAsia="方正小标宋简体" w:cs="方正小标宋简体"/>
          <w:b/>
          <w:sz w:val="44"/>
          <w:szCs w:val="44"/>
          <w:lang w:eastAsia="zh-CN"/>
        </w:rPr>
      </w:pPr>
    </w:p>
    <w:p w14:paraId="335E0126">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原料适应性技改项目阶段性职业病危害控制效果评价及职业病防护设施竣工验收</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4"/>
      </w:pPr>
    </w:p>
    <w:p w14:paraId="54C8DC60">
      <w:pPr>
        <w:pStyle w:val="24"/>
        <w:rPr>
          <w:rFonts w:ascii="Times New Roman" w:hAnsi="Times New Roman"/>
          <w:lang w:eastAsia="zh-CN"/>
        </w:rPr>
      </w:pPr>
    </w:p>
    <w:p w14:paraId="38BB3959">
      <w:pPr>
        <w:pStyle w:val="24"/>
        <w:rPr>
          <w:rFonts w:ascii="Times New Roman" w:hAnsi="Times New Roman"/>
          <w:lang w:eastAsia="zh-CN"/>
        </w:rPr>
      </w:pPr>
    </w:p>
    <w:p w14:paraId="0193E972">
      <w:pPr>
        <w:pStyle w:val="24"/>
        <w:rPr>
          <w:rFonts w:ascii="Times New Roman" w:hAnsi="Times New Roman"/>
          <w:lang w:eastAsia="zh-CN"/>
        </w:rPr>
      </w:pPr>
    </w:p>
    <w:p w14:paraId="226F7349">
      <w:pPr>
        <w:pStyle w:val="24"/>
        <w:rPr>
          <w:rFonts w:ascii="Times New Roman" w:hAnsi="Times New Roman"/>
          <w:lang w:eastAsia="zh-CN"/>
        </w:rPr>
      </w:pPr>
    </w:p>
    <w:p w14:paraId="28A68C31">
      <w:pPr>
        <w:pStyle w:val="24"/>
        <w:rPr>
          <w:rFonts w:ascii="Times New Roman" w:hAnsi="Times New Roman"/>
          <w:lang w:eastAsia="zh-CN"/>
        </w:rPr>
      </w:pPr>
    </w:p>
    <w:p w14:paraId="185CFC85">
      <w:pPr>
        <w:pStyle w:val="24"/>
        <w:rPr>
          <w:rFonts w:ascii="Times New Roman" w:hAnsi="Times New Roman"/>
          <w:b/>
          <w:bCs/>
          <w:sz w:val="32"/>
          <w:szCs w:val="32"/>
          <w:lang w:eastAsia="zh-CN"/>
        </w:rPr>
      </w:pPr>
    </w:p>
    <w:p w14:paraId="42504BCD">
      <w:pPr>
        <w:pStyle w:val="24"/>
        <w:rPr>
          <w:rFonts w:ascii="Times New Roman" w:hAnsi="Times New Roman"/>
          <w:b/>
          <w:bCs/>
          <w:sz w:val="32"/>
          <w:szCs w:val="32"/>
          <w:lang w:eastAsia="zh-CN"/>
        </w:rPr>
      </w:pPr>
    </w:p>
    <w:p w14:paraId="1D78D2A0">
      <w:pPr>
        <w:pStyle w:val="24"/>
        <w:rPr>
          <w:rFonts w:ascii="Times New Roman" w:hAnsi="Times New Roman"/>
          <w:b/>
          <w:bCs/>
          <w:sz w:val="32"/>
          <w:szCs w:val="32"/>
          <w:lang w:eastAsia="zh-CN"/>
        </w:rPr>
      </w:pPr>
    </w:p>
    <w:p w14:paraId="3F350982">
      <w:pPr>
        <w:pStyle w:val="24"/>
        <w:rPr>
          <w:rFonts w:ascii="Times New Roman" w:hAnsi="Times New Roman"/>
          <w:b/>
          <w:bCs/>
          <w:sz w:val="32"/>
          <w:szCs w:val="36"/>
          <w:lang w:eastAsia="zh-CN"/>
        </w:rPr>
      </w:pPr>
    </w:p>
    <w:p w14:paraId="70BAA1B5">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14:paraId="53D34211">
      <w:pPr>
        <w:rPr>
          <w:lang w:eastAsia="zh-CN"/>
        </w:rPr>
      </w:pPr>
    </w:p>
    <w:p w14:paraId="6A9A7A9D">
      <w:pPr>
        <w:pStyle w:val="54"/>
      </w:pPr>
    </w:p>
    <w:p w14:paraId="435EBD37">
      <w:pPr>
        <w:pStyle w:val="54"/>
      </w:pPr>
    </w:p>
    <w:p w14:paraId="248DBB34">
      <w:pPr>
        <w:pStyle w:val="54"/>
      </w:pPr>
    </w:p>
    <w:p w14:paraId="6C5373A8">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5888F5F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4F1CC3DE">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DEB4517">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75C66B0E">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5805E0E9">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49228FA">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263AF2F6">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3E878FD3">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71A55DED">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1D92FD5B">
      <w:pPr>
        <w:rPr>
          <w:szCs w:val="21"/>
          <w:lang w:eastAsia="zh-CN"/>
        </w:rPr>
      </w:pPr>
    </w:p>
    <w:p w14:paraId="2B0E6081">
      <w:pPr>
        <w:rPr>
          <w:szCs w:val="21"/>
          <w:lang w:eastAsia="zh-CN"/>
        </w:rPr>
      </w:pPr>
    </w:p>
    <w:p w14:paraId="61990389">
      <w:pPr>
        <w:rPr>
          <w:szCs w:val="21"/>
          <w:lang w:eastAsia="zh-CN"/>
        </w:rPr>
      </w:pPr>
    </w:p>
    <w:p w14:paraId="46299455">
      <w:pPr>
        <w:rPr>
          <w:szCs w:val="21"/>
          <w:lang w:eastAsia="zh-CN"/>
        </w:rPr>
      </w:pPr>
    </w:p>
    <w:p w14:paraId="442C5A7E">
      <w:pPr>
        <w:rPr>
          <w:szCs w:val="21"/>
          <w:lang w:eastAsia="zh-CN"/>
        </w:rPr>
      </w:pPr>
    </w:p>
    <w:p w14:paraId="749876E7">
      <w:pPr>
        <w:rPr>
          <w:szCs w:val="21"/>
          <w:lang w:eastAsia="zh-CN"/>
        </w:rPr>
      </w:pPr>
    </w:p>
    <w:p w14:paraId="181661AC">
      <w:pPr>
        <w:rPr>
          <w:szCs w:val="21"/>
          <w:lang w:eastAsia="zh-CN"/>
        </w:rPr>
      </w:pPr>
    </w:p>
    <w:p w14:paraId="2DADD0BD">
      <w:pPr>
        <w:pStyle w:val="72"/>
        <w:spacing w:beforeLines="0" w:afterLines="0" w:line="240" w:lineRule="auto"/>
        <w:ind w:firstLine="618" w:firstLineChars="221"/>
        <w:rPr>
          <w:rFonts w:cs="Times New Roman"/>
          <w:bCs w:val="0"/>
          <w:color w:val="C00000"/>
          <w:lang w:eastAsia="zh-CN"/>
        </w:rPr>
      </w:pPr>
    </w:p>
    <w:p w14:paraId="002DA08E">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71751C68">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34CFC429">
      <w:pPr>
        <w:rPr>
          <w:szCs w:val="21"/>
          <w:lang w:eastAsia="zh-CN"/>
        </w:rPr>
      </w:pPr>
    </w:p>
    <w:p w14:paraId="21A51CDB">
      <w:pPr>
        <w:pStyle w:val="54"/>
      </w:pPr>
    </w:p>
    <w:p w14:paraId="5650CDBB">
      <w:pPr>
        <w:pStyle w:val="54"/>
      </w:pPr>
    </w:p>
    <w:p w14:paraId="74F16668">
      <w:pPr>
        <w:pStyle w:val="54"/>
      </w:pPr>
    </w:p>
    <w:p w14:paraId="521D1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37CB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1B6CA10">
            <w:pPr>
              <w:spacing w:line="500" w:lineRule="exact"/>
              <w:jc w:val="center"/>
              <w:rPr>
                <w:b/>
                <w:bCs/>
                <w:sz w:val="24"/>
              </w:rPr>
            </w:pPr>
            <w:r>
              <w:rPr>
                <w:rFonts w:hint="eastAsia"/>
                <w:b/>
                <w:bCs/>
                <w:sz w:val="24"/>
              </w:rPr>
              <w:t>序号</w:t>
            </w:r>
          </w:p>
        </w:tc>
        <w:tc>
          <w:tcPr>
            <w:tcW w:w="6023" w:type="dxa"/>
          </w:tcPr>
          <w:p w14:paraId="1C72997D">
            <w:pPr>
              <w:spacing w:line="500" w:lineRule="exact"/>
              <w:jc w:val="center"/>
              <w:rPr>
                <w:b/>
                <w:bCs/>
                <w:sz w:val="24"/>
              </w:rPr>
            </w:pPr>
            <w:r>
              <w:rPr>
                <w:rFonts w:hint="eastAsia"/>
                <w:b/>
                <w:bCs/>
                <w:sz w:val="24"/>
              </w:rPr>
              <w:t>内容</w:t>
            </w:r>
          </w:p>
        </w:tc>
        <w:tc>
          <w:tcPr>
            <w:tcW w:w="1843" w:type="dxa"/>
          </w:tcPr>
          <w:p w14:paraId="7377036F">
            <w:pPr>
              <w:spacing w:line="500" w:lineRule="exact"/>
              <w:jc w:val="center"/>
              <w:rPr>
                <w:b/>
                <w:bCs/>
                <w:sz w:val="24"/>
              </w:rPr>
            </w:pPr>
            <w:r>
              <w:rPr>
                <w:rFonts w:hint="eastAsia"/>
                <w:b/>
                <w:bCs/>
                <w:sz w:val="24"/>
              </w:rPr>
              <w:t>页码</w:t>
            </w:r>
          </w:p>
        </w:tc>
      </w:tr>
      <w:tr w14:paraId="3E49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DBB5C3">
            <w:pPr>
              <w:spacing w:line="500" w:lineRule="exact"/>
              <w:jc w:val="center"/>
              <w:rPr>
                <w:sz w:val="24"/>
              </w:rPr>
            </w:pPr>
            <w:r>
              <w:rPr>
                <w:rFonts w:hint="eastAsia"/>
                <w:sz w:val="24"/>
              </w:rPr>
              <w:t>1</w:t>
            </w:r>
          </w:p>
        </w:tc>
        <w:tc>
          <w:tcPr>
            <w:tcW w:w="6023" w:type="dxa"/>
          </w:tcPr>
          <w:p w14:paraId="56D8C5D1">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pPr>
              <w:spacing w:line="500" w:lineRule="exact"/>
              <w:jc w:val="center"/>
              <w:rPr>
                <w:sz w:val="24"/>
              </w:rPr>
            </w:pPr>
          </w:p>
        </w:tc>
      </w:tr>
      <w:tr w14:paraId="0264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0D587D">
            <w:pPr>
              <w:spacing w:line="500" w:lineRule="exact"/>
              <w:jc w:val="center"/>
              <w:rPr>
                <w:sz w:val="24"/>
              </w:rPr>
            </w:pPr>
            <w:r>
              <w:rPr>
                <w:rFonts w:hint="eastAsia"/>
                <w:sz w:val="24"/>
              </w:rPr>
              <w:t>2</w:t>
            </w:r>
          </w:p>
        </w:tc>
        <w:tc>
          <w:tcPr>
            <w:tcW w:w="6023" w:type="dxa"/>
          </w:tcPr>
          <w:p w14:paraId="17087E7E">
            <w:pPr>
              <w:spacing w:line="500" w:lineRule="exact"/>
              <w:rPr>
                <w:sz w:val="24"/>
              </w:rPr>
            </w:pPr>
            <w:r>
              <w:rPr>
                <w:rFonts w:hint="eastAsia"/>
                <w:sz w:val="24"/>
              </w:rPr>
              <w:t>法定代表人授权书</w:t>
            </w:r>
          </w:p>
        </w:tc>
        <w:tc>
          <w:tcPr>
            <w:tcW w:w="1843" w:type="dxa"/>
          </w:tcPr>
          <w:p w14:paraId="3BE95B66">
            <w:pPr>
              <w:spacing w:line="500" w:lineRule="exact"/>
              <w:jc w:val="center"/>
              <w:rPr>
                <w:sz w:val="24"/>
              </w:rPr>
            </w:pPr>
          </w:p>
        </w:tc>
      </w:tr>
      <w:tr w14:paraId="0D27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9B845E7">
            <w:pPr>
              <w:spacing w:line="500" w:lineRule="exact"/>
              <w:jc w:val="center"/>
              <w:rPr>
                <w:sz w:val="24"/>
              </w:rPr>
            </w:pPr>
            <w:r>
              <w:rPr>
                <w:rFonts w:hint="eastAsia"/>
                <w:sz w:val="24"/>
              </w:rPr>
              <w:t>3</w:t>
            </w:r>
          </w:p>
        </w:tc>
        <w:tc>
          <w:tcPr>
            <w:tcW w:w="6023" w:type="dxa"/>
          </w:tcPr>
          <w:p w14:paraId="0D5EA443">
            <w:pPr>
              <w:spacing w:line="500" w:lineRule="exact"/>
              <w:rPr>
                <w:sz w:val="24"/>
                <w:lang w:eastAsia="zh-CN"/>
              </w:rPr>
            </w:pPr>
            <w:r>
              <w:rPr>
                <w:rFonts w:hint="eastAsia"/>
                <w:sz w:val="24"/>
                <w:lang w:eastAsia="zh-CN"/>
              </w:rPr>
              <w:t>法定代表人身份证复印件</w:t>
            </w:r>
          </w:p>
        </w:tc>
        <w:tc>
          <w:tcPr>
            <w:tcW w:w="1843" w:type="dxa"/>
          </w:tcPr>
          <w:p w14:paraId="02D053B1">
            <w:pPr>
              <w:spacing w:line="500" w:lineRule="exact"/>
              <w:jc w:val="center"/>
              <w:rPr>
                <w:sz w:val="24"/>
                <w:lang w:eastAsia="zh-CN"/>
              </w:rPr>
            </w:pPr>
          </w:p>
        </w:tc>
      </w:tr>
      <w:tr w14:paraId="63FE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C9B6E3E">
            <w:pPr>
              <w:spacing w:line="500" w:lineRule="exact"/>
              <w:jc w:val="center"/>
              <w:rPr>
                <w:sz w:val="24"/>
              </w:rPr>
            </w:pPr>
            <w:r>
              <w:rPr>
                <w:rFonts w:hint="eastAsia"/>
                <w:sz w:val="24"/>
              </w:rPr>
              <w:t>4</w:t>
            </w:r>
          </w:p>
        </w:tc>
        <w:tc>
          <w:tcPr>
            <w:tcW w:w="6023" w:type="dxa"/>
          </w:tcPr>
          <w:p w14:paraId="31E108BF">
            <w:pPr>
              <w:spacing w:line="500" w:lineRule="exact"/>
              <w:rPr>
                <w:sz w:val="24"/>
                <w:lang w:eastAsia="zh-CN"/>
              </w:rPr>
            </w:pPr>
            <w:r>
              <w:rPr>
                <w:rFonts w:hint="eastAsia"/>
                <w:sz w:val="24"/>
                <w:lang w:eastAsia="zh-CN"/>
              </w:rPr>
              <w:t>授权代表身份证复印件</w:t>
            </w:r>
          </w:p>
        </w:tc>
        <w:tc>
          <w:tcPr>
            <w:tcW w:w="1843" w:type="dxa"/>
          </w:tcPr>
          <w:p w14:paraId="211955D7">
            <w:pPr>
              <w:spacing w:line="500" w:lineRule="exact"/>
              <w:jc w:val="center"/>
              <w:rPr>
                <w:sz w:val="24"/>
                <w:lang w:eastAsia="zh-CN"/>
              </w:rPr>
            </w:pPr>
          </w:p>
        </w:tc>
      </w:tr>
      <w:tr w14:paraId="77F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0D608">
            <w:pPr>
              <w:spacing w:line="500" w:lineRule="exact"/>
              <w:jc w:val="center"/>
              <w:rPr>
                <w:sz w:val="24"/>
              </w:rPr>
            </w:pPr>
            <w:r>
              <w:rPr>
                <w:rFonts w:hint="eastAsia"/>
                <w:sz w:val="24"/>
              </w:rPr>
              <w:t>5</w:t>
            </w:r>
          </w:p>
        </w:tc>
        <w:tc>
          <w:tcPr>
            <w:tcW w:w="6023" w:type="dxa"/>
          </w:tcPr>
          <w:p w14:paraId="351FD2EA">
            <w:pPr>
              <w:spacing w:line="500" w:lineRule="exact"/>
              <w:rPr>
                <w:sz w:val="24"/>
                <w:lang w:eastAsia="zh-CN"/>
              </w:rPr>
            </w:pPr>
            <w:r>
              <w:rPr>
                <w:rFonts w:hint="eastAsia"/>
                <w:sz w:val="24"/>
                <w:szCs w:val="28"/>
                <w:lang w:eastAsia="zh-CN"/>
              </w:rPr>
              <w:t>企业概况</w:t>
            </w:r>
          </w:p>
        </w:tc>
        <w:tc>
          <w:tcPr>
            <w:tcW w:w="1843" w:type="dxa"/>
          </w:tcPr>
          <w:p w14:paraId="20EB24F7">
            <w:pPr>
              <w:spacing w:line="500" w:lineRule="exact"/>
              <w:jc w:val="center"/>
              <w:rPr>
                <w:sz w:val="24"/>
                <w:lang w:eastAsia="zh-CN"/>
              </w:rPr>
            </w:pPr>
          </w:p>
        </w:tc>
      </w:tr>
      <w:tr w14:paraId="1000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1C8F6F">
            <w:pPr>
              <w:spacing w:line="500" w:lineRule="exact"/>
              <w:jc w:val="center"/>
              <w:rPr>
                <w:sz w:val="24"/>
              </w:rPr>
            </w:pPr>
            <w:r>
              <w:rPr>
                <w:rFonts w:hint="eastAsia"/>
                <w:sz w:val="24"/>
              </w:rPr>
              <w:t>6</w:t>
            </w:r>
          </w:p>
        </w:tc>
        <w:tc>
          <w:tcPr>
            <w:tcW w:w="6023" w:type="dxa"/>
          </w:tcPr>
          <w:p w14:paraId="3BB760ED">
            <w:pPr>
              <w:spacing w:line="500" w:lineRule="exact"/>
              <w:rPr>
                <w:sz w:val="24"/>
              </w:rPr>
            </w:pPr>
            <w:r>
              <w:rPr>
                <w:rFonts w:hint="eastAsia"/>
                <w:sz w:val="24"/>
              </w:rPr>
              <w:t>营业执照复印件</w:t>
            </w:r>
          </w:p>
        </w:tc>
        <w:tc>
          <w:tcPr>
            <w:tcW w:w="1843" w:type="dxa"/>
          </w:tcPr>
          <w:p w14:paraId="050E4881">
            <w:pPr>
              <w:spacing w:line="500" w:lineRule="exact"/>
              <w:jc w:val="center"/>
              <w:rPr>
                <w:sz w:val="24"/>
              </w:rPr>
            </w:pPr>
          </w:p>
        </w:tc>
      </w:tr>
      <w:tr w14:paraId="6A7D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495B0E4">
            <w:pPr>
              <w:spacing w:line="500" w:lineRule="exact"/>
              <w:jc w:val="center"/>
              <w:rPr>
                <w:sz w:val="24"/>
              </w:rPr>
            </w:pPr>
            <w:r>
              <w:rPr>
                <w:rFonts w:hint="eastAsia"/>
                <w:sz w:val="24"/>
              </w:rPr>
              <w:t>7</w:t>
            </w:r>
          </w:p>
        </w:tc>
        <w:tc>
          <w:tcPr>
            <w:tcW w:w="6023" w:type="dxa"/>
          </w:tcPr>
          <w:p w14:paraId="2DB01DE1">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58770EBD">
            <w:pPr>
              <w:spacing w:line="500" w:lineRule="exact"/>
              <w:jc w:val="center"/>
              <w:rPr>
                <w:sz w:val="24"/>
              </w:rPr>
            </w:pPr>
          </w:p>
        </w:tc>
      </w:tr>
      <w:tr w14:paraId="0462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D25282A">
            <w:pPr>
              <w:spacing w:line="500" w:lineRule="exact"/>
              <w:jc w:val="center"/>
              <w:rPr>
                <w:sz w:val="24"/>
                <w:lang w:eastAsia="zh-CN"/>
              </w:rPr>
            </w:pPr>
            <w:r>
              <w:rPr>
                <w:rFonts w:hint="eastAsia"/>
                <w:sz w:val="24"/>
                <w:lang w:val="en-US" w:eastAsia="zh-CN"/>
              </w:rPr>
              <w:t>8</w:t>
            </w:r>
          </w:p>
        </w:tc>
        <w:tc>
          <w:tcPr>
            <w:tcW w:w="6023" w:type="dxa"/>
          </w:tcPr>
          <w:p w14:paraId="7582B795">
            <w:pPr>
              <w:spacing w:line="500" w:lineRule="exact"/>
              <w:rPr>
                <w:sz w:val="24"/>
              </w:rPr>
            </w:pPr>
            <w:r>
              <w:rPr>
                <w:rFonts w:hint="eastAsia"/>
                <w:sz w:val="24"/>
                <w:szCs w:val="28"/>
              </w:rPr>
              <w:t>业绩的证明</w:t>
            </w:r>
          </w:p>
        </w:tc>
        <w:tc>
          <w:tcPr>
            <w:tcW w:w="1843" w:type="dxa"/>
          </w:tcPr>
          <w:p w14:paraId="32C9D7A6">
            <w:pPr>
              <w:spacing w:line="500" w:lineRule="exact"/>
              <w:jc w:val="center"/>
              <w:rPr>
                <w:sz w:val="24"/>
              </w:rPr>
            </w:pPr>
          </w:p>
        </w:tc>
      </w:tr>
      <w:tr w14:paraId="08D2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52C137">
            <w:pPr>
              <w:spacing w:line="500" w:lineRule="exact"/>
              <w:jc w:val="center"/>
              <w:rPr>
                <w:sz w:val="24"/>
                <w:lang w:eastAsia="zh-CN"/>
              </w:rPr>
            </w:pPr>
            <w:r>
              <w:rPr>
                <w:rFonts w:hint="eastAsia"/>
                <w:sz w:val="24"/>
                <w:lang w:val="en-US" w:eastAsia="zh-CN"/>
              </w:rPr>
              <w:t>9</w:t>
            </w:r>
          </w:p>
        </w:tc>
        <w:tc>
          <w:tcPr>
            <w:tcW w:w="6023" w:type="dxa"/>
          </w:tcPr>
          <w:p w14:paraId="27CB4A8D">
            <w:pPr>
              <w:spacing w:line="500" w:lineRule="exact"/>
              <w:rPr>
                <w:sz w:val="24"/>
                <w:szCs w:val="28"/>
              </w:rPr>
            </w:pPr>
            <w:r>
              <w:rPr>
                <w:rFonts w:hint="eastAsia" w:ascii="宋体" w:hAnsi="宋体" w:eastAsia="宋体" w:cs="宋体"/>
                <w:b w:val="0"/>
                <w:bCs w:val="0"/>
                <w:sz w:val="24"/>
                <w:szCs w:val="24"/>
                <w:lang w:val="en-US" w:eastAsia="zh-CN"/>
              </w:rPr>
              <w:t>检测资质证明材料</w:t>
            </w:r>
          </w:p>
        </w:tc>
        <w:tc>
          <w:tcPr>
            <w:tcW w:w="1843" w:type="dxa"/>
          </w:tcPr>
          <w:p w14:paraId="3CF7C875">
            <w:pPr>
              <w:spacing w:line="500" w:lineRule="exact"/>
              <w:jc w:val="center"/>
              <w:rPr>
                <w:sz w:val="24"/>
              </w:rPr>
            </w:pPr>
          </w:p>
        </w:tc>
      </w:tr>
      <w:tr w14:paraId="100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43CBE46">
            <w:pPr>
              <w:spacing w:line="500" w:lineRule="exact"/>
              <w:jc w:val="center"/>
              <w:rPr>
                <w:rFonts w:hint="default"/>
                <w:sz w:val="24"/>
                <w:lang w:val="en-US" w:eastAsia="zh-CN"/>
              </w:rPr>
            </w:pPr>
            <w:r>
              <w:rPr>
                <w:rFonts w:hint="eastAsia"/>
                <w:sz w:val="24"/>
                <w:lang w:val="en-US" w:eastAsia="zh-CN"/>
              </w:rPr>
              <w:t>10</w:t>
            </w:r>
          </w:p>
        </w:tc>
        <w:tc>
          <w:tcPr>
            <w:tcW w:w="6023" w:type="dxa"/>
          </w:tcPr>
          <w:p w14:paraId="095C76F9">
            <w:pPr>
              <w:spacing w:line="500" w:lineRule="exact"/>
              <w:rPr>
                <w:sz w:val="24"/>
              </w:rPr>
            </w:pPr>
            <w:r>
              <w:rPr>
                <w:rFonts w:hint="eastAsia"/>
                <w:sz w:val="24"/>
              </w:rPr>
              <w:t>参</w:t>
            </w:r>
            <w:r>
              <w:rPr>
                <w:rFonts w:hint="eastAsia"/>
                <w:sz w:val="24"/>
                <w:lang w:eastAsia="zh-CN"/>
              </w:rPr>
              <w:t>比</w:t>
            </w:r>
            <w:r>
              <w:rPr>
                <w:rFonts w:hint="eastAsia"/>
                <w:sz w:val="24"/>
              </w:rPr>
              <w:t>报价单</w:t>
            </w:r>
          </w:p>
        </w:tc>
        <w:tc>
          <w:tcPr>
            <w:tcW w:w="1843" w:type="dxa"/>
          </w:tcPr>
          <w:p w14:paraId="3B4CE561">
            <w:pPr>
              <w:spacing w:line="500" w:lineRule="exact"/>
              <w:jc w:val="center"/>
              <w:rPr>
                <w:sz w:val="24"/>
              </w:rPr>
            </w:pPr>
          </w:p>
        </w:tc>
      </w:tr>
    </w:tbl>
    <w:p w14:paraId="34F76B7F">
      <w:pPr>
        <w:spacing w:line="500" w:lineRule="exact"/>
        <w:jc w:val="center"/>
        <w:rPr>
          <w:b/>
          <w:bCs/>
          <w:sz w:val="24"/>
        </w:rPr>
      </w:pPr>
    </w:p>
    <w:p w14:paraId="12E3C699">
      <w:pPr>
        <w:pStyle w:val="54"/>
        <w:rPr>
          <w:b/>
          <w:bCs/>
          <w:sz w:val="36"/>
          <w:szCs w:val="36"/>
        </w:rPr>
      </w:pPr>
    </w:p>
    <w:p w14:paraId="47469ECB">
      <w:pPr>
        <w:pStyle w:val="54"/>
        <w:rPr>
          <w:b/>
          <w:bCs/>
          <w:sz w:val="36"/>
          <w:szCs w:val="36"/>
        </w:rPr>
      </w:pPr>
    </w:p>
    <w:p w14:paraId="7B46A8F6">
      <w:pPr>
        <w:pStyle w:val="54"/>
        <w:rPr>
          <w:b/>
          <w:bCs/>
          <w:sz w:val="36"/>
          <w:szCs w:val="36"/>
        </w:rPr>
      </w:pPr>
    </w:p>
    <w:p w14:paraId="60CCCFB0">
      <w:pPr>
        <w:spacing w:line="500" w:lineRule="exact"/>
        <w:rPr>
          <w:b/>
          <w:bCs/>
          <w:sz w:val="36"/>
          <w:szCs w:val="36"/>
          <w:lang w:eastAsia="zh-CN"/>
        </w:rPr>
      </w:pPr>
    </w:p>
    <w:p w14:paraId="2C48898D">
      <w:pPr>
        <w:pStyle w:val="54"/>
        <w:rPr>
          <w:b/>
          <w:bCs/>
          <w:sz w:val="36"/>
          <w:szCs w:val="36"/>
        </w:rPr>
      </w:pPr>
    </w:p>
    <w:p w14:paraId="75D1AE4D">
      <w:pPr>
        <w:pStyle w:val="54"/>
        <w:rPr>
          <w:b/>
          <w:bCs/>
          <w:sz w:val="36"/>
          <w:szCs w:val="36"/>
        </w:rPr>
      </w:pPr>
    </w:p>
    <w:p w14:paraId="0818B623">
      <w:pPr>
        <w:pStyle w:val="54"/>
      </w:pPr>
    </w:p>
    <w:p w14:paraId="3710216D">
      <w:pPr>
        <w:pStyle w:val="54"/>
      </w:pPr>
    </w:p>
    <w:p w14:paraId="01D475FC">
      <w:pPr>
        <w:pStyle w:val="54"/>
      </w:pPr>
    </w:p>
    <w:p w14:paraId="009E5D70">
      <w:pPr>
        <w:pStyle w:val="54"/>
      </w:pPr>
    </w:p>
    <w:p w14:paraId="6F9AAC54">
      <w:pPr>
        <w:pStyle w:val="54"/>
      </w:pPr>
    </w:p>
    <w:p w14:paraId="4550F167">
      <w:pPr>
        <w:pStyle w:val="54"/>
      </w:pPr>
    </w:p>
    <w:p w14:paraId="00DF1BBB">
      <w:pPr>
        <w:pStyle w:val="54"/>
      </w:pPr>
    </w:p>
    <w:p w14:paraId="0A379334">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4"/>
      </w:pPr>
    </w:p>
    <w:p w14:paraId="2D9283E2">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4"/>
        <w:jc w:val="center"/>
      </w:pPr>
    </w:p>
    <w:p w14:paraId="39BC4322">
      <w:pPr>
        <w:pStyle w:val="54"/>
        <w:jc w:val="center"/>
      </w:pPr>
    </w:p>
    <w:p w14:paraId="066842E7">
      <w:pPr>
        <w:pStyle w:val="54"/>
        <w:jc w:val="center"/>
      </w:pPr>
    </w:p>
    <w:p w14:paraId="68DB3955">
      <w:pPr>
        <w:pStyle w:val="54"/>
        <w:jc w:val="center"/>
      </w:pPr>
    </w:p>
    <w:p w14:paraId="3D337288">
      <w:pPr>
        <w:pStyle w:val="54"/>
        <w:jc w:val="center"/>
      </w:pPr>
    </w:p>
    <w:p w14:paraId="79BDA086">
      <w:pPr>
        <w:spacing w:line="500" w:lineRule="exact"/>
        <w:jc w:val="both"/>
        <w:rPr>
          <w:b/>
          <w:bCs/>
          <w:sz w:val="36"/>
          <w:szCs w:val="36"/>
          <w:lang w:eastAsia="zh-CN"/>
        </w:rP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4"/>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原料适应性技改项目阶段性职业病危害控制效果评价及职业病防护设施竣工验收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7</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4"/>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4"/>
      </w:pPr>
    </w:p>
    <w:p w14:paraId="4A7A6043">
      <w:pPr>
        <w:pStyle w:val="54"/>
      </w:pPr>
    </w:p>
    <w:p w14:paraId="53CBD1E4">
      <w:pPr>
        <w:pStyle w:val="54"/>
      </w:pPr>
    </w:p>
    <w:p w14:paraId="4D3FF2B7">
      <w:pPr>
        <w:pStyle w:val="54"/>
      </w:pPr>
    </w:p>
    <w:p w14:paraId="294F3CFC">
      <w:pPr>
        <w:pStyle w:val="54"/>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4"/>
        <w:jc w:val="center"/>
        <w:rPr>
          <w:color w:val="4E6127"/>
        </w:rPr>
      </w:pPr>
    </w:p>
    <w:p w14:paraId="2F57EEC8">
      <w:pPr>
        <w:pStyle w:val="54"/>
        <w:jc w:val="center"/>
      </w:pPr>
    </w:p>
    <w:p w14:paraId="5B702F78">
      <w:pPr>
        <w:pStyle w:val="54"/>
        <w:jc w:val="center"/>
      </w:pPr>
    </w:p>
    <w:p w14:paraId="79D9ED00">
      <w:pPr>
        <w:pStyle w:val="54"/>
        <w:jc w:val="center"/>
      </w:pPr>
    </w:p>
    <w:p w14:paraId="3866141C">
      <w:pPr>
        <w:pStyle w:val="54"/>
        <w:jc w:val="center"/>
      </w:pPr>
    </w:p>
    <w:p w14:paraId="3F1E3A6F">
      <w:pPr>
        <w:pStyle w:val="54"/>
        <w:jc w:val="cente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4"/>
        <w:rPr>
          <w:b/>
          <w:bCs/>
          <w:color w:val="4E6127"/>
          <w:sz w:val="36"/>
          <w:szCs w:val="36"/>
        </w:rPr>
      </w:pPr>
    </w:p>
    <w:p w14:paraId="79261888">
      <w:pPr>
        <w:pStyle w:val="54"/>
        <w:rPr>
          <w:b/>
          <w:bCs/>
          <w:color w:val="4E6127"/>
          <w:sz w:val="36"/>
          <w:szCs w:val="36"/>
        </w:rPr>
      </w:pPr>
    </w:p>
    <w:p w14:paraId="4588254C">
      <w:pPr>
        <w:pStyle w:val="54"/>
        <w:rPr>
          <w:b/>
          <w:bCs/>
          <w:color w:val="4E6127"/>
          <w:sz w:val="36"/>
          <w:szCs w:val="36"/>
        </w:rPr>
      </w:pPr>
    </w:p>
    <w:p w14:paraId="130BB33F">
      <w:pPr>
        <w:pStyle w:val="54"/>
        <w:rPr>
          <w:b/>
          <w:bCs/>
          <w:color w:val="4E6127"/>
          <w:sz w:val="36"/>
          <w:szCs w:val="36"/>
        </w:rPr>
      </w:pPr>
    </w:p>
    <w:p w14:paraId="42E83B2C">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4"/>
        <w:rPr>
          <w:b/>
          <w:bCs/>
          <w:sz w:val="36"/>
          <w:szCs w:val="36"/>
        </w:rPr>
      </w:pPr>
    </w:p>
    <w:p w14:paraId="33F04666">
      <w:pPr>
        <w:pStyle w:val="54"/>
        <w:rPr>
          <w:b/>
          <w:bCs/>
          <w:sz w:val="36"/>
          <w:szCs w:val="36"/>
        </w:rPr>
      </w:pPr>
    </w:p>
    <w:p w14:paraId="23C989C7">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4"/>
        <w:jc w:val="center"/>
        <w:rPr>
          <w:color w:val="FF0000"/>
        </w:rPr>
      </w:pPr>
    </w:p>
    <w:p w14:paraId="71BD34CF">
      <w:pPr>
        <w:pStyle w:val="54"/>
        <w:jc w:val="center"/>
      </w:pPr>
    </w:p>
    <w:p w14:paraId="029FD09B">
      <w:pPr>
        <w:pStyle w:val="54"/>
        <w:jc w:val="center"/>
      </w:pPr>
    </w:p>
    <w:p w14:paraId="481270E6">
      <w:pPr>
        <w:pStyle w:val="54"/>
        <w:jc w:val="center"/>
      </w:pPr>
    </w:p>
    <w:p w14:paraId="0681EFF1">
      <w:pPr>
        <w:pStyle w:val="54"/>
        <w:jc w:val="center"/>
      </w:pPr>
    </w:p>
    <w:p w14:paraId="41DEA680">
      <w:pPr>
        <w:pStyle w:val="54"/>
        <w:jc w:val="center"/>
      </w:pPr>
    </w:p>
    <w:p w14:paraId="15A64DF3">
      <w:pPr>
        <w:pStyle w:val="54"/>
        <w:jc w:val="center"/>
      </w:pPr>
    </w:p>
    <w:p w14:paraId="280927C3">
      <w:pPr>
        <w:pStyle w:val="54"/>
        <w:jc w:val="center"/>
      </w:pPr>
    </w:p>
    <w:p w14:paraId="02473E6F">
      <w:pPr>
        <w:pStyle w:val="54"/>
        <w:jc w:val="center"/>
      </w:pPr>
    </w:p>
    <w:p w14:paraId="0232CC98">
      <w:pPr>
        <w:pStyle w:val="54"/>
        <w:jc w:val="center"/>
      </w:pPr>
    </w:p>
    <w:p w14:paraId="71DF9366">
      <w:pPr>
        <w:pStyle w:val="54"/>
        <w:jc w:val="center"/>
      </w:pPr>
    </w:p>
    <w:p w14:paraId="29269907">
      <w:pPr>
        <w:pStyle w:val="54"/>
        <w:jc w:val="center"/>
      </w:pPr>
    </w:p>
    <w:p w14:paraId="48C95FCF">
      <w:pPr>
        <w:pStyle w:val="54"/>
        <w:jc w:val="center"/>
      </w:pPr>
    </w:p>
    <w:p w14:paraId="706D5FDD">
      <w:pPr>
        <w:pStyle w:val="54"/>
        <w:jc w:val="center"/>
      </w:pPr>
    </w:p>
    <w:p w14:paraId="2F038F0E">
      <w:pPr>
        <w:pStyle w:val="54"/>
        <w:jc w:val="center"/>
      </w:pPr>
    </w:p>
    <w:p w14:paraId="3693E9F9">
      <w:pPr>
        <w:pStyle w:val="54"/>
        <w:jc w:val="center"/>
      </w:pPr>
    </w:p>
    <w:p w14:paraId="6383BFC9">
      <w:pPr>
        <w:pStyle w:val="54"/>
        <w:jc w:val="center"/>
      </w:pPr>
    </w:p>
    <w:p w14:paraId="5061630D">
      <w:pPr>
        <w:pStyle w:val="54"/>
        <w:jc w:val="center"/>
      </w:pPr>
    </w:p>
    <w:p w14:paraId="4321CC2E">
      <w:pPr>
        <w:pStyle w:val="54"/>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4"/>
        <w:jc w:val="center"/>
      </w:pPr>
    </w:p>
    <w:p w14:paraId="0B9A4F61">
      <w:pPr>
        <w:pStyle w:val="54"/>
        <w:jc w:val="center"/>
      </w:pPr>
    </w:p>
    <w:p w14:paraId="39E3EE84">
      <w:pPr>
        <w:pStyle w:val="54"/>
        <w:jc w:val="center"/>
      </w:pPr>
    </w:p>
    <w:p w14:paraId="78421338">
      <w:pPr>
        <w:pStyle w:val="54"/>
        <w:jc w:val="center"/>
      </w:pPr>
    </w:p>
    <w:p w14:paraId="19E8404F">
      <w:pPr>
        <w:pStyle w:val="54"/>
        <w:jc w:val="center"/>
      </w:pPr>
    </w:p>
    <w:p w14:paraId="7DF7DF00">
      <w:pPr>
        <w:pStyle w:val="54"/>
        <w:jc w:val="center"/>
      </w:pPr>
    </w:p>
    <w:p w14:paraId="29330E12">
      <w:pPr>
        <w:pStyle w:val="54"/>
        <w:jc w:val="center"/>
      </w:pPr>
    </w:p>
    <w:p w14:paraId="26AF80D0">
      <w:pPr>
        <w:pStyle w:val="54"/>
        <w:jc w:val="center"/>
      </w:pPr>
    </w:p>
    <w:p w14:paraId="35ED6ED9">
      <w:pPr>
        <w:pStyle w:val="54"/>
        <w:jc w:val="center"/>
      </w:pPr>
    </w:p>
    <w:p w14:paraId="70C25904">
      <w:pPr>
        <w:pStyle w:val="54"/>
        <w:jc w:val="center"/>
      </w:pPr>
    </w:p>
    <w:p w14:paraId="6ADDD4A7">
      <w:pPr>
        <w:pStyle w:val="54"/>
        <w:jc w:val="center"/>
      </w:pPr>
    </w:p>
    <w:p w14:paraId="5B340194">
      <w:pPr>
        <w:pStyle w:val="54"/>
        <w:jc w:val="center"/>
      </w:pPr>
    </w:p>
    <w:p w14:paraId="752D6ECB">
      <w:pPr>
        <w:pStyle w:val="54"/>
        <w:jc w:val="center"/>
      </w:pPr>
    </w:p>
    <w:p w14:paraId="6B004E64">
      <w:pPr>
        <w:pStyle w:val="54"/>
        <w:jc w:val="center"/>
      </w:pPr>
    </w:p>
    <w:p w14:paraId="05CC3ADB">
      <w:pPr>
        <w:pStyle w:val="54"/>
        <w:jc w:val="center"/>
      </w:pPr>
    </w:p>
    <w:p w14:paraId="06FAA606">
      <w:pPr>
        <w:pStyle w:val="54"/>
        <w:jc w:val="center"/>
      </w:pPr>
    </w:p>
    <w:p w14:paraId="58BFEC13">
      <w:pPr>
        <w:pStyle w:val="54"/>
        <w:jc w:val="center"/>
      </w:pPr>
    </w:p>
    <w:p w14:paraId="55D08212">
      <w:pPr>
        <w:pStyle w:val="54"/>
        <w:jc w:val="center"/>
      </w:pPr>
    </w:p>
    <w:p w14:paraId="3B1ADF54">
      <w:pPr>
        <w:pStyle w:val="54"/>
        <w:jc w:val="center"/>
      </w:pPr>
    </w:p>
    <w:p w14:paraId="10F67DD9">
      <w:pPr>
        <w:pStyle w:val="54"/>
      </w:pPr>
    </w:p>
    <w:p w14:paraId="5B46A9A0">
      <w:pPr>
        <w:pStyle w:val="54"/>
        <w:jc w:val="center"/>
        <w:rPr>
          <w:rFonts w:ascii="Times New Roman" w:hAnsi="Times New Roman"/>
          <w:b/>
          <w:bCs/>
          <w:kern w:val="2"/>
          <w:sz w:val="36"/>
          <w:szCs w:val="36"/>
        </w:rPr>
      </w:pPr>
    </w:p>
    <w:p w14:paraId="40E63704">
      <w:pPr>
        <w:pStyle w:val="54"/>
        <w:jc w:val="center"/>
        <w:rPr>
          <w:rFonts w:ascii="Times New Roman" w:hAnsi="Times New Roman"/>
          <w:b/>
          <w:bCs/>
          <w:kern w:val="2"/>
          <w:sz w:val="36"/>
          <w:szCs w:val="36"/>
        </w:rPr>
      </w:pPr>
    </w:p>
    <w:p w14:paraId="5AD970C3">
      <w:pPr>
        <w:pStyle w:val="54"/>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62C7E0A6">
      <w:pPr>
        <w:pStyle w:val="54"/>
        <w:tabs>
          <w:tab w:val="left" w:pos="4944"/>
        </w:tabs>
        <w:jc w:val="left"/>
        <w:rPr>
          <w:color w:val="4E6127"/>
        </w:rPr>
      </w:pPr>
    </w:p>
    <w:p w14:paraId="29022B27">
      <w:pPr>
        <w:pStyle w:val="54"/>
        <w:tabs>
          <w:tab w:val="left" w:pos="4944"/>
        </w:tabs>
        <w:jc w:val="left"/>
        <w:rPr>
          <w:color w:val="0000FF"/>
        </w:rPr>
      </w:pPr>
    </w:p>
    <w:p w14:paraId="533E51C1">
      <w:pPr>
        <w:pStyle w:val="54"/>
        <w:tabs>
          <w:tab w:val="left" w:pos="4944"/>
        </w:tabs>
        <w:jc w:val="left"/>
        <w:rPr>
          <w:color w:val="0000FF"/>
        </w:rPr>
      </w:pPr>
    </w:p>
    <w:p w14:paraId="18D34A1C">
      <w:pPr>
        <w:pStyle w:val="54"/>
        <w:tabs>
          <w:tab w:val="left" w:pos="4944"/>
        </w:tabs>
        <w:jc w:val="left"/>
        <w:rPr>
          <w:color w:val="0000FF"/>
        </w:rPr>
      </w:pPr>
    </w:p>
    <w:p w14:paraId="7CCEC459">
      <w:pPr>
        <w:pStyle w:val="54"/>
        <w:tabs>
          <w:tab w:val="left" w:pos="4944"/>
        </w:tabs>
        <w:jc w:val="left"/>
        <w:rPr>
          <w:color w:val="0000FF"/>
        </w:rPr>
      </w:pPr>
    </w:p>
    <w:p w14:paraId="234F82AB">
      <w:pPr>
        <w:pStyle w:val="54"/>
        <w:tabs>
          <w:tab w:val="left" w:pos="4944"/>
        </w:tabs>
        <w:jc w:val="left"/>
        <w:rPr>
          <w:color w:val="0000FF"/>
        </w:rPr>
      </w:pPr>
    </w:p>
    <w:p w14:paraId="3C54A92C">
      <w:pPr>
        <w:pStyle w:val="54"/>
        <w:tabs>
          <w:tab w:val="left" w:pos="4944"/>
        </w:tabs>
        <w:jc w:val="left"/>
        <w:rPr>
          <w:color w:val="0000FF"/>
        </w:rPr>
      </w:pPr>
    </w:p>
    <w:p w14:paraId="16EAC8AA">
      <w:pPr>
        <w:pStyle w:val="54"/>
        <w:tabs>
          <w:tab w:val="left" w:pos="4944"/>
        </w:tabs>
        <w:jc w:val="left"/>
        <w:rPr>
          <w:color w:val="0000FF"/>
        </w:rPr>
      </w:pPr>
    </w:p>
    <w:p w14:paraId="4820E6C4">
      <w:pPr>
        <w:pStyle w:val="54"/>
        <w:tabs>
          <w:tab w:val="left" w:pos="4944"/>
        </w:tabs>
        <w:jc w:val="left"/>
        <w:rPr>
          <w:color w:val="0000FF"/>
        </w:rPr>
      </w:pPr>
    </w:p>
    <w:p w14:paraId="3141D235">
      <w:pPr>
        <w:pStyle w:val="54"/>
        <w:tabs>
          <w:tab w:val="left" w:pos="4944"/>
        </w:tabs>
        <w:jc w:val="left"/>
        <w:rPr>
          <w:color w:val="0000FF"/>
        </w:rPr>
      </w:pPr>
    </w:p>
    <w:p w14:paraId="452A0F66">
      <w:pPr>
        <w:pStyle w:val="54"/>
        <w:tabs>
          <w:tab w:val="left" w:pos="4944"/>
        </w:tabs>
        <w:jc w:val="left"/>
        <w:rPr>
          <w:color w:val="0000FF"/>
        </w:rPr>
      </w:pPr>
    </w:p>
    <w:p w14:paraId="799D9537">
      <w:pPr>
        <w:pStyle w:val="54"/>
        <w:tabs>
          <w:tab w:val="left" w:pos="4944"/>
        </w:tabs>
        <w:jc w:val="left"/>
        <w:rPr>
          <w:color w:val="0000FF"/>
        </w:rPr>
      </w:pPr>
    </w:p>
    <w:p w14:paraId="2D726507">
      <w:pPr>
        <w:pStyle w:val="54"/>
        <w:tabs>
          <w:tab w:val="left" w:pos="4944"/>
        </w:tabs>
        <w:jc w:val="left"/>
        <w:rPr>
          <w:color w:val="0000FF"/>
        </w:rPr>
      </w:pPr>
    </w:p>
    <w:p w14:paraId="189A95BC">
      <w:pPr>
        <w:pStyle w:val="54"/>
        <w:tabs>
          <w:tab w:val="left" w:pos="4944"/>
        </w:tabs>
        <w:jc w:val="left"/>
        <w:rPr>
          <w:color w:val="0000FF"/>
        </w:rPr>
      </w:pPr>
    </w:p>
    <w:p w14:paraId="7D6F1F1D">
      <w:pPr>
        <w:pStyle w:val="54"/>
        <w:tabs>
          <w:tab w:val="left" w:pos="4944"/>
        </w:tabs>
        <w:jc w:val="left"/>
        <w:rPr>
          <w:color w:val="0000FF"/>
        </w:rPr>
      </w:pPr>
    </w:p>
    <w:p w14:paraId="2B09A93A">
      <w:pPr>
        <w:pStyle w:val="54"/>
        <w:tabs>
          <w:tab w:val="left" w:pos="4944"/>
        </w:tabs>
        <w:jc w:val="left"/>
        <w:rPr>
          <w:color w:val="0000FF"/>
        </w:rPr>
      </w:pPr>
    </w:p>
    <w:p w14:paraId="2CADDC21">
      <w:pPr>
        <w:pStyle w:val="54"/>
        <w:tabs>
          <w:tab w:val="left" w:pos="4944"/>
        </w:tabs>
        <w:jc w:val="left"/>
        <w:rPr>
          <w:color w:val="0000FF"/>
        </w:rPr>
      </w:pPr>
    </w:p>
    <w:p w14:paraId="24E2B176">
      <w:pPr>
        <w:pStyle w:val="54"/>
        <w:tabs>
          <w:tab w:val="left" w:pos="4944"/>
        </w:tabs>
        <w:jc w:val="left"/>
        <w:rPr>
          <w:color w:val="0000FF"/>
        </w:rPr>
      </w:pPr>
    </w:p>
    <w:p w14:paraId="27BEBCAF">
      <w:pPr>
        <w:pStyle w:val="54"/>
        <w:tabs>
          <w:tab w:val="left" w:pos="4944"/>
        </w:tabs>
        <w:jc w:val="left"/>
        <w:rPr>
          <w:color w:val="0000FF"/>
        </w:rPr>
      </w:pPr>
    </w:p>
    <w:p w14:paraId="5B593D9F">
      <w:pPr>
        <w:pStyle w:val="54"/>
        <w:tabs>
          <w:tab w:val="left" w:pos="4944"/>
        </w:tabs>
        <w:jc w:val="left"/>
        <w:rPr>
          <w:color w:val="0000FF"/>
        </w:rPr>
      </w:pPr>
    </w:p>
    <w:p w14:paraId="099DD182">
      <w:pPr>
        <w:pStyle w:val="54"/>
        <w:jc w:val="center"/>
        <w:rPr>
          <w:rFonts w:ascii="Times New Roman" w:hAnsi="Times New Roman"/>
          <w:b/>
          <w:bCs/>
          <w:kern w:val="2"/>
          <w:sz w:val="36"/>
          <w:szCs w:val="36"/>
        </w:rPr>
      </w:pPr>
    </w:p>
    <w:p w14:paraId="067B2C6A">
      <w:pPr>
        <w:pStyle w:val="54"/>
        <w:jc w:val="center"/>
        <w:rPr>
          <w:rFonts w:ascii="Times New Roman" w:hAnsi="Times New Roman"/>
          <w:b/>
          <w:bCs/>
          <w:kern w:val="2"/>
          <w:sz w:val="36"/>
          <w:szCs w:val="36"/>
        </w:rPr>
      </w:pPr>
    </w:p>
    <w:p w14:paraId="3E639D39">
      <w:pPr>
        <w:pStyle w:val="54"/>
        <w:jc w:val="center"/>
        <w:rPr>
          <w:rFonts w:ascii="Times New Roman" w:hAnsi="Times New Roman"/>
          <w:b/>
          <w:bCs/>
          <w:kern w:val="2"/>
          <w:sz w:val="36"/>
          <w:szCs w:val="36"/>
        </w:rPr>
      </w:pPr>
      <w:r>
        <w:rPr>
          <w:rFonts w:hint="eastAsia" w:ascii="Times New Roman" w:hAnsi="Times New Roman"/>
          <w:b/>
          <w:bCs/>
          <w:kern w:val="2"/>
          <w:sz w:val="36"/>
          <w:szCs w:val="36"/>
        </w:rPr>
        <w:t>业绩证明</w:t>
      </w:r>
    </w:p>
    <w:p w14:paraId="0E936ED3">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14:paraId="490F4355">
      <w:pPr>
        <w:pStyle w:val="72"/>
        <w:spacing w:beforeLines="0" w:afterLines="0" w:line="240" w:lineRule="auto"/>
        <w:rPr>
          <w:rFonts w:cs="Times New Roman"/>
          <w:bCs w:val="0"/>
          <w:color w:val="4E6127"/>
          <w:lang w:eastAsia="zh-CN"/>
        </w:rPr>
      </w:pPr>
    </w:p>
    <w:p w14:paraId="6996F3EF">
      <w:pPr>
        <w:pStyle w:val="72"/>
        <w:spacing w:beforeLines="0" w:afterLines="0" w:line="240" w:lineRule="auto"/>
        <w:rPr>
          <w:rFonts w:cs="Times New Roman"/>
          <w:bCs w:val="0"/>
          <w:lang w:eastAsia="zh-CN"/>
        </w:rPr>
      </w:pPr>
    </w:p>
    <w:p w14:paraId="5F1912C8">
      <w:pPr>
        <w:pStyle w:val="72"/>
        <w:spacing w:beforeLines="0" w:afterLines="0" w:line="240" w:lineRule="auto"/>
        <w:rPr>
          <w:rFonts w:cs="Times New Roman"/>
          <w:bCs w:val="0"/>
          <w:lang w:eastAsia="zh-CN"/>
        </w:rPr>
      </w:pPr>
    </w:p>
    <w:p w14:paraId="5FF25F44">
      <w:pPr>
        <w:pStyle w:val="72"/>
        <w:spacing w:beforeLines="0" w:afterLines="0" w:line="240" w:lineRule="auto"/>
        <w:rPr>
          <w:rFonts w:cs="Times New Roman"/>
          <w:bCs w:val="0"/>
          <w:lang w:eastAsia="zh-CN"/>
        </w:rPr>
      </w:pPr>
    </w:p>
    <w:p w14:paraId="703DA105">
      <w:pPr>
        <w:pStyle w:val="72"/>
        <w:spacing w:beforeLines="0" w:afterLines="0" w:line="240" w:lineRule="auto"/>
        <w:rPr>
          <w:rFonts w:cs="Times New Roman"/>
          <w:bCs w:val="0"/>
          <w:lang w:eastAsia="zh-CN"/>
        </w:rPr>
      </w:pPr>
    </w:p>
    <w:p w14:paraId="07573D8C">
      <w:pPr>
        <w:pStyle w:val="72"/>
        <w:spacing w:beforeLines="0" w:afterLines="0" w:line="240" w:lineRule="auto"/>
        <w:rPr>
          <w:rFonts w:cs="Times New Roman"/>
          <w:bCs w:val="0"/>
          <w:lang w:eastAsia="zh-CN"/>
        </w:rPr>
      </w:pPr>
    </w:p>
    <w:p w14:paraId="38E0D9BC">
      <w:pPr>
        <w:pStyle w:val="72"/>
        <w:spacing w:beforeLines="0" w:afterLines="0" w:line="240" w:lineRule="auto"/>
        <w:rPr>
          <w:rFonts w:cs="Times New Roman"/>
          <w:bCs w:val="0"/>
          <w:lang w:eastAsia="zh-CN"/>
        </w:rPr>
      </w:pPr>
    </w:p>
    <w:p w14:paraId="250DCBC7">
      <w:pPr>
        <w:pStyle w:val="72"/>
        <w:spacing w:beforeLines="0" w:afterLines="0" w:line="240" w:lineRule="auto"/>
        <w:rPr>
          <w:rFonts w:cs="Times New Roman"/>
          <w:bCs w:val="0"/>
          <w:lang w:eastAsia="zh-CN"/>
        </w:rPr>
      </w:pPr>
    </w:p>
    <w:p w14:paraId="1D4F59E7">
      <w:pPr>
        <w:pStyle w:val="72"/>
        <w:spacing w:beforeLines="0" w:afterLines="0" w:line="240" w:lineRule="auto"/>
        <w:rPr>
          <w:rFonts w:cs="Times New Roman"/>
          <w:bCs w:val="0"/>
          <w:lang w:eastAsia="zh-CN"/>
        </w:rPr>
      </w:pPr>
    </w:p>
    <w:p w14:paraId="0838A6C6">
      <w:pPr>
        <w:pStyle w:val="72"/>
        <w:spacing w:beforeLines="0" w:afterLines="0" w:line="240" w:lineRule="auto"/>
        <w:rPr>
          <w:rFonts w:cs="Times New Roman"/>
          <w:bCs w:val="0"/>
          <w:lang w:eastAsia="zh-CN"/>
        </w:rPr>
      </w:pPr>
    </w:p>
    <w:p w14:paraId="0062A1B9">
      <w:pPr>
        <w:pStyle w:val="72"/>
        <w:spacing w:beforeLines="0" w:afterLines="0" w:line="240" w:lineRule="auto"/>
        <w:rPr>
          <w:rFonts w:cs="Times New Roman"/>
          <w:bCs w:val="0"/>
          <w:lang w:eastAsia="zh-CN"/>
        </w:rPr>
      </w:pPr>
    </w:p>
    <w:p w14:paraId="62E2D4A0">
      <w:pPr>
        <w:pStyle w:val="72"/>
        <w:spacing w:beforeLines="0" w:afterLines="0" w:line="240" w:lineRule="auto"/>
        <w:rPr>
          <w:rFonts w:cs="Times New Roman"/>
          <w:bCs w:val="0"/>
          <w:lang w:eastAsia="zh-CN"/>
        </w:rPr>
      </w:pPr>
    </w:p>
    <w:p w14:paraId="3303F497">
      <w:pPr>
        <w:pStyle w:val="72"/>
        <w:spacing w:beforeLines="0" w:afterLines="0" w:line="240" w:lineRule="auto"/>
        <w:rPr>
          <w:rFonts w:cs="Times New Roman"/>
          <w:bCs w:val="0"/>
          <w:lang w:eastAsia="zh-CN"/>
        </w:rPr>
      </w:pPr>
    </w:p>
    <w:p w14:paraId="39CB0D63">
      <w:pPr>
        <w:pStyle w:val="72"/>
        <w:spacing w:beforeLines="0" w:afterLines="0" w:line="240" w:lineRule="auto"/>
        <w:rPr>
          <w:rFonts w:cs="Times New Roman"/>
          <w:bCs w:val="0"/>
          <w:lang w:eastAsia="zh-CN"/>
        </w:rPr>
      </w:pPr>
    </w:p>
    <w:p w14:paraId="3DCD6236">
      <w:pPr>
        <w:pStyle w:val="72"/>
        <w:spacing w:beforeLines="0" w:afterLines="0" w:line="240" w:lineRule="auto"/>
        <w:rPr>
          <w:rFonts w:cs="Times New Roman"/>
          <w:bCs w:val="0"/>
          <w:lang w:eastAsia="zh-CN"/>
        </w:rPr>
      </w:pPr>
    </w:p>
    <w:p w14:paraId="0B3D83E4">
      <w:pPr>
        <w:pStyle w:val="72"/>
        <w:spacing w:beforeLines="0" w:afterLines="0" w:line="240" w:lineRule="auto"/>
        <w:rPr>
          <w:rFonts w:cs="Times New Roman"/>
          <w:bCs w:val="0"/>
          <w:lang w:eastAsia="zh-CN"/>
        </w:rPr>
      </w:pPr>
    </w:p>
    <w:p w14:paraId="51F9863D">
      <w:pPr>
        <w:pStyle w:val="72"/>
        <w:spacing w:beforeLines="0" w:afterLines="0" w:line="240" w:lineRule="auto"/>
        <w:rPr>
          <w:rFonts w:cs="Times New Roman"/>
          <w:bCs w:val="0"/>
          <w:lang w:eastAsia="zh-CN"/>
        </w:rPr>
      </w:pPr>
    </w:p>
    <w:p w14:paraId="6C9FA5C7">
      <w:pPr>
        <w:pStyle w:val="72"/>
        <w:spacing w:beforeLines="0" w:afterLines="0" w:line="240" w:lineRule="auto"/>
        <w:rPr>
          <w:rFonts w:cs="Times New Roman"/>
          <w:bCs w:val="0"/>
          <w:lang w:eastAsia="zh-CN"/>
        </w:rPr>
      </w:pPr>
    </w:p>
    <w:p w14:paraId="43A7B868">
      <w:pPr>
        <w:pStyle w:val="72"/>
        <w:spacing w:beforeLines="0" w:afterLines="0" w:line="240" w:lineRule="auto"/>
        <w:rPr>
          <w:rFonts w:cs="Times New Roman"/>
          <w:bCs w:val="0"/>
          <w:lang w:eastAsia="zh-CN"/>
        </w:rPr>
      </w:pPr>
    </w:p>
    <w:p w14:paraId="145A4407">
      <w:pPr>
        <w:pStyle w:val="72"/>
        <w:spacing w:beforeLines="0" w:afterLines="0" w:line="240" w:lineRule="auto"/>
        <w:rPr>
          <w:rFonts w:cs="Times New Roman"/>
          <w:bCs w:val="0"/>
          <w:lang w:eastAsia="zh-CN"/>
        </w:rPr>
      </w:pPr>
    </w:p>
    <w:p w14:paraId="65F076A4">
      <w:pPr>
        <w:pStyle w:val="72"/>
        <w:spacing w:beforeLines="0" w:afterLines="0" w:line="240" w:lineRule="auto"/>
        <w:rPr>
          <w:rFonts w:cs="Times New Roman"/>
          <w:bCs w:val="0"/>
          <w:lang w:eastAsia="zh-CN"/>
        </w:rPr>
      </w:pPr>
    </w:p>
    <w:p w14:paraId="550450F6">
      <w:pPr>
        <w:pStyle w:val="72"/>
        <w:spacing w:beforeLines="0" w:afterLines="0" w:line="240" w:lineRule="auto"/>
        <w:rPr>
          <w:rFonts w:cs="Times New Roman"/>
          <w:bCs w:val="0"/>
          <w:lang w:eastAsia="zh-CN"/>
        </w:rPr>
      </w:pPr>
    </w:p>
    <w:p w14:paraId="21A2CFFA">
      <w:pPr>
        <w:pStyle w:val="54"/>
        <w:jc w:val="center"/>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检测资质证明文件</w:t>
      </w:r>
    </w:p>
    <w:p w14:paraId="7E115ECB">
      <w:pPr>
        <w:pStyle w:val="72"/>
        <w:spacing w:beforeLines="0" w:afterLines="0" w:line="240" w:lineRule="auto"/>
        <w:rPr>
          <w:rFonts w:cs="Times New Roman"/>
          <w:bCs w:val="0"/>
          <w:lang w:eastAsia="zh-CN"/>
        </w:rPr>
      </w:pPr>
    </w:p>
    <w:p w14:paraId="7B6E7BB1">
      <w:pPr>
        <w:pStyle w:val="72"/>
        <w:spacing w:beforeLines="0" w:afterLines="0" w:line="240" w:lineRule="auto"/>
        <w:rPr>
          <w:rFonts w:cs="Times New Roman"/>
          <w:bCs w:val="0"/>
          <w:lang w:eastAsia="zh-CN"/>
        </w:rPr>
      </w:pPr>
    </w:p>
    <w:p w14:paraId="588C2F82">
      <w:pPr>
        <w:pStyle w:val="72"/>
        <w:spacing w:beforeLines="0" w:afterLines="0" w:line="240" w:lineRule="auto"/>
        <w:rPr>
          <w:rFonts w:cs="Times New Roman"/>
          <w:bCs w:val="0"/>
          <w:lang w:eastAsia="zh-CN"/>
        </w:rPr>
      </w:pPr>
    </w:p>
    <w:p w14:paraId="150771F6">
      <w:pPr>
        <w:pStyle w:val="72"/>
        <w:spacing w:beforeLines="0" w:afterLines="0" w:line="240" w:lineRule="auto"/>
        <w:rPr>
          <w:rFonts w:cs="Times New Roman"/>
          <w:bCs w:val="0"/>
          <w:lang w:eastAsia="zh-CN"/>
        </w:rPr>
      </w:pPr>
    </w:p>
    <w:p w14:paraId="59AB94C6">
      <w:pPr>
        <w:pStyle w:val="72"/>
        <w:spacing w:beforeLines="0" w:afterLines="0" w:line="240" w:lineRule="auto"/>
        <w:rPr>
          <w:rFonts w:cs="Times New Roman"/>
          <w:bCs w:val="0"/>
          <w:lang w:eastAsia="zh-CN"/>
        </w:rPr>
      </w:pPr>
    </w:p>
    <w:p w14:paraId="267768CA">
      <w:pPr>
        <w:pStyle w:val="72"/>
        <w:spacing w:beforeLines="0" w:afterLines="0" w:line="240" w:lineRule="auto"/>
        <w:rPr>
          <w:rFonts w:cs="Times New Roman"/>
          <w:bCs w:val="0"/>
          <w:lang w:eastAsia="zh-CN"/>
        </w:rPr>
      </w:pPr>
    </w:p>
    <w:p w14:paraId="4DFBE6B2">
      <w:pPr>
        <w:pStyle w:val="72"/>
        <w:spacing w:beforeLines="0" w:afterLines="0" w:line="240" w:lineRule="auto"/>
        <w:rPr>
          <w:rFonts w:cs="Times New Roman"/>
          <w:bCs w:val="0"/>
          <w:lang w:eastAsia="zh-CN"/>
        </w:rPr>
      </w:pPr>
    </w:p>
    <w:p w14:paraId="53CE2849">
      <w:pPr>
        <w:pStyle w:val="72"/>
        <w:spacing w:beforeLines="0" w:afterLines="0" w:line="240" w:lineRule="auto"/>
        <w:rPr>
          <w:rFonts w:cs="Times New Roman"/>
          <w:bCs w:val="0"/>
          <w:lang w:eastAsia="zh-CN"/>
        </w:rPr>
      </w:pPr>
    </w:p>
    <w:p w14:paraId="26EC4865">
      <w:pPr>
        <w:pStyle w:val="72"/>
        <w:spacing w:beforeLines="0" w:afterLines="0" w:line="240" w:lineRule="auto"/>
        <w:rPr>
          <w:rFonts w:cs="Times New Roman"/>
          <w:bCs w:val="0"/>
          <w:lang w:eastAsia="zh-CN"/>
        </w:rPr>
      </w:pPr>
    </w:p>
    <w:p w14:paraId="51A2164B">
      <w:pPr>
        <w:pStyle w:val="72"/>
        <w:spacing w:beforeLines="0" w:afterLines="0" w:line="240" w:lineRule="auto"/>
        <w:rPr>
          <w:rFonts w:cs="Times New Roman"/>
          <w:bCs w:val="0"/>
          <w:lang w:eastAsia="zh-CN"/>
        </w:rPr>
      </w:pPr>
    </w:p>
    <w:p w14:paraId="523E1FA6">
      <w:pPr>
        <w:pStyle w:val="72"/>
        <w:spacing w:beforeLines="0" w:afterLines="0" w:line="240" w:lineRule="auto"/>
        <w:rPr>
          <w:rFonts w:cs="Times New Roman"/>
          <w:bCs w:val="0"/>
          <w:lang w:eastAsia="zh-CN"/>
        </w:rPr>
      </w:pPr>
    </w:p>
    <w:p w14:paraId="34510C6E">
      <w:pPr>
        <w:pStyle w:val="72"/>
        <w:spacing w:beforeLines="0" w:afterLines="0" w:line="240" w:lineRule="auto"/>
        <w:rPr>
          <w:rFonts w:cs="Times New Roman"/>
          <w:bCs w:val="0"/>
          <w:lang w:eastAsia="zh-CN"/>
        </w:rPr>
      </w:pPr>
    </w:p>
    <w:p w14:paraId="2456ABBC">
      <w:pPr>
        <w:pStyle w:val="72"/>
        <w:spacing w:beforeLines="0" w:afterLines="0" w:line="240" w:lineRule="auto"/>
        <w:rPr>
          <w:rFonts w:cs="Times New Roman"/>
          <w:bCs w:val="0"/>
          <w:lang w:eastAsia="zh-CN"/>
        </w:rPr>
      </w:pPr>
    </w:p>
    <w:p w14:paraId="2C07019F">
      <w:pPr>
        <w:pStyle w:val="72"/>
        <w:spacing w:beforeLines="0" w:afterLines="0" w:line="240" w:lineRule="auto"/>
        <w:rPr>
          <w:rFonts w:cs="Times New Roman"/>
          <w:bCs w:val="0"/>
          <w:lang w:eastAsia="zh-CN"/>
        </w:rPr>
      </w:pPr>
    </w:p>
    <w:p w14:paraId="23D5FEB0">
      <w:pPr>
        <w:pStyle w:val="72"/>
        <w:spacing w:beforeLines="0" w:afterLines="0" w:line="240" w:lineRule="auto"/>
        <w:rPr>
          <w:rFonts w:cs="Times New Roman"/>
          <w:bCs w:val="0"/>
          <w:lang w:eastAsia="zh-CN"/>
        </w:rPr>
      </w:pPr>
    </w:p>
    <w:p w14:paraId="63987C2E">
      <w:pPr>
        <w:pStyle w:val="72"/>
        <w:spacing w:beforeLines="0" w:afterLines="0" w:line="240" w:lineRule="auto"/>
        <w:rPr>
          <w:rFonts w:cs="Times New Roman"/>
          <w:bCs w:val="0"/>
          <w:lang w:eastAsia="zh-CN"/>
        </w:rPr>
      </w:pPr>
    </w:p>
    <w:p w14:paraId="6BE0CD2C">
      <w:pPr>
        <w:pStyle w:val="72"/>
        <w:spacing w:beforeLines="0" w:afterLines="0" w:line="240" w:lineRule="auto"/>
        <w:rPr>
          <w:rFonts w:cs="Times New Roman"/>
          <w:bCs w:val="0"/>
          <w:lang w:eastAsia="zh-CN"/>
        </w:rPr>
      </w:pPr>
    </w:p>
    <w:p w14:paraId="2A2BF05F">
      <w:pPr>
        <w:pStyle w:val="72"/>
        <w:spacing w:beforeLines="0" w:afterLines="0" w:line="240" w:lineRule="auto"/>
        <w:rPr>
          <w:rFonts w:cs="Times New Roman"/>
          <w:bCs w:val="0"/>
          <w:lang w:eastAsia="zh-CN"/>
        </w:rPr>
      </w:pPr>
    </w:p>
    <w:p w14:paraId="72B128D4">
      <w:pPr>
        <w:pStyle w:val="72"/>
        <w:spacing w:beforeLines="0" w:afterLines="0" w:line="240" w:lineRule="auto"/>
        <w:rPr>
          <w:rFonts w:cs="Times New Roman"/>
          <w:bCs w:val="0"/>
          <w:lang w:eastAsia="zh-CN"/>
        </w:rPr>
      </w:pPr>
    </w:p>
    <w:p w14:paraId="11782F53">
      <w:pPr>
        <w:pStyle w:val="72"/>
        <w:spacing w:beforeLines="0" w:afterLines="0" w:line="240" w:lineRule="auto"/>
        <w:rPr>
          <w:rFonts w:cs="Times New Roman"/>
          <w:bCs w:val="0"/>
          <w:lang w:eastAsia="zh-CN"/>
        </w:rPr>
      </w:pPr>
    </w:p>
    <w:p w14:paraId="4ABC429E">
      <w:pPr>
        <w:pStyle w:val="72"/>
        <w:spacing w:beforeLines="0" w:afterLines="0" w:line="240" w:lineRule="auto"/>
        <w:rPr>
          <w:rFonts w:cs="Times New Roman"/>
          <w:bCs w:val="0"/>
          <w:lang w:eastAsia="zh-CN"/>
        </w:rPr>
      </w:pPr>
    </w:p>
    <w:p w14:paraId="33547B78">
      <w:pPr>
        <w:pStyle w:val="72"/>
        <w:spacing w:beforeLines="0" w:afterLines="0" w:line="240" w:lineRule="auto"/>
        <w:rPr>
          <w:rFonts w:cs="Times New Roman"/>
          <w:bCs w:val="0"/>
          <w:lang w:eastAsia="zh-CN"/>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原料适应性技改项目阶段性职业病危害控制效果评价及职业病防护设施竣工验收采购文件的全部内容后，我方愿以以下报价，严格按照采购文件的要求，交付本项目并维修其中的任何缺陷。</w:t>
      </w:r>
    </w:p>
    <w:tbl>
      <w:tblPr>
        <w:tblStyle w:val="45"/>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6</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5"/>
              <w:tblW w:w="7684" w:type="dxa"/>
              <w:jc w:val="center"/>
              <w:tblLayout w:type="autofit"/>
              <w:tblCellMar>
                <w:top w:w="0" w:type="dxa"/>
                <w:left w:w="108" w:type="dxa"/>
                <w:bottom w:w="0" w:type="dxa"/>
                <w:right w:w="108" w:type="dxa"/>
              </w:tblCellMar>
            </w:tblPr>
            <w:tblGrid>
              <w:gridCol w:w="1080"/>
              <w:gridCol w:w="2320"/>
              <w:gridCol w:w="1695"/>
              <w:gridCol w:w="1370"/>
              <w:gridCol w:w="1219"/>
            </w:tblGrid>
            <w:tr w14:paraId="14E80D3A">
              <w:tblPrEx>
                <w:tblCellMar>
                  <w:top w:w="0" w:type="dxa"/>
                  <w:left w:w="108" w:type="dxa"/>
                  <w:bottom w:w="0" w:type="dxa"/>
                  <w:right w:w="108" w:type="dxa"/>
                </w:tblCellMar>
              </w:tblPrEx>
              <w:trPr>
                <w:trHeight w:val="54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F08B3F">
                  <w:pPr>
                    <w:widowControl/>
                    <w:autoSpaceDE/>
                    <w:autoSpaceDN/>
                    <w:jc w:val="center"/>
                    <w:rPr>
                      <w:b/>
                      <w:bCs/>
                      <w:color w:val="000000" w:themeColor="text1"/>
                      <w:lang w:eastAsia="zh-CN"/>
                    </w:rPr>
                  </w:pPr>
                  <w:r>
                    <w:rPr>
                      <w:rFonts w:hint="eastAsia"/>
                      <w:b/>
                      <w:bCs/>
                      <w:color w:val="000000" w:themeColor="text1"/>
                      <w:lang w:eastAsia="zh-CN"/>
                    </w:rPr>
                    <w:t>序号</w:t>
                  </w:r>
                </w:p>
              </w:tc>
              <w:tc>
                <w:tcPr>
                  <w:tcW w:w="2320" w:type="dxa"/>
                  <w:tcBorders>
                    <w:top w:val="single" w:color="auto" w:sz="4" w:space="0"/>
                    <w:left w:val="nil"/>
                    <w:bottom w:val="single" w:color="auto" w:sz="4" w:space="0"/>
                    <w:right w:val="single" w:color="auto" w:sz="4" w:space="0"/>
                  </w:tcBorders>
                  <w:shd w:val="clear" w:color="auto" w:fill="auto"/>
                  <w:noWrap/>
                  <w:vAlign w:val="bottom"/>
                </w:tcPr>
                <w:p w14:paraId="181AB114">
                  <w:pPr>
                    <w:widowControl/>
                    <w:autoSpaceDE/>
                    <w:autoSpaceDN/>
                    <w:jc w:val="center"/>
                    <w:rPr>
                      <w:b/>
                      <w:bCs/>
                      <w:color w:val="000000" w:themeColor="text1"/>
                      <w:lang w:eastAsia="zh-CN"/>
                    </w:rPr>
                  </w:pPr>
                  <w:r>
                    <w:rPr>
                      <w:rFonts w:hint="eastAsia"/>
                      <w:b/>
                      <w:bCs/>
                      <w:color w:val="000000" w:themeColor="text1"/>
                      <w:lang w:val="en-US" w:eastAsia="zh-CN"/>
                    </w:rPr>
                    <w:t>项目</w:t>
                  </w:r>
                </w:p>
              </w:tc>
              <w:tc>
                <w:tcPr>
                  <w:tcW w:w="1695" w:type="dxa"/>
                  <w:tcBorders>
                    <w:top w:val="single" w:color="auto" w:sz="4" w:space="0"/>
                    <w:left w:val="nil"/>
                    <w:bottom w:val="single" w:color="auto" w:sz="4" w:space="0"/>
                    <w:right w:val="single" w:color="auto" w:sz="4" w:space="0"/>
                  </w:tcBorders>
                  <w:shd w:val="clear" w:color="auto" w:fill="auto"/>
                  <w:noWrap/>
                  <w:vAlign w:val="bottom"/>
                </w:tcPr>
                <w:p w14:paraId="530800CA">
                  <w:pPr>
                    <w:widowControl/>
                    <w:autoSpaceDE/>
                    <w:autoSpaceDN/>
                    <w:jc w:val="center"/>
                    <w:rPr>
                      <w:b/>
                      <w:bCs/>
                      <w:color w:val="000000" w:themeColor="text1"/>
                      <w:lang w:eastAsia="zh-CN"/>
                    </w:rPr>
                  </w:pPr>
                  <w:r>
                    <w:rPr>
                      <w:rFonts w:hint="eastAsia"/>
                      <w:b/>
                      <w:bCs/>
                      <w:color w:val="000000" w:themeColor="text1"/>
                      <w:lang w:eastAsia="zh-CN"/>
                    </w:rPr>
                    <w:t>费用（元）</w:t>
                  </w:r>
                </w:p>
              </w:tc>
              <w:tc>
                <w:tcPr>
                  <w:tcW w:w="1370" w:type="dxa"/>
                  <w:tcBorders>
                    <w:top w:val="single" w:color="auto" w:sz="4" w:space="0"/>
                    <w:left w:val="nil"/>
                    <w:bottom w:val="single" w:color="auto" w:sz="4" w:space="0"/>
                    <w:right w:val="single" w:color="auto" w:sz="4" w:space="0"/>
                  </w:tcBorders>
                  <w:shd w:val="clear" w:color="auto" w:fill="auto"/>
                  <w:vAlign w:val="bottom"/>
                </w:tcPr>
                <w:p w14:paraId="75132BE2">
                  <w:pPr>
                    <w:widowControl/>
                    <w:autoSpaceDE/>
                    <w:autoSpaceDN/>
                    <w:jc w:val="center"/>
                    <w:rPr>
                      <w:b/>
                      <w:bCs/>
                      <w:color w:val="000000" w:themeColor="text1"/>
                      <w:lang w:eastAsia="zh-CN"/>
                    </w:rPr>
                  </w:pPr>
                  <w:r>
                    <w:rPr>
                      <w:rFonts w:hint="eastAsia"/>
                      <w:b/>
                      <w:bCs/>
                      <w:color w:val="000000" w:themeColor="text1"/>
                      <w:lang w:eastAsia="zh-CN"/>
                    </w:rPr>
                    <w:t>所含税率</w:t>
                  </w:r>
                </w:p>
              </w:tc>
              <w:tc>
                <w:tcPr>
                  <w:tcW w:w="1219" w:type="dxa"/>
                  <w:tcBorders>
                    <w:top w:val="single" w:color="auto" w:sz="4" w:space="0"/>
                    <w:left w:val="nil"/>
                    <w:bottom w:val="single" w:color="auto" w:sz="4" w:space="0"/>
                    <w:right w:val="single" w:color="auto" w:sz="4" w:space="0"/>
                  </w:tcBorders>
                  <w:shd w:val="clear" w:color="auto" w:fill="auto"/>
                  <w:noWrap/>
                  <w:vAlign w:val="bottom"/>
                </w:tcPr>
                <w:p w14:paraId="7B876985">
                  <w:pPr>
                    <w:widowControl/>
                    <w:autoSpaceDE/>
                    <w:autoSpaceDN/>
                    <w:jc w:val="center"/>
                    <w:rPr>
                      <w:b/>
                      <w:bCs/>
                      <w:color w:val="000000" w:themeColor="text1"/>
                      <w:lang w:eastAsia="zh-CN"/>
                    </w:rPr>
                  </w:pPr>
                  <w:r>
                    <w:rPr>
                      <w:rFonts w:hint="eastAsia"/>
                      <w:b/>
                      <w:bCs/>
                      <w:color w:val="000000" w:themeColor="text1"/>
                      <w:lang w:eastAsia="zh-CN"/>
                    </w:rPr>
                    <w:t>备注</w:t>
                  </w:r>
                </w:p>
              </w:tc>
            </w:tr>
            <w:tr w14:paraId="4C09362A">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255031EE">
                  <w:pPr>
                    <w:widowControl/>
                    <w:autoSpaceDE/>
                    <w:autoSpaceDN/>
                    <w:jc w:val="center"/>
                    <w:rPr>
                      <w:b/>
                      <w:bCs/>
                      <w:color w:val="000000" w:themeColor="text1"/>
                      <w:lang w:eastAsia="zh-CN"/>
                    </w:rPr>
                  </w:pPr>
                  <w:r>
                    <w:rPr>
                      <w:rFonts w:hint="eastAsia"/>
                      <w:b/>
                      <w:bCs/>
                      <w:color w:val="000000" w:themeColor="text1"/>
                      <w:lang w:eastAsia="zh-CN"/>
                    </w:rPr>
                    <w:t>1</w:t>
                  </w:r>
                </w:p>
              </w:tc>
              <w:tc>
                <w:tcPr>
                  <w:tcW w:w="2320" w:type="dxa"/>
                  <w:tcBorders>
                    <w:top w:val="nil"/>
                    <w:left w:val="nil"/>
                    <w:bottom w:val="single" w:color="auto" w:sz="4" w:space="0"/>
                    <w:right w:val="single" w:color="auto" w:sz="4" w:space="0"/>
                  </w:tcBorders>
                  <w:shd w:val="clear" w:color="auto" w:fill="auto"/>
                  <w:noWrap/>
                  <w:vAlign w:val="bottom"/>
                </w:tcPr>
                <w:p w14:paraId="1098325C">
                  <w:pPr>
                    <w:widowControl/>
                    <w:autoSpaceDE/>
                    <w:autoSpaceDN/>
                    <w:jc w:val="center"/>
                    <w:rPr>
                      <w:rFonts w:hint="eastAsia"/>
                      <w:b/>
                      <w:bCs/>
                      <w:color w:val="000000" w:themeColor="text1"/>
                      <w:lang w:eastAsia="zh-CN"/>
                    </w:rPr>
                  </w:pPr>
                  <w:r>
                    <w:rPr>
                      <w:rFonts w:hint="eastAsia"/>
                      <w:b/>
                      <w:bCs/>
                      <w:color w:val="000000" w:themeColor="text1"/>
                      <w:lang w:val="en-US" w:eastAsia="zh-CN"/>
                    </w:rPr>
                    <w:t>沸腾床加氢装置</w:t>
                  </w:r>
                </w:p>
              </w:tc>
              <w:tc>
                <w:tcPr>
                  <w:tcW w:w="1695" w:type="dxa"/>
                  <w:tcBorders>
                    <w:top w:val="nil"/>
                    <w:left w:val="nil"/>
                    <w:bottom w:val="single" w:color="auto" w:sz="4" w:space="0"/>
                    <w:right w:val="single" w:color="auto" w:sz="4" w:space="0"/>
                  </w:tcBorders>
                  <w:shd w:val="clear" w:color="auto" w:fill="auto"/>
                  <w:noWrap/>
                  <w:vAlign w:val="bottom"/>
                </w:tcPr>
                <w:p w14:paraId="39D09E0F">
                  <w:pPr>
                    <w:widowControl/>
                    <w:autoSpaceDE/>
                    <w:autoSpaceDN/>
                    <w:jc w:val="center"/>
                    <w:rPr>
                      <w:b/>
                      <w:bCs/>
                      <w:color w:val="000000" w:themeColor="text1"/>
                      <w:lang w:eastAsia="zh-CN"/>
                    </w:rPr>
                  </w:pPr>
                  <w:r>
                    <w:rPr>
                      <w:rFonts w:hint="eastAsia"/>
                      <w:b/>
                      <w:bCs/>
                      <w:color w:val="000000" w:themeColor="text1"/>
                      <w:lang w:eastAsia="zh-CN"/>
                    </w:rPr>
                    <w:t>　</w:t>
                  </w:r>
                </w:p>
              </w:tc>
              <w:tc>
                <w:tcPr>
                  <w:tcW w:w="1370" w:type="dxa"/>
                  <w:tcBorders>
                    <w:top w:val="nil"/>
                    <w:left w:val="nil"/>
                    <w:bottom w:val="single" w:color="auto" w:sz="4" w:space="0"/>
                    <w:right w:val="single" w:color="auto" w:sz="4" w:space="0"/>
                  </w:tcBorders>
                  <w:shd w:val="clear" w:color="auto" w:fill="auto"/>
                  <w:vAlign w:val="bottom"/>
                </w:tcPr>
                <w:p w14:paraId="134C667D">
                  <w:pPr>
                    <w:widowControl/>
                    <w:autoSpaceDE/>
                    <w:autoSpaceDN/>
                    <w:jc w:val="center"/>
                    <w:rPr>
                      <w:b/>
                      <w:bCs/>
                      <w:color w:val="000000" w:themeColor="text1"/>
                      <w:lang w:eastAsia="zh-CN"/>
                    </w:rPr>
                  </w:pPr>
                </w:p>
              </w:tc>
              <w:tc>
                <w:tcPr>
                  <w:tcW w:w="1219" w:type="dxa"/>
                  <w:tcBorders>
                    <w:top w:val="nil"/>
                    <w:left w:val="nil"/>
                    <w:bottom w:val="single" w:color="auto" w:sz="4" w:space="0"/>
                    <w:right w:val="single" w:color="auto" w:sz="4" w:space="0"/>
                  </w:tcBorders>
                  <w:shd w:val="clear" w:color="auto" w:fill="auto"/>
                  <w:noWrap/>
                  <w:vAlign w:val="bottom"/>
                </w:tcPr>
                <w:p w14:paraId="7504965C">
                  <w:pPr>
                    <w:widowControl/>
                    <w:autoSpaceDE/>
                    <w:autoSpaceDN/>
                    <w:jc w:val="center"/>
                    <w:rPr>
                      <w:b/>
                      <w:bCs/>
                      <w:color w:val="000000" w:themeColor="text1"/>
                      <w:lang w:eastAsia="zh-CN"/>
                    </w:rPr>
                  </w:pPr>
                  <w:r>
                    <w:rPr>
                      <w:rFonts w:hint="eastAsia"/>
                      <w:b/>
                      <w:bCs/>
                      <w:color w:val="000000" w:themeColor="text1"/>
                      <w:lang w:eastAsia="zh-CN"/>
                    </w:rPr>
                    <w:t>　</w:t>
                  </w:r>
                </w:p>
              </w:tc>
            </w:tr>
            <w:tr w14:paraId="63F6A8B1">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186FD515">
                  <w:pPr>
                    <w:widowControl/>
                    <w:autoSpaceDE/>
                    <w:autoSpaceDN/>
                    <w:jc w:val="center"/>
                    <w:rPr>
                      <w:b/>
                      <w:bCs/>
                      <w:color w:val="000000" w:themeColor="text1"/>
                      <w:lang w:eastAsia="zh-CN"/>
                    </w:rPr>
                  </w:pPr>
                  <w:r>
                    <w:rPr>
                      <w:rFonts w:hint="eastAsia"/>
                      <w:b/>
                      <w:bCs/>
                      <w:color w:val="000000" w:themeColor="text1"/>
                      <w:lang w:eastAsia="zh-CN"/>
                    </w:rPr>
                    <w:t>2</w:t>
                  </w:r>
                </w:p>
              </w:tc>
              <w:tc>
                <w:tcPr>
                  <w:tcW w:w="2320" w:type="dxa"/>
                  <w:tcBorders>
                    <w:top w:val="nil"/>
                    <w:left w:val="nil"/>
                    <w:bottom w:val="single" w:color="auto" w:sz="4" w:space="0"/>
                    <w:right w:val="single" w:color="auto" w:sz="4" w:space="0"/>
                  </w:tcBorders>
                  <w:shd w:val="clear" w:color="auto" w:fill="auto"/>
                  <w:noWrap/>
                  <w:vAlign w:val="bottom"/>
                </w:tcPr>
                <w:p w14:paraId="154E48B8">
                  <w:pPr>
                    <w:widowControl/>
                    <w:autoSpaceDE/>
                    <w:autoSpaceDN/>
                    <w:jc w:val="center"/>
                    <w:rPr>
                      <w:rFonts w:hint="eastAsia"/>
                      <w:b/>
                      <w:bCs/>
                      <w:color w:val="000000" w:themeColor="text1"/>
                      <w:lang w:eastAsia="zh-CN"/>
                    </w:rPr>
                  </w:pPr>
                  <w:r>
                    <w:rPr>
                      <w:rFonts w:hint="eastAsia"/>
                      <w:b/>
                      <w:bCs/>
                      <w:color w:val="000000" w:themeColor="text1"/>
                      <w:lang w:val="en-US" w:eastAsia="zh-CN"/>
                    </w:rPr>
                    <w:t>公用工程（新建储罐、循环水站、除盐水站及管廊等）</w:t>
                  </w:r>
                </w:p>
              </w:tc>
              <w:tc>
                <w:tcPr>
                  <w:tcW w:w="1695" w:type="dxa"/>
                  <w:tcBorders>
                    <w:top w:val="nil"/>
                    <w:left w:val="nil"/>
                    <w:bottom w:val="single" w:color="auto" w:sz="4" w:space="0"/>
                    <w:right w:val="single" w:color="auto" w:sz="4" w:space="0"/>
                  </w:tcBorders>
                  <w:shd w:val="clear" w:color="auto" w:fill="auto"/>
                  <w:noWrap/>
                  <w:vAlign w:val="bottom"/>
                </w:tcPr>
                <w:p w14:paraId="77487642">
                  <w:pPr>
                    <w:widowControl/>
                    <w:autoSpaceDE/>
                    <w:autoSpaceDN/>
                    <w:jc w:val="center"/>
                    <w:rPr>
                      <w:b/>
                      <w:bCs/>
                      <w:color w:val="000000" w:themeColor="text1"/>
                      <w:lang w:eastAsia="zh-CN"/>
                    </w:rPr>
                  </w:pPr>
                  <w:r>
                    <w:rPr>
                      <w:rFonts w:hint="eastAsia"/>
                      <w:b/>
                      <w:bCs/>
                      <w:color w:val="000000" w:themeColor="text1"/>
                      <w:lang w:eastAsia="zh-CN"/>
                    </w:rPr>
                    <w:t>　</w:t>
                  </w:r>
                </w:p>
              </w:tc>
              <w:tc>
                <w:tcPr>
                  <w:tcW w:w="1370" w:type="dxa"/>
                  <w:tcBorders>
                    <w:top w:val="nil"/>
                    <w:left w:val="nil"/>
                    <w:bottom w:val="single" w:color="auto" w:sz="4" w:space="0"/>
                    <w:right w:val="single" w:color="auto" w:sz="4" w:space="0"/>
                  </w:tcBorders>
                  <w:shd w:val="clear" w:color="auto" w:fill="auto"/>
                  <w:vAlign w:val="bottom"/>
                </w:tcPr>
                <w:p w14:paraId="31EDC3C1">
                  <w:pPr>
                    <w:widowControl/>
                    <w:autoSpaceDE/>
                    <w:autoSpaceDN/>
                    <w:jc w:val="center"/>
                    <w:rPr>
                      <w:b/>
                      <w:bCs/>
                      <w:color w:val="000000" w:themeColor="text1"/>
                      <w:lang w:eastAsia="zh-CN"/>
                    </w:rPr>
                  </w:pPr>
                </w:p>
              </w:tc>
              <w:tc>
                <w:tcPr>
                  <w:tcW w:w="1219" w:type="dxa"/>
                  <w:tcBorders>
                    <w:top w:val="nil"/>
                    <w:left w:val="nil"/>
                    <w:bottom w:val="single" w:color="auto" w:sz="4" w:space="0"/>
                    <w:right w:val="single" w:color="auto" w:sz="4" w:space="0"/>
                  </w:tcBorders>
                  <w:shd w:val="clear" w:color="auto" w:fill="auto"/>
                  <w:noWrap/>
                  <w:vAlign w:val="bottom"/>
                </w:tcPr>
                <w:p w14:paraId="097B8DAC">
                  <w:pPr>
                    <w:widowControl/>
                    <w:autoSpaceDE/>
                    <w:autoSpaceDN/>
                    <w:jc w:val="center"/>
                    <w:rPr>
                      <w:b/>
                      <w:bCs/>
                      <w:color w:val="000000" w:themeColor="text1"/>
                      <w:lang w:eastAsia="zh-CN"/>
                    </w:rPr>
                  </w:pPr>
                  <w:r>
                    <w:rPr>
                      <w:rFonts w:hint="eastAsia"/>
                      <w:b/>
                      <w:bCs/>
                      <w:color w:val="000000" w:themeColor="text1"/>
                      <w:lang w:eastAsia="zh-CN"/>
                    </w:rPr>
                    <w:t>　</w:t>
                  </w:r>
                </w:p>
              </w:tc>
            </w:tr>
            <w:tr w14:paraId="04058D1D">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8B28AC3">
                  <w:pPr>
                    <w:widowControl/>
                    <w:autoSpaceDE/>
                    <w:autoSpaceDN/>
                    <w:jc w:val="center"/>
                    <w:rPr>
                      <w:b/>
                      <w:bCs/>
                      <w:color w:val="000000" w:themeColor="text1"/>
                      <w:lang w:eastAsia="zh-CN"/>
                    </w:rPr>
                  </w:pPr>
                  <w:r>
                    <w:rPr>
                      <w:rFonts w:hint="eastAsia"/>
                      <w:b/>
                      <w:bCs/>
                      <w:color w:val="000000" w:themeColor="text1"/>
                      <w:lang w:eastAsia="zh-CN"/>
                    </w:rPr>
                    <w:t>3</w:t>
                  </w:r>
                </w:p>
              </w:tc>
              <w:tc>
                <w:tcPr>
                  <w:tcW w:w="2320" w:type="dxa"/>
                  <w:tcBorders>
                    <w:top w:val="nil"/>
                    <w:left w:val="nil"/>
                    <w:bottom w:val="single" w:color="auto" w:sz="4" w:space="0"/>
                    <w:right w:val="single" w:color="auto" w:sz="4" w:space="0"/>
                  </w:tcBorders>
                  <w:shd w:val="clear" w:color="auto" w:fill="auto"/>
                  <w:noWrap/>
                  <w:vAlign w:val="bottom"/>
                </w:tcPr>
                <w:p w14:paraId="44820300">
                  <w:pPr>
                    <w:widowControl/>
                    <w:autoSpaceDE/>
                    <w:autoSpaceDN/>
                    <w:jc w:val="center"/>
                    <w:rPr>
                      <w:rFonts w:hint="eastAsia"/>
                      <w:b/>
                      <w:bCs/>
                      <w:color w:val="000000" w:themeColor="text1"/>
                      <w:lang w:eastAsia="zh-CN"/>
                    </w:rPr>
                  </w:pPr>
                  <w:r>
                    <w:rPr>
                      <w:rFonts w:hint="eastAsia"/>
                      <w:b/>
                      <w:bCs/>
                      <w:color w:val="000000" w:themeColor="text1"/>
                      <w:lang w:val="en-US" w:eastAsia="zh-CN"/>
                    </w:rPr>
                    <w:t>新建硫磺回收装置</w:t>
                  </w:r>
                </w:p>
              </w:tc>
              <w:tc>
                <w:tcPr>
                  <w:tcW w:w="1695" w:type="dxa"/>
                  <w:tcBorders>
                    <w:top w:val="nil"/>
                    <w:left w:val="nil"/>
                    <w:bottom w:val="single" w:color="auto" w:sz="4" w:space="0"/>
                    <w:right w:val="single" w:color="auto" w:sz="4" w:space="0"/>
                  </w:tcBorders>
                  <w:shd w:val="clear" w:color="auto" w:fill="auto"/>
                  <w:noWrap/>
                  <w:vAlign w:val="bottom"/>
                </w:tcPr>
                <w:p w14:paraId="4AB9FEA0">
                  <w:pPr>
                    <w:widowControl/>
                    <w:autoSpaceDE/>
                    <w:autoSpaceDN/>
                    <w:jc w:val="center"/>
                    <w:rPr>
                      <w:b/>
                      <w:bCs/>
                      <w:color w:val="000000" w:themeColor="text1"/>
                      <w:lang w:eastAsia="zh-CN"/>
                    </w:rPr>
                  </w:pPr>
                  <w:r>
                    <w:rPr>
                      <w:rFonts w:hint="eastAsia"/>
                      <w:b/>
                      <w:bCs/>
                      <w:color w:val="000000" w:themeColor="text1"/>
                      <w:lang w:eastAsia="zh-CN"/>
                    </w:rPr>
                    <w:t>　</w:t>
                  </w:r>
                </w:p>
              </w:tc>
              <w:tc>
                <w:tcPr>
                  <w:tcW w:w="1370" w:type="dxa"/>
                  <w:tcBorders>
                    <w:top w:val="nil"/>
                    <w:left w:val="nil"/>
                    <w:bottom w:val="single" w:color="auto" w:sz="4" w:space="0"/>
                    <w:right w:val="single" w:color="auto" w:sz="4" w:space="0"/>
                  </w:tcBorders>
                  <w:shd w:val="clear" w:color="auto" w:fill="auto"/>
                  <w:vAlign w:val="bottom"/>
                </w:tcPr>
                <w:p w14:paraId="5C6A21FB">
                  <w:pPr>
                    <w:widowControl/>
                    <w:autoSpaceDE/>
                    <w:autoSpaceDN/>
                    <w:jc w:val="center"/>
                    <w:rPr>
                      <w:b/>
                      <w:bCs/>
                      <w:color w:val="000000" w:themeColor="text1"/>
                      <w:lang w:eastAsia="zh-CN"/>
                    </w:rPr>
                  </w:pPr>
                </w:p>
              </w:tc>
              <w:tc>
                <w:tcPr>
                  <w:tcW w:w="1219" w:type="dxa"/>
                  <w:tcBorders>
                    <w:top w:val="nil"/>
                    <w:left w:val="nil"/>
                    <w:bottom w:val="single" w:color="auto" w:sz="4" w:space="0"/>
                    <w:right w:val="single" w:color="auto" w:sz="4" w:space="0"/>
                  </w:tcBorders>
                  <w:shd w:val="clear" w:color="auto" w:fill="auto"/>
                  <w:noWrap/>
                  <w:vAlign w:val="bottom"/>
                </w:tcPr>
                <w:p w14:paraId="6EA67C90">
                  <w:pPr>
                    <w:widowControl/>
                    <w:autoSpaceDE/>
                    <w:autoSpaceDN/>
                    <w:jc w:val="center"/>
                    <w:rPr>
                      <w:b/>
                      <w:bCs/>
                      <w:color w:val="000000" w:themeColor="text1"/>
                      <w:lang w:eastAsia="zh-CN"/>
                    </w:rPr>
                  </w:pPr>
                  <w:r>
                    <w:rPr>
                      <w:rFonts w:hint="eastAsia"/>
                      <w:b/>
                      <w:bCs/>
                      <w:color w:val="000000" w:themeColor="text1"/>
                      <w:lang w:eastAsia="zh-CN"/>
                    </w:rPr>
                    <w:t>　</w:t>
                  </w:r>
                </w:p>
              </w:tc>
            </w:tr>
            <w:tr w14:paraId="2D067AA1">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51A5DB3E">
                  <w:pPr>
                    <w:widowControl/>
                    <w:autoSpaceDE/>
                    <w:autoSpaceDN/>
                    <w:jc w:val="center"/>
                    <w:rPr>
                      <w:b/>
                      <w:bCs/>
                      <w:color w:val="000000" w:themeColor="text1"/>
                      <w:lang w:eastAsia="zh-CN"/>
                    </w:rPr>
                  </w:pPr>
                  <w:r>
                    <w:rPr>
                      <w:rFonts w:hint="eastAsia"/>
                      <w:b/>
                      <w:bCs/>
                      <w:color w:val="000000" w:themeColor="text1"/>
                      <w:lang w:val="en-US" w:eastAsia="zh-CN"/>
                    </w:rPr>
                    <w:t>4</w:t>
                  </w:r>
                </w:p>
              </w:tc>
              <w:tc>
                <w:tcPr>
                  <w:tcW w:w="2320" w:type="dxa"/>
                  <w:tcBorders>
                    <w:top w:val="nil"/>
                    <w:left w:val="nil"/>
                    <w:bottom w:val="single" w:color="auto" w:sz="4" w:space="0"/>
                    <w:right w:val="single" w:color="auto" w:sz="4" w:space="0"/>
                  </w:tcBorders>
                  <w:shd w:val="clear" w:color="auto" w:fill="auto"/>
                  <w:noWrap/>
                  <w:vAlign w:val="bottom"/>
                </w:tcPr>
                <w:p w14:paraId="62D8C15F">
                  <w:pPr>
                    <w:widowControl/>
                    <w:autoSpaceDE/>
                    <w:autoSpaceDN/>
                    <w:jc w:val="center"/>
                    <w:rPr>
                      <w:b/>
                      <w:bCs/>
                      <w:color w:val="000000" w:themeColor="text1"/>
                      <w:lang w:eastAsia="zh-CN"/>
                    </w:rPr>
                  </w:pPr>
                  <w:r>
                    <w:rPr>
                      <w:rFonts w:hint="eastAsia"/>
                      <w:b/>
                      <w:bCs/>
                      <w:color w:val="000000" w:themeColor="text1"/>
                      <w:lang w:eastAsia="zh-CN"/>
                    </w:rPr>
                    <w:t>总合计</w:t>
                  </w:r>
                </w:p>
              </w:tc>
              <w:tc>
                <w:tcPr>
                  <w:tcW w:w="1695" w:type="dxa"/>
                  <w:tcBorders>
                    <w:top w:val="nil"/>
                    <w:left w:val="nil"/>
                    <w:bottom w:val="single" w:color="auto" w:sz="4" w:space="0"/>
                    <w:right w:val="single" w:color="auto" w:sz="4" w:space="0"/>
                  </w:tcBorders>
                  <w:shd w:val="clear" w:color="auto" w:fill="auto"/>
                  <w:noWrap/>
                  <w:vAlign w:val="bottom"/>
                </w:tcPr>
                <w:p w14:paraId="307F5046">
                  <w:pPr>
                    <w:widowControl/>
                    <w:autoSpaceDE/>
                    <w:autoSpaceDN/>
                    <w:jc w:val="center"/>
                    <w:rPr>
                      <w:b/>
                      <w:bCs/>
                      <w:color w:val="000000" w:themeColor="text1"/>
                      <w:lang w:eastAsia="zh-CN"/>
                    </w:rPr>
                  </w:pPr>
                  <w:r>
                    <w:rPr>
                      <w:rFonts w:hint="eastAsia"/>
                      <w:b/>
                      <w:bCs/>
                      <w:color w:val="000000" w:themeColor="text1"/>
                      <w:lang w:eastAsia="zh-CN"/>
                    </w:rPr>
                    <w:t>　</w:t>
                  </w:r>
                </w:p>
              </w:tc>
              <w:tc>
                <w:tcPr>
                  <w:tcW w:w="1370" w:type="dxa"/>
                  <w:tcBorders>
                    <w:top w:val="nil"/>
                    <w:left w:val="nil"/>
                    <w:bottom w:val="single" w:color="auto" w:sz="4" w:space="0"/>
                    <w:right w:val="single" w:color="auto" w:sz="4" w:space="0"/>
                  </w:tcBorders>
                  <w:shd w:val="clear" w:color="auto" w:fill="auto"/>
                  <w:vAlign w:val="bottom"/>
                </w:tcPr>
                <w:p w14:paraId="1F376373">
                  <w:pPr>
                    <w:widowControl/>
                    <w:autoSpaceDE/>
                    <w:autoSpaceDN/>
                    <w:jc w:val="center"/>
                    <w:rPr>
                      <w:b/>
                      <w:bCs/>
                      <w:color w:val="000000" w:themeColor="text1"/>
                      <w:lang w:eastAsia="zh-CN"/>
                    </w:rPr>
                  </w:pPr>
                </w:p>
              </w:tc>
              <w:tc>
                <w:tcPr>
                  <w:tcW w:w="1219" w:type="dxa"/>
                  <w:tcBorders>
                    <w:top w:val="nil"/>
                    <w:left w:val="nil"/>
                    <w:bottom w:val="single" w:color="auto" w:sz="4" w:space="0"/>
                    <w:right w:val="single" w:color="auto" w:sz="4" w:space="0"/>
                  </w:tcBorders>
                  <w:shd w:val="clear" w:color="auto" w:fill="auto"/>
                  <w:noWrap/>
                  <w:vAlign w:val="bottom"/>
                </w:tcPr>
                <w:p w14:paraId="2AEEFA56">
                  <w:pPr>
                    <w:widowControl/>
                    <w:autoSpaceDE/>
                    <w:autoSpaceDN/>
                    <w:jc w:val="center"/>
                    <w:rPr>
                      <w:b/>
                      <w:bCs/>
                      <w:color w:val="000000" w:themeColor="text1"/>
                      <w:lang w:eastAsia="zh-CN"/>
                    </w:rPr>
                  </w:pPr>
                  <w:r>
                    <w:rPr>
                      <w:rFonts w:hint="eastAsia"/>
                      <w:b/>
                      <w:bCs/>
                      <w:color w:val="000000" w:themeColor="text1"/>
                      <w:lang w:eastAsia="zh-CN"/>
                    </w:rPr>
                    <w:t>　</w:t>
                  </w:r>
                </w:p>
              </w:tc>
            </w:tr>
          </w:tbl>
          <w:p w14:paraId="70A14B6D">
            <w:pPr>
              <w:pStyle w:val="54"/>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4"/>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14:paraId="7552A79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40</w:t>
            </w:r>
            <w:r>
              <w:rPr>
                <w:b/>
                <w:bCs/>
                <w:sz w:val="24"/>
                <w:szCs w:val="24"/>
              </w:rPr>
              <w:fldChar w:fldCharType="end"/>
            </w:r>
          </w:p>
        </w:sdtContent>
      </w:sdt>
    </w:sdtContent>
  </w:sdt>
  <w:p w14:paraId="642D1A21">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22181"/>
    <w:multiLevelType w:val="singleLevel"/>
    <w:tmpl w:val="EA222181"/>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034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790"/>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48447AC"/>
    <w:rsid w:val="061139E5"/>
    <w:rsid w:val="06F50B00"/>
    <w:rsid w:val="076E1278"/>
    <w:rsid w:val="08D1141D"/>
    <w:rsid w:val="0B296DE2"/>
    <w:rsid w:val="0B867E39"/>
    <w:rsid w:val="10294AA3"/>
    <w:rsid w:val="10E40CA0"/>
    <w:rsid w:val="136130D9"/>
    <w:rsid w:val="16723724"/>
    <w:rsid w:val="18DD4F7E"/>
    <w:rsid w:val="195B58A2"/>
    <w:rsid w:val="1E085A14"/>
    <w:rsid w:val="1FF43DDB"/>
    <w:rsid w:val="21933AA2"/>
    <w:rsid w:val="25BF356F"/>
    <w:rsid w:val="25DB0C2D"/>
    <w:rsid w:val="269469E7"/>
    <w:rsid w:val="29FC3B14"/>
    <w:rsid w:val="2B11792E"/>
    <w:rsid w:val="31C54755"/>
    <w:rsid w:val="3216608C"/>
    <w:rsid w:val="34CE14C6"/>
    <w:rsid w:val="34D84CEC"/>
    <w:rsid w:val="354544E6"/>
    <w:rsid w:val="37AF5AB7"/>
    <w:rsid w:val="3B1C3371"/>
    <w:rsid w:val="3CC23198"/>
    <w:rsid w:val="3DDF4815"/>
    <w:rsid w:val="3FE669E5"/>
    <w:rsid w:val="47E83D52"/>
    <w:rsid w:val="4A21633F"/>
    <w:rsid w:val="4DC808DA"/>
    <w:rsid w:val="50F63E28"/>
    <w:rsid w:val="5221007F"/>
    <w:rsid w:val="52926B5A"/>
    <w:rsid w:val="545C5E51"/>
    <w:rsid w:val="5486175B"/>
    <w:rsid w:val="57667D24"/>
    <w:rsid w:val="57CE5BC3"/>
    <w:rsid w:val="5AE1516A"/>
    <w:rsid w:val="5B6A3A79"/>
    <w:rsid w:val="5B7847BE"/>
    <w:rsid w:val="5C1A5F7B"/>
    <w:rsid w:val="61D143A0"/>
    <w:rsid w:val="645771F8"/>
    <w:rsid w:val="66CD52B3"/>
    <w:rsid w:val="68CA13C4"/>
    <w:rsid w:val="6A54112D"/>
    <w:rsid w:val="6AA035AE"/>
    <w:rsid w:val="6E0F2E14"/>
    <w:rsid w:val="6F1E141D"/>
    <w:rsid w:val="6F5354F8"/>
    <w:rsid w:val="740A2BDE"/>
    <w:rsid w:val="751839E0"/>
    <w:rsid w:val="76274F93"/>
    <w:rsid w:val="79EB3F2F"/>
    <w:rsid w:val="7B11789E"/>
    <w:rsid w:val="7D77222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99"/>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7"/>
    <w:link w:val="38"/>
    <w:uiPriority w:val="0"/>
    <w:rPr>
      <w:rFonts w:ascii="Arial" w:hAnsi="Arial" w:cs="Arial"/>
      <w:kern w:val="2"/>
      <w:sz w:val="24"/>
      <w:szCs w:val="24"/>
      <w:shd w:val="pct20" w:color="auto" w:fill="auto"/>
    </w:rPr>
  </w:style>
  <w:style w:type="character" w:customStyle="1" w:styleId="103">
    <w:name w:val="正文文本 3 Char1"/>
    <w:basedOn w:val="47"/>
    <w:uiPriority w:val="0"/>
    <w:rPr>
      <w:rFonts w:ascii="宋体" w:hAnsi="宋体" w:cs="宋体"/>
      <w:sz w:val="16"/>
      <w:szCs w:val="16"/>
      <w:lang w:eastAsia="en-US"/>
    </w:rPr>
  </w:style>
  <w:style w:type="paragraph" w:customStyle="1" w:styleId="104">
    <w:name w:val="封面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uiPriority w:val="0"/>
    <w:rPr>
      <w:rFonts w:ascii="宋体" w:hAnsi="宋体" w:cs="宋体"/>
      <w:sz w:val="22"/>
      <w:szCs w:val="22"/>
      <w:lang w:eastAsia="en-US"/>
    </w:rPr>
  </w:style>
  <w:style w:type="character" w:customStyle="1" w:styleId="107">
    <w:name w:val="批注文字 Char1"/>
    <w:basedOn w:val="47"/>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Normal_2"/>
    <w:qFormat/>
    <w:uiPriority w:val="0"/>
    <w:pPr>
      <w:spacing w:before="120" w:after="240"/>
      <w:jc w:val="both"/>
    </w:pPr>
    <w:rPr>
      <w:rFonts w:ascii="Times New Roman" w:hAnsi="Times New Roman" w:eastAsia="Times New Roman"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86299-F1E3-4ABA-9425-DB114348F63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4664</Words>
  <Characters>5016</Characters>
  <Lines>127</Lines>
  <Paragraphs>35</Paragraphs>
  <TotalTime>23</TotalTime>
  <ScaleCrop>false</ScaleCrop>
  <LinksUpToDate>false</LinksUpToDate>
  <CharactersWithSpaces>5467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2025-07-24T00:43:11Z</dcterms:modified>
  <dc:title>公开招标文件（货物服务类）</dc:title>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C854B76928304B8FBEA251A72AC3010C_12</vt:lpwstr>
  </property>
</Properties>
</file>