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98" w:rsidRDefault="009B1F98" w:rsidP="009B1F98">
      <w:pPr>
        <w:jc w:val="center"/>
        <w:rPr>
          <w:rFonts w:ascii="等线" w:eastAsia="等线" w:hAnsi="等线" w:cs="宋体"/>
          <w:sz w:val="52"/>
          <w:szCs w:val="52"/>
        </w:rPr>
      </w:pPr>
      <w:r>
        <w:rPr>
          <w:rFonts w:ascii="等线" w:eastAsia="等线" w:hAnsi="等线" w:cs="宋体"/>
          <w:noProof/>
          <w:sz w:val="52"/>
          <w:szCs w:val="52"/>
          <w:lang w:eastAsia="zh-CN"/>
        </w:rPr>
        <w:drawing>
          <wp:inline distT="0" distB="0" distL="114300" distR="114300" wp14:anchorId="232E6053" wp14:editId="45320D5E">
            <wp:extent cx="5659120" cy="885825"/>
            <wp:effectExtent l="0" t="0" r="17780" b="9525"/>
            <wp:docPr id="1" name="图片 1" descr="165949067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9490675657"/>
                    <pic:cNvPicPr>
                      <a:picLocks noChangeAspect="1"/>
                    </pic:cNvPicPr>
                  </pic:nvPicPr>
                  <pic:blipFill>
                    <a:blip r:embed="rId8"/>
                    <a:stretch>
                      <a:fillRect/>
                    </a:stretch>
                  </pic:blipFill>
                  <pic:spPr>
                    <a:xfrm>
                      <a:off x="0" y="0"/>
                      <a:ext cx="5659120" cy="885825"/>
                    </a:xfrm>
                    <a:prstGeom prst="rect">
                      <a:avLst/>
                    </a:prstGeom>
                    <a:noFill/>
                    <a:ln>
                      <a:noFill/>
                    </a:ln>
                  </pic:spPr>
                </pic:pic>
              </a:graphicData>
            </a:graphic>
          </wp:inline>
        </w:drawing>
      </w:r>
    </w:p>
    <w:p w:rsidR="009B1F98" w:rsidRDefault="009B1F98" w:rsidP="009B1F98">
      <w:pPr>
        <w:jc w:val="center"/>
        <w:rPr>
          <w:rFonts w:ascii="等线" w:eastAsia="等线" w:hAnsi="等线" w:cs="等线"/>
          <w:color w:val="FF0000"/>
          <w:sz w:val="52"/>
          <w:szCs w:val="52"/>
        </w:rPr>
      </w:pPr>
    </w:p>
    <w:p w:rsidR="009B1F98" w:rsidRDefault="009B1F98" w:rsidP="009B1F98">
      <w:pPr>
        <w:jc w:val="center"/>
        <w:rPr>
          <w:rFonts w:ascii="等线" w:eastAsia="等线" w:hAnsi="等线" w:cs="等线"/>
          <w:sz w:val="36"/>
          <w:szCs w:val="36"/>
        </w:rPr>
      </w:pPr>
      <w:r>
        <w:rPr>
          <w:rFonts w:ascii="等线" w:eastAsia="等线" w:hAnsi="等线" w:cs="等线" w:hint="eastAsia"/>
          <w:sz w:val="36"/>
          <w:szCs w:val="36"/>
        </w:rPr>
        <w:t>福建福海创石油化工有限公司</w:t>
      </w:r>
    </w:p>
    <w:p w:rsidR="009B1F98" w:rsidRDefault="009B1F98" w:rsidP="009B1F98">
      <w:pPr>
        <w:pStyle w:val="a5"/>
        <w:rPr>
          <w:rFonts w:ascii="等线" w:eastAsia="等线" w:hAnsi="等线" w:cs="等线"/>
          <w:sz w:val="36"/>
          <w:szCs w:val="36"/>
          <w:lang w:eastAsia="zh-CN"/>
        </w:rPr>
      </w:pPr>
    </w:p>
    <w:p w:rsidR="009B1F98" w:rsidRDefault="009B1F98" w:rsidP="009B1F98">
      <w:pPr>
        <w:spacing w:afterLines="50" w:after="163" w:line="360" w:lineRule="auto"/>
        <w:ind w:firstLineChars="200" w:firstLine="640"/>
        <w:jc w:val="center"/>
        <w:rPr>
          <w:rFonts w:ascii="等线" w:eastAsia="等线" w:hAnsi="等线" w:cs="等线"/>
          <w:sz w:val="32"/>
          <w:szCs w:val="32"/>
          <w:lang w:eastAsia="zh-CN"/>
        </w:rPr>
      </w:pPr>
      <w:r>
        <w:rPr>
          <w:rFonts w:ascii="等线" w:eastAsia="等线" w:hAnsi="等线" w:cs="等线" w:hint="eastAsia"/>
          <w:sz w:val="32"/>
          <w:szCs w:val="32"/>
        </w:rPr>
        <w:t>翔鹭</w:t>
      </w:r>
      <w:r>
        <w:rPr>
          <w:rFonts w:ascii="等线" w:eastAsia="等线" w:hAnsi="等线" w:cs="等线" w:hint="eastAsia"/>
          <w:sz w:val="32"/>
          <w:szCs w:val="32"/>
          <w:lang w:eastAsia="zh-CN"/>
        </w:rPr>
        <w:t>码头</w:t>
      </w:r>
      <w:r>
        <w:rPr>
          <w:rFonts w:ascii="等线" w:eastAsia="等线" w:hAnsi="等线" w:cs="等线" w:hint="eastAsia"/>
          <w:sz w:val="32"/>
          <w:szCs w:val="32"/>
        </w:rPr>
        <w:t>BC3/BC4/BC9皮带机增加自动纠偏装置</w:t>
      </w:r>
      <w:r w:rsidR="00E84211">
        <w:rPr>
          <w:rFonts w:ascii="等线" w:eastAsia="等线" w:hAnsi="等线" w:cs="等线" w:hint="eastAsia"/>
          <w:sz w:val="32"/>
          <w:szCs w:val="32"/>
          <w:lang w:eastAsia="zh-CN"/>
        </w:rPr>
        <w:t xml:space="preserve">    </w:t>
      </w:r>
      <w:r>
        <w:rPr>
          <w:rFonts w:ascii="等线" w:eastAsia="等线" w:hAnsi="等线" w:cs="等线" w:hint="eastAsia"/>
          <w:sz w:val="32"/>
          <w:szCs w:val="32"/>
          <w:lang w:eastAsia="zh-CN"/>
        </w:rPr>
        <w:t>发包说明</w:t>
      </w:r>
    </w:p>
    <w:p w:rsidR="009B1F98" w:rsidRDefault="009B1F98" w:rsidP="009B1F98">
      <w:pPr>
        <w:rPr>
          <w:rFonts w:ascii="等线" w:eastAsia="等线" w:hAnsi="等线" w:cs="等线"/>
          <w:sz w:val="32"/>
          <w:szCs w:val="32"/>
          <w:lang w:eastAsia="zh-CN"/>
        </w:rPr>
      </w:pPr>
    </w:p>
    <w:p w:rsidR="009B1F98" w:rsidRDefault="009B1F98" w:rsidP="009B1F98">
      <w:pPr>
        <w:rPr>
          <w:rFonts w:ascii="等线" w:eastAsia="等线" w:hAnsi="等线" w:cs="等线"/>
          <w:sz w:val="32"/>
          <w:szCs w:val="32"/>
          <w:lang w:eastAsia="zh-CN"/>
        </w:rPr>
      </w:pPr>
    </w:p>
    <w:p w:rsidR="009B1F98" w:rsidRDefault="009B1F98" w:rsidP="009B1F98">
      <w:pPr>
        <w:rPr>
          <w:rFonts w:ascii="等线" w:eastAsia="等线" w:hAnsi="等线" w:cs="等线"/>
          <w:sz w:val="32"/>
          <w:szCs w:val="32"/>
          <w:lang w:eastAsia="zh-CN"/>
        </w:rPr>
      </w:pPr>
      <w:r>
        <w:rPr>
          <w:rFonts w:ascii="等线" w:eastAsia="等线" w:hAnsi="等线" w:cs="等线" w:hint="eastAsia"/>
          <w:sz w:val="32"/>
          <w:szCs w:val="32"/>
          <w:lang w:eastAsia="zh-CN"/>
        </w:rPr>
        <w:t>团队</w:t>
      </w:r>
      <w:r>
        <w:rPr>
          <w:rFonts w:ascii="等线" w:eastAsia="等线" w:hAnsi="等线" w:cs="等线" w:hint="eastAsia"/>
          <w:sz w:val="32"/>
          <w:szCs w:val="32"/>
        </w:rPr>
        <w:t>编制：</w:t>
      </w:r>
      <w:r>
        <w:rPr>
          <w:rFonts w:ascii="等线" w:eastAsia="等线" w:hAnsi="等线" w:cs="等线" w:hint="eastAsia"/>
          <w:sz w:val="32"/>
          <w:szCs w:val="32"/>
          <w:lang w:eastAsia="zh-CN"/>
        </w:rPr>
        <w:t xml:space="preserve">              </w:t>
      </w:r>
      <w:r>
        <w:rPr>
          <w:rFonts w:ascii="等线" w:eastAsia="等线" w:hAnsi="等线" w:cs="等线" w:hint="eastAsia"/>
          <w:sz w:val="32"/>
          <w:szCs w:val="32"/>
        </w:rPr>
        <w:t>审核：</w:t>
      </w:r>
      <w:r>
        <w:rPr>
          <w:rFonts w:ascii="等线" w:eastAsia="等线" w:hAnsi="等线" w:cs="等线" w:hint="eastAsia"/>
          <w:sz w:val="32"/>
          <w:szCs w:val="32"/>
          <w:lang w:eastAsia="zh-CN"/>
        </w:rPr>
        <w:t xml:space="preserve">         核准：</w:t>
      </w:r>
    </w:p>
    <w:p w:rsidR="009B1F98" w:rsidRDefault="009B1F98" w:rsidP="009B1F98">
      <w:pPr>
        <w:ind w:firstLineChars="200" w:firstLine="640"/>
        <w:rPr>
          <w:rFonts w:ascii="等线" w:eastAsia="等线" w:hAnsi="等线" w:cs="等线"/>
          <w:sz w:val="32"/>
          <w:szCs w:val="32"/>
          <w:lang w:eastAsia="zh-CN"/>
        </w:rPr>
      </w:pPr>
    </w:p>
    <w:p w:rsidR="009B1F98" w:rsidRDefault="009B1F98" w:rsidP="009B1F98">
      <w:pPr>
        <w:rPr>
          <w:rFonts w:ascii="等线" w:eastAsia="等线" w:hAnsi="等线" w:cs="等线"/>
          <w:sz w:val="32"/>
          <w:szCs w:val="32"/>
          <w:lang w:eastAsia="zh-CN"/>
        </w:rPr>
      </w:pPr>
    </w:p>
    <w:p w:rsidR="009B1F98" w:rsidRDefault="009B1F98" w:rsidP="009B1F98">
      <w:pPr>
        <w:rPr>
          <w:rFonts w:ascii="等线" w:eastAsia="等线" w:hAnsi="等线" w:cs="等线"/>
          <w:sz w:val="32"/>
          <w:szCs w:val="32"/>
          <w:lang w:eastAsia="zh-CN"/>
        </w:rPr>
      </w:pPr>
    </w:p>
    <w:p w:rsidR="009B1F98" w:rsidRDefault="009B1F98" w:rsidP="009B1F98">
      <w:pPr>
        <w:rPr>
          <w:rFonts w:ascii="等线" w:eastAsia="等线" w:hAnsi="等线" w:cs="等线"/>
          <w:sz w:val="32"/>
          <w:szCs w:val="32"/>
          <w:lang w:eastAsia="zh-CN"/>
        </w:rPr>
      </w:pPr>
      <w:r>
        <w:rPr>
          <w:rFonts w:ascii="等线" w:eastAsia="等线" w:hAnsi="等线" w:cs="等线" w:hint="eastAsia"/>
          <w:sz w:val="32"/>
          <w:szCs w:val="32"/>
          <w:lang w:eastAsia="zh-CN"/>
        </w:rPr>
        <w:t>设备管理部经办：        审核：         核准：</w:t>
      </w:r>
    </w:p>
    <w:p w:rsidR="009B1F98" w:rsidRDefault="009B1F98" w:rsidP="009B1F98">
      <w:pPr>
        <w:pStyle w:val="10"/>
        <w:spacing w:after="163"/>
        <w:ind w:firstLineChars="1000" w:firstLine="3200"/>
        <w:jc w:val="left"/>
        <w:rPr>
          <w:rFonts w:ascii="等线" w:eastAsia="等线" w:hAnsi="等线" w:cs="等线"/>
          <w:b w:val="0"/>
          <w:sz w:val="32"/>
          <w:szCs w:val="32"/>
        </w:rPr>
      </w:pPr>
    </w:p>
    <w:p w:rsidR="009B1F98" w:rsidRDefault="009B1F98" w:rsidP="009B1F98">
      <w:pPr>
        <w:pStyle w:val="10"/>
        <w:spacing w:after="163"/>
        <w:ind w:firstLineChars="1000" w:firstLine="3200"/>
        <w:jc w:val="left"/>
        <w:rPr>
          <w:rFonts w:ascii="等线" w:eastAsia="等线" w:hAnsi="等线" w:cs="等线"/>
          <w:b w:val="0"/>
          <w:sz w:val="32"/>
          <w:szCs w:val="32"/>
        </w:rPr>
      </w:pPr>
    </w:p>
    <w:p w:rsidR="009B1F98" w:rsidRDefault="009B1F98" w:rsidP="009B1F98">
      <w:pPr>
        <w:pStyle w:val="10"/>
        <w:spacing w:after="163"/>
        <w:ind w:firstLineChars="1100" w:firstLine="3520"/>
        <w:jc w:val="left"/>
        <w:rPr>
          <w:rFonts w:ascii="等线" w:eastAsia="等线" w:hAnsi="等线" w:cs="等线"/>
          <w:b w:val="0"/>
          <w:sz w:val="32"/>
          <w:szCs w:val="32"/>
        </w:rPr>
      </w:pPr>
      <w:r>
        <w:rPr>
          <w:rFonts w:ascii="等线" w:eastAsia="等线" w:hAnsi="等线" w:cs="等线" w:hint="eastAsia"/>
          <w:b w:val="0"/>
          <w:sz w:val="32"/>
          <w:szCs w:val="32"/>
        </w:rPr>
        <w:t>码头团队</w:t>
      </w:r>
    </w:p>
    <w:p w:rsidR="009B1F98" w:rsidRDefault="009B1F98" w:rsidP="009B1F98">
      <w:pPr>
        <w:pStyle w:val="10"/>
        <w:spacing w:before="360" w:after="163"/>
        <w:jc w:val="center"/>
        <w:rPr>
          <w:rFonts w:ascii="等线" w:eastAsia="等线" w:hAnsi="等线" w:cs="等线"/>
          <w:b w:val="0"/>
          <w:sz w:val="32"/>
          <w:szCs w:val="32"/>
        </w:rPr>
      </w:pPr>
      <w:r>
        <w:rPr>
          <w:rFonts w:ascii="等线" w:eastAsia="等线" w:hAnsi="等线" w:cs="等线" w:hint="eastAsia"/>
          <w:b w:val="0"/>
          <w:sz w:val="32"/>
          <w:szCs w:val="32"/>
        </w:rPr>
        <w:t>2025年04月25日</w:t>
      </w:r>
    </w:p>
    <w:p w:rsidR="009B1F98" w:rsidRDefault="009B1F98" w:rsidP="009B1F98">
      <w:pPr>
        <w:pStyle w:val="10"/>
        <w:spacing w:before="360" w:after="163"/>
        <w:jc w:val="center"/>
        <w:rPr>
          <w:rFonts w:ascii="等线" w:eastAsia="等线" w:hAnsi="等线" w:cs="等线"/>
          <w:b w:val="0"/>
          <w:sz w:val="32"/>
          <w:szCs w:val="32"/>
        </w:rPr>
        <w:sectPr w:rsidR="009B1F98">
          <w:pgSz w:w="11906" w:h="16838"/>
          <w:pgMar w:top="1440" w:right="1800" w:bottom="1440" w:left="1800" w:header="851" w:footer="992" w:gutter="0"/>
          <w:cols w:space="425"/>
          <w:docGrid w:type="lines" w:linePitch="326"/>
        </w:sectPr>
      </w:pPr>
    </w:p>
    <w:p w:rsidR="009B1F98" w:rsidRDefault="009B1F98" w:rsidP="009B1F98">
      <w:pPr>
        <w:pStyle w:val="10"/>
        <w:spacing w:before="360" w:after="156"/>
        <w:jc w:val="center"/>
        <w:rPr>
          <w:rFonts w:ascii="等线" w:eastAsia="等线" w:hAnsi="等线" w:cs="等线"/>
          <w:b w:val="0"/>
          <w:sz w:val="32"/>
          <w:szCs w:val="32"/>
        </w:rPr>
      </w:pPr>
      <w:r>
        <w:rPr>
          <w:rFonts w:ascii="等线" w:eastAsia="等线" w:hAnsi="等线" w:cs="等线" w:hint="eastAsia"/>
          <w:b w:val="0"/>
          <w:sz w:val="32"/>
          <w:szCs w:val="32"/>
        </w:rPr>
        <w:lastRenderedPageBreak/>
        <w:t>BC3/BC4/BC9</w:t>
      </w:r>
      <w:r w:rsidR="00E84211">
        <w:rPr>
          <w:rFonts w:ascii="等线" w:eastAsia="等线" w:hAnsi="等线" w:cs="等线" w:hint="eastAsia"/>
          <w:b w:val="0"/>
          <w:sz w:val="32"/>
          <w:szCs w:val="32"/>
        </w:rPr>
        <w:t>皮带机增加</w:t>
      </w:r>
      <w:r>
        <w:rPr>
          <w:rFonts w:ascii="等线" w:eastAsia="等线" w:hAnsi="等线" w:cs="等线" w:hint="eastAsia"/>
          <w:b w:val="0"/>
          <w:sz w:val="32"/>
          <w:szCs w:val="32"/>
        </w:rPr>
        <w:t>自动纠偏装置发包说明</w:t>
      </w:r>
    </w:p>
    <w:p w:rsidR="009B1F98" w:rsidRDefault="009B1F98" w:rsidP="009B1F98">
      <w:pPr>
        <w:spacing w:afterLines="50" w:after="156"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一、工程名称：</w:t>
      </w:r>
      <w:r>
        <w:rPr>
          <w:rFonts w:asciiTheme="minorEastAsia" w:eastAsiaTheme="minorEastAsia" w:hAnsiTheme="minorEastAsia" w:cstheme="minorEastAsia" w:hint="eastAsia"/>
        </w:rPr>
        <w:t>翔鹭</w:t>
      </w:r>
      <w:r>
        <w:rPr>
          <w:rFonts w:asciiTheme="minorEastAsia" w:eastAsiaTheme="minorEastAsia" w:hAnsiTheme="minorEastAsia" w:cstheme="minorEastAsia" w:hint="eastAsia"/>
          <w:lang w:eastAsia="zh-CN"/>
        </w:rPr>
        <w:t>码头</w:t>
      </w:r>
      <w:r>
        <w:rPr>
          <w:rFonts w:asciiTheme="minorEastAsia" w:eastAsiaTheme="minorEastAsia" w:hAnsiTheme="minorEastAsia" w:cstheme="minorEastAsia" w:hint="eastAsia"/>
        </w:rPr>
        <w:t>BC3/BC4/BC9</w:t>
      </w:r>
      <w:r w:rsidR="00E84211">
        <w:rPr>
          <w:rFonts w:asciiTheme="minorEastAsia" w:eastAsiaTheme="minorEastAsia" w:hAnsiTheme="minorEastAsia" w:cstheme="minorEastAsia" w:hint="eastAsia"/>
        </w:rPr>
        <w:t>皮带机</w:t>
      </w:r>
      <w:r>
        <w:rPr>
          <w:rFonts w:asciiTheme="minorEastAsia" w:eastAsiaTheme="minorEastAsia" w:hAnsiTheme="minorEastAsia" w:cstheme="minorEastAsia" w:hint="eastAsia"/>
        </w:rPr>
        <w:t>增加自动纠偏装置</w:t>
      </w:r>
    </w:p>
    <w:p w:rsidR="009B1F98" w:rsidRDefault="009B1F98" w:rsidP="009B1F98">
      <w:pPr>
        <w:spacing w:afterLines="50" w:after="156"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二、工程地点：漳州市古雷经济开发区古雷港区南8#码头</w:t>
      </w:r>
    </w:p>
    <w:p w:rsidR="009B1F98" w:rsidRDefault="009B1F98" w:rsidP="009B1F98">
      <w:pPr>
        <w:spacing w:afterLines="50" w:after="156"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三、甲商：翔鹭码头投资管理（漳州）有限公司</w:t>
      </w:r>
    </w:p>
    <w:p w:rsidR="009B1F98" w:rsidRDefault="009B1F98" w:rsidP="009B1F98">
      <w:pPr>
        <w:spacing w:afterLines="50" w:after="156"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四、乙商：承包商</w:t>
      </w:r>
    </w:p>
    <w:p w:rsidR="009B1F98" w:rsidRDefault="009B1F98" w:rsidP="009B1F98">
      <w:pPr>
        <w:spacing w:afterLines="50" w:after="156"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五、作业依据 </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DL/T 5047-1995   电力建设施工及验收规范</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DTⅡ（A）        固定式带式输送机设计选用手册</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D-YM-96          运煤部件典型设计选用手册</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GB/T 10595       带式输送机技术条件</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GB/T 987         带式输送机基本参数与尺寸（以现行有效版本为准）</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GB986            埋弧焊焊缝坡口的基本形式与尺寸</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GB3323           钢熔化焊对接接头射线照相和质量分级</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GB11345          钢焊缝手工超声波探伤方法和探伤结果分级</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GB1184           形状和位置公差、未注公差的规定</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GB1801           公差与配合尺寸至500mm孔、轴公差带与配合</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GB/T1804         一般公差线性尺寸的未注公差</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GB/T 1764        漆膜厚度测定法</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GB8923           涂装前钢料表面锈蚀等级和除锈等级</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JB/ZQ4000.7      锻件通用技术要求</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GB/T14211        机械密封试验方法</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JB4127           机械密封技术条件</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GB4720           电控</w:t>
      </w:r>
      <w:proofErr w:type="gramStart"/>
      <w:r>
        <w:rPr>
          <w:rFonts w:asciiTheme="minorEastAsia" w:eastAsiaTheme="minorEastAsia" w:hAnsiTheme="minorEastAsia" w:cstheme="minorEastAsia" w:hint="eastAsia"/>
          <w:lang w:eastAsia="zh-CN"/>
        </w:rPr>
        <w:t>设备第</w:t>
      </w:r>
      <w:proofErr w:type="gramEnd"/>
      <w:r>
        <w:rPr>
          <w:rFonts w:asciiTheme="minorEastAsia" w:eastAsiaTheme="minorEastAsia" w:hAnsiTheme="minorEastAsia" w:cstheme="minorEastAsia" w:hint="eastAsia"/>
          <w:lang w:eastAsia="zh-CN"/>
        </w:rPr>
        <w:t>一部分低压电器电控设备</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GB7251           低压成套开关设备</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GBJ55            工业与民用通用设备电力装置设计规范</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GB3859           半导体电力变流器</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GB12348          工业企业厂界噪声标准Ⅱ类混合</w:t>
      </w:r>
      <w:proofErr w:type="gramStart"/>
      <w:r>
        <w:rPr>
          <w:rFonts w:asciiTheme="minorEastAsia" w:eastAsiaTheme="minorEastAsia" w:hAnsiTheme="minorEastAsia" w:cstheme="minorEastAsia" w:hint="eastAsia"/>
          <w:lang w:eastAsia="zh-CN"/>
        </w:rPr>
        <w:t>区评价</w:t>
      </w:r>
      <w:proofErr w:type="gramEnd"/>
      <w:r>
        <w:rPr>
          <w:rFonts w:asciiTheme="minorEastAsia" w:eastAsiaTheme="minorEastAsia" w:hAnsiTheme="minorEastAsia" w:cstheme="minorEastAsia" w:hint="eastAsia"/>
          <w:lang w:eastAsia="zh-CN"/>
        </w:rPr>
        <w:t>标准</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lastRenderedPageBreak/>
        <w:t>JB/ZQ4286        包装通用技术条件</w:t>
      </w:r>
    </w:p>
    <w:p w:rsidR="009B1F98" w:rsidRDefault="009B1F98" w:rsidP="009B1F98">
      <w:pPr>
        <w:spacing w:afterLines="50" w:after="156"/>
        <w:rPr>
          <w:rFonts w:asciiTheme="minorEastAsia" w:eastAsiaTheme="minorEastAsia" w:hAnsiTheme="minorEastAsia" w:cstheme="minorEastAsia"/>
          <w:lang w:eastAsia="zh-CN"/>
        </w:rPr>
      </w:pP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JB/ZQ4000.9      装配通用技术条件</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JB8              产品标牌</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GB3181           主要产品面漆</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上述标准均为本技术要求的最新有效版本，其它未</w:t>
      </w:r>
      <w:proofErr w:type="gramStart"/>
      <w:r>
        <w:rPr>
          <w:rFonts w:asciiTheme="minorEastAsia" w:eastAsiaTheme="minorEastAsia" w:hAnsiTheme="minorEastAsia" w:cstheme="minorEastAsia" w:hint="eastAsia"/>
          <w:lang w:eastAsia="zh-CN"/>
        </w:rPr>
        <w:t>注标准</w:t>
      </w:r>
      <w:proofErr w:type="gramEnd"/>
      <w:r>
        <w:rPr>
          <w:rFonts w:asciiTheme="minorEastAsia" w:eastAsiaTheme="minorEastAsia" w:hAnsiTheme="minorEastAsia" w:cstheme="minorEastAsia" w:hint="eastAsia"/>
          <w:lang w:eastAsia="zh-CN"/>
        </w:rPr>
        <w:t>按国标、部标或行业标准执行。</w:t>
      </w:r>
    </w:p>
    <w:p w:rsidR="009B1F98" w:rsidRDefault="009B1F98" w:rsidP="009B1F98">
      <w:pPr>
        <w:spacing w:afterLines="50" w:after="156" w:line="360" w:lineRule="auto"/>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六、资质相关要求：</w:t>
      </w:r>
    </w:p>
    <w:p w:rsidR="009B1F98" w:rsidRDefault="009B1F98" w:rsidP="009B1F98">
      <w:pPr>
        <w:tabs>
          <w:tab w:val="center" w:pos="540"/>
          <w:tab w:val="center" w:pos="1080"/>
        </w:tabs>
        <w:spacing w:line="460" w:lineRule="exac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(1) </w:t>
      </w:r>
      <w:r>
        <w:rPr>
          <w:rFonts w:asciiTheme="minorEastAsia" w:eastAsiaTheme="minorEastAsia" w:hAnsiTheme="minorEastAsia" w:cstheme="minorEastAsia" w:hint="eastAsia"/>
          <w:color w:val="000000"/>
        </w:rPr>
        <w:t>投标单位应具备独立法人资格，持有有效的企业法人营业执照及资质文件，且拥有提供招标货物及服务能力的制造商或代理商</w:t>
      </w:r>
      <w:r>
        <w:rPr>
          <w:rFonts w:asciiTheme="minorEastAsia" w:eastAsiaTheme="minorEastAsia" w:hAnsiTheme="minorEastAsia" w:cstheme="minorEastAsia" w:hint="eastAsia"/>
          <w:color w:val="000000"/>
          <w:lang w:eastAsia="zh-CN"/>
        </w:rPr>
        <w:t>（代理商需取得厂家授权证书。</w:t>
      </w:r>
      <w:r>
        <w:rPr>
          <w:rFonts w:asciiTheme="minorEastAsia" w:eastAsiaTheme="minorEastAsia" w:hAnsiTheme="minorEastAsia" w:cstheme="minorEastAsia" w:hint="eastAsia"/>
          <w:lang w:eastAsia="zh-CN"/>
        </w:rPr>
        <w:t>本项目包含皮带机增加</w:t>
      </w:r>
      <w:proofErr w:type="gramStart"/>
      <w:r>
        <w:rPr>
          <w:rFonts w:asciiTheme="minorEastAsia" w:eastAsiaTheme="minorEastAsia" w:hAnsiTheme="minorEastAsia" w:cstheme="minorEastAsia" w:hint="eastAsia"/>
          <w:lang w:eastAsia="zh-CN"/>
        </w:rPr>
        <w:t>自动调偏装置</w:t>
      </w:r>
      <w:proofErr w:type="gramEnd"/>
      <w:r>
        <w:rPr>
          <w:rFonts w:asciiTheme="minorEastAsia" w:eastAsiaTheme="minorEastAsia" w:hAnsiTheme="minorEastAsia" w:cstheme="minorEastAsia" w:hint="eastAsia"/>
          <w:lang w:eastAsia="zh-CN"/>
        </w:rPr>
        <w:t>项目材料供货和施工安装及本项目其他配合工作等）。</w:t>
      </w:r>
    </w:p>
    <w:p w:rsidR="009B1F98" w:rsidRDefault="009B1F98" w:rsidP="009B1F98">
      <w:pPr>
        <w:spacing w:afterLines="50" w:after="156"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 具有独立承担民事责任的能力；具有良好的商业信誉和健全的财务会计制度；具有履行合同所必需的能力。</w:t>
      </w:r>
    </w:p>
    <w:p w:rsidR="009B1F98" w:rsidRDefault="009B1F98" w:rsidP="009B1F98">
      <w:pPr>
        <w:spacing w:afterLines="50" w:after="156"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 投标人及其法定代表人不得为失信被执行人【具体以 “信用中国”网站(www.creditchina.gov.cn)查询为准，查询结果时间段为:招标公告发布日至投标截止日】，若为失信被执行人的，则否决其投标。投标文件中必须附上清晰的“信用中国”网站查询结果截图。</w:t>
      </w:r>
    </w:p>
    <w:p w:rsidR="009B1F98" w:rsidRDefault="009B1F98" w:rsidP="009B1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 自本招标项目在法定媒介发布招标公告之日的前五年内（不含在法定媒介发布招标公告之日），投标人在中华人民共和国境内（不含港、澳、台地区）至少具有三项自动纠偏装置供货业绩。</w:t>
      </w:r>
    </w:p>
    <w:p w:rsidR="009B1F98" w:rsidRDefault="009B1F98" w:rsidP="009B1F98">
      <w:pPr>
        <w:spacing w:afterLines="50" w:after="156"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 具有投资参股关系的关联企业,或具有直接管理和被管理关系的母子公司,或同一母公司的子公司，或法定代表人为同一个人的两个及两个以上法人不得同时投标；否则，相关单位的投标均无效。</w:t>
      </w:r>
    </w:p>
    <w:p w:rsidR="009B1F98" w:rsidRDefault="009B1F98" w:rsidP="009B1F98">
      <w:pPr>
        <w:spacing w:afterLines="50" w:after="156"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(6)与招标人存在利害关系可能影响招标公正性的法人、其他组织或者个人，不得参加投标</w:t>
      </w:r>
    </w:p>
    <w:p w:rsidR="009B1F98" w:rsidRDefault="009B1F98" w:rsidP="009B1F98">
      <w:pPr>
        <w:spacing w:afterLines="50" w:after="156" w:line="360" w:lineRule="auto"/>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七、施工范围及技术要求：</w:t>
      </w:r>
    </w:p>
    <w:p w:rsidR="009B1F98" w:rsidRDefault="009B1F98" w:rsidP="009B1F98">
      <w:pPr>
        <w:pStyle w:val="1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7.1供货范围</w:t>
      </w:r>
    </w:p>
    <w:p w:rsidR="009B1F98" w:rsidRDefault="009B1F98" w:rsidP="009B1F98">
      <w:pPr>
        <w:spacing w:afterLines="50" w:after="156"/>
        <w:ind w:firstLineChars="200" w:firstLine="48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发包方输煤系统存在皮带跑偏情况，使用了传统的机械纠偏装置，纠偏效果不佳，对皮带损伤较大，一定程度上影响到机组安全稳定运行。皮带跑偏不但会</w:t>
      </w:r>
      <w:r>
        <w:rPr>
          <w:rFonts w:asciiTheme="minorEastAsia" w:eastAsiaTheme="minorEastAsia" w:hAnsiTheme="minorEastAsia" w:cstheme="minorEastAsia" w:hint="eastAsia"/>
          <w:lang w:eastAsia="zh-CN"/>
        </w:rPr>
        <w:lastRenderedPageBreak/>
        <w:t>加快皮带、托辊及辊筒的磨损，甚至造成皮带撕裂、撒</w:t>
      </w:r>
      <w:proofErr w:type="gramStart"/>
      <w:r>
        <w:rPr>
          <w:rFonts w:asciiTheme="minorEastAsia" w:eastAsiaTheme="minorEastAsia" w:hAnsiTheme="minorEastAsia" w:cstheme="minorEastAsia" w:hint="eastAsia"/>
          <w:lang w:eastAsia="zh-CN"/>
        </w:rPr>
        <w:t>料污染</w:t>
      </w:r>
      <w:proofErr w:type="gramEnd"/>
      <w:r>
        <w:rPr>
          <w:rFonts w:asciiTheme="minorEastAsia" w:eastAsiaTheme="minorEastAsia" w:hAnsiTheme="minorEastAsia" w:cstheme="minorEastAsia" w:hint="eastAsia"/>
          <w:lang w:eastAsia="zh-CN"/>
        </w:rPr>
        <w:t>环境等；同时会造成输煤系统运行不稳定、停机等运行故障。需要研发智能化纠偏控制系统，能够将现场皮带机运行的跑偏情况进行实时监测。</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7.1.1、本次发包主要为BC3/BC4/BC9</w:t>
      </w:r>
      <w:r w:rsidR="00B47E92">
        <w:rPr>
          <w:rFonts w:asciiTheme="minorEastAsia" w:eastAsiaTheme="minorEastAsia" w:hAnsiTheme="minorEastAsia" w:cstheme="minorEastAsia" w:hint="eastAsia"/>
          <w:lang w:eastAsia="zh-CN"/>
        </w:rPr>
        <w:t>皮带机</w:t>
      </w:r>
      <w:bookmarkStart w:id="0" w:name="_GoBack"/>
      <w:bookmarkEnd w:id="0"/>
      <w:r>
        <w:rPr>
          <w:rFonts w:asciiTheme="minorEastAsia" w:eastAsiaTheme="minorEastAsia" w:hAnsiTheme="minorEastAsia" w:cstheme="minorEastAsia" w:hint="eastAsia"/>
          <w:lang w:eastAsia="zh-CN"/>
        </w:rPr>
        <w:t>增加自动纠偏装置项目材料供货和施工安装及本项目其他配合工作等。</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rPr>
        <w:t>翔鹭</w:t>
      </w:r>
      <w:r>
        <w:rPr>
          <w:rFonts w:asciiTheme="minorEastAsia" w:eastAsiaTheme="minorEastAsia" w:hAnsiTheme="minorEastAsia" w:cstheme="minorEastAsia" w:hint="eastAsia"/>
          <w:lang w:eastAsia="zh-CN"/>
        </w:rPr>
        <w:t>码头投资管理（漳州）有限</w:t>
      </w:r>
      <w:r>
        <w:rPr>
          <w:rFonts w:asciiTheme="minorEastAsia" w:eastAsiaTheme="minorEastAsia" w:hAnsiTheme="minorEastAsia" w:cstheme="minorEastAsia" w:hint="eastAsia"/>
        </w:rPr>
        <w:t>公司</w:t>
      </w:r>
      <w:r>
        <w:rPr>
          <w:rFonts w:asciiTheme="minorEastAsia" w:eastAsiaTheme="minorEastAsia" w:hAnsiTheme="minorEastAsia" w:cstheme="minorEastAsia" w:hint="eastAsia"/>
          <w:lang w:val="zh-CN" w:bidi="he-IL"/>
        </w:rPr>
        <w:t>输煤皮带机参数规范</w:t>
      </w:r>
    </w:p>
    <w:tbl>
      <w:tblPr>
        <w:tblW w:w="91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4A0" w:firstRow="1" w:lastRow="0" w:firstColumn="1" w:lastColumn="0" w:noHBand="0" w:noVBand="1"/>
      </w:tblPr>
      <w:tblGrid>
        <w:gridCol w:w="1003"/>
        <w:gridCol w:w="1210"/>
        <w:gridCol w:w="1050"/>
        <w:gridCol w:w="1100"/>
        <w:gridCol w:w="1700"/>
        <w:gridCol w:w="980"/>
        <w:gridCol w:w="1040"/>
        <w:gridCol w:w="1050"/>
      </w:tblGrid>
      <w:tr w:rsidR="009B1F98" w:rsidTr="00EE526A">
        <w:trPr>
          <w:cantSplit/>
          <w:tblHeader/>
          <w:jc w:val="center"/>
        </w:trPr>
        <w:tc>
          <w:tcPr>
            <w:tcW w:w="1003"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输送机编号</w:t>
            </w:r>
          </w:p>
        </w:tc>
        <w:tc>
          <w:tcPr>
            <w:tcW w:w="121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额定输送量(t/h)</w:t>
            </w:r>
          </w:p>
        </w:tc>
        <w:tc>
          <w:tcPr>
            <w:tcW w:w="105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带宽(mm)</w:t>
            </w:r>
          </w:p>
        </w:tc>
        <w:tc>
          <w:tcPr>
            <w:tcW w:w="110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带速(m/s)</w:t>
            </w:r>
          </w:p>
        </w:tc>
        <w:tc>
          <w:tcPr>
            <w:tcW w:w="170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胶带规格</w:t>
            </w:r>
          </w:p>
        </w:tc>
        <w:tc>
          <w:tcPr>
            <w:tcW w:w="98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长度(m)</w:t>
            </w:r>
          </w:p>
        </w:tc>
        <w:tc>
          <w:tcPr>
            <w:tcW w:w="104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提升高度(m)</w:t>
            </w:r>
          </w:p>
        </w:tc>
        <w:tc>
          <w:tcPr>
            <w:tcW w:w="105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输</w:t>
            </w:r>
            <w:r>
              <w:rPr>
                <w:rFonts w:asciiTheme="minorEastAsia" w:eastAsiaTheme="minorEastAsia" w:hAnsiTheme="minorEastAsia" w:cstheme="minorEastAsia" w:hint="eastAsia"/>
                <w:lang w:eastAsia="zh-CN"/>
              </w:rPr>
              <w:t>送</w:t>
            </w:r>
            <w:r>
              <w:rPr>
                <w:rFonts w:asciiTheme="minorEastAsia" w:eastAsiaTheme="minorEastAsia" w:hAnsiTheme="minorEastAsia" w:cstheme="minorEastAsia" w:hint="eastAsia"/>
              </w:rPr>
              <w:t>倾角(°)</w:t>
            </w:r>
          </w:p>
        </w:tc>
      </w:tr>
      <w:tr w:rsidR="009B1F98" w:rsidTr="00EE526A">
        <w:trPr>
          <w:cantSplit/>
          <w:trHeight w:val="397"/>
          <w:jc w:val="center"/>
        </w:trPr>
        <w:tc>
          <w:tcPr>
            <w:tcW w:w="1003"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BC3</w:t>
            </w:r>
            <w:r>
              <w:rPr>
                <w:rFonts w:asciiTheme="minorEastAsia" w:eastAsiaTheme="minorEastAsia" w:hAnsiTheme="minorEastAsia" w:cstheme="minorEastAsia" w:hint="eastAsia"/>
              </w:rPr>
              <w:t xml:space="preserve"> </w:t>
            </w:r>
          </w:p>
        </w:tc>
        <w:tc>
          <w:tcPr>
            <w:tcW w:w="121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4500</w:t>
            </w:r>
          </w:p>
        </w:tc>
        <w:tc>
          <w:tcPr>
            <w:tcW w:w="105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2000</w:t>
            </w:r>
          </w:p>
        </w:tc>
        <w:tc>
          <w:tcPr>
            <w:tcW w:w="110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3.5</w:t>
            </w:r>
          </w:p>
        </w:tc>
        <w:tc>
          <w:tcPr>
            <w:tcW w:w="170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ST-1000钢丝带 2000*φ4（6+6）</w:t>
            </w:r>
          </w:p>
        </w:tc>
        <w:tc>
          <w:tcPr>
            <w:tcW w:w="98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356</w:t>
            </w:r>
          </w:p>
        </w:tc>
        <w:tc>
          <w:tcPr>
            <w:tcW w:w="104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16.173</w:t>
            </w:r>
          </w:p>
        </w:tc>
        <w:tc>
          <w:tcPr>
            <w:tcW w:w="105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5.4</w:t>
            </w:r>
          </w:p>
        </w:tc>
      </w:tr>
      <w:tr w:rsidR="009B1F98" w:rsidTr="00EE526A">
        <w:trPr>
          <w:cantSplit/>
          <w:trHeight w:val="397"/>
          <w:jc w:val="center"/>
        </w:trPr>
        <w:tc>
          <w:tcPr>
            <w:tcW w:w="1003"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BC4</w:t>
            </w:r>
          </w:p>
        </w:tc>
        <w:tc>
          <w:tcPr>
            <w:tcW w:w="121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4500</w:t>
            </w:r>
          </w:p>
        </w:tc>
        <w:tc>
          <w:tcPr>
            <w:tcW w:w="105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2000</w:t>
            </w:r>
          </w:p>
        </w:tc>
        <w:tc>
          <w:tcPr>
            <w:tcW w:w="110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3.5</w:t>
            </w:r>
          </w:p>
        </w:tc>
        <w:tc>
          <w:tcPr>
            <w:tcW w:w="170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ST-1000钢丝带 2000*φ4（6+6）</w:t>
            </w:r>
          </w:p>
        </w:tc>
        <w:tc>
          <w:tcPr>
            <w:tcW w:w="98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310</w:t>
            </w:r>
          </w:p>
        </w:tc>
        <w:tc>
          <w:tcPr>
            <w:tcW w:w="104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17.505</w:t>
            </w:r>
          </w:p>
        </w:tc>
        <w:tc>
          <w:tcPr>
            <w:tcW w:w="105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12</w:t>
            </w:r>
          </w:p>
        </w:tc>
      </w:tr>
      <w:tr w:rsidR="009B1F98" w:rsidTr="00EE526A">
        <w:trPr>
          <w:cantSplit/>
          <w:trHeight w:val="397"/>
          <w:jc w:val="center"/>
        </w:trPr>
        <w:tc>
          <w:tcPr>
            <w:tcW w:w="1003"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BC9</w:t>
            </w:r>
          </w:p>
        </w:tc>
        <w:tc>
          <w:tcPr>
            <w:tcW w:w="121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2000</w:t>
            </w:r>
          </w:p>
        </w:tc>
        <w:tc>
          <w:tcPr>
            <w:tcW w:w="105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lang w:eastAsia="zh-CN"/>
              </w:rPr>
              <w:t>4</w:t>
            </w:r>
            <w:r>
              <w:rPr>
                <w:rFonts w:asciiTheme="minorEastAsia" w:eastAsiaTheme="minorEastAsia" w:hAnsiTheme="minorEastAsia" w:cstheme="minorEastAsia" w:hint="eastAsia"/>
              </w:rPr>
              <w:t>00</w:t>
            </w:r>
          </w:p>
        </w:tc>
        <w:tc>
          <w:tcPr>
            <w:tcW w:w="110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3</w:t>
            </w:r>
            <w:r>
              <w:rPr>
                <w:rFonts w:asciiTheme="minorEastAsia" w:eastAsiaTheme="minorEastAsia" w:hAnsiTheme="minorEastAsia" w:cstheme="minorEastAsia" w:hint="eastAsia"/>
              </w:rPr>
              <w:t>.5</w:t>
            </w:r>
          </w:p>
        </w:tc>
        <w:tc>
          <w:tcPr>
            <w:tcW w:w="170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EP-200输送带 1400*5（6+3）</w:t>
            </w:r>
          </w:p>
        </w:tc>
        <w:tc>
          <w:tcPr>
            <w:tcW w:w="980" w:type="dxa"/>
            <w:vAlign w:val="center"/>
          </w:tcPr>
          <w:p w:rsidR="009B1F98" w:rsidRDefault="009B1F98" w:rsidP="00EE526A">
            <w:pPr>
              <w:adjustRightInd w:val="0"/>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rPr>
              <w:t>370</w:t>
            </w:r>
          </w:p>
        </w:tc>
        <w:tc>
          <w:tcPr>
            <w:tcW w:w="104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19.7</w:t>
            </w:r>
          </w:p>
        </w:tc>
        <w:tc>
          <w:tcPr>
            <w:tcW w:w="1050" w:type="dxa"/>
            <w:vAlign w:val="center"/>
          </w:tcPr>
          <w:p w:rsidR="009B1F98" w:rsidRDefault="009B1F98" w:rsidP="00EE526A">
            <w:pPr>
              <w:adjustRightInd w:val="0"/>
              <w:snapToGrid w:val="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0</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lang w:eastAsia="zh-CN"/>
              </w:rPr>
              <w:t>10</w:t>
            </w:r>
          </w:p>
        </w:tc>
      </w:tr>
    </w:tbl>
    <w:p w:rsidR="009B1F98" w:rsidRDefault="009B1F98" w:rsidP="009B1F98">
      <w:pPr>
        <w:spacing w:afterLines="50" w:after="156"/>
        <w:rPr>
          <w:rFonts w:asciiTheme="minorEastAsia" w:eastAsiaTheme="minorEastAsia" w:hAnsiTheme="minorEastAsia" w:cstheme="minorEastAsia"/>
          <w:lang w:eastAsia="zh-CN"/>
        </w:rPr>
      </w:pP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7.1.2、承包商中标后两周内需提供详细施工方案及设计方案及图纸（工器具、人员配置、施工周期、备件到货时间）等，经甲方审核同意后执行。承包商应在投标之前到现场了解现场情况，如</w:t>
      </w:r>
      <w:proofErr w:type="gramStart"/>
      <w:r>
        <w:rPr>
          <w:rFonts w:asciiTheme="minorEastAsia" w:eastAsiaTheme="minorEastAsia" w:hAnsiTheme="minorEastAsia" w:cstheme="minorEastAsia" w:hint="eastAsia"/>
          <w:lang w:eastAsia="zh-CN"/>
        </w:rPr>
        <w:t>至交标日承包商</w:t>
      </w:r>
      <w:proofErr w:type="gramEnd"/>
      <w:r>
        <w:rPr>
          <w:rFonts w:asciiTheme="minorEastAsia" w:eastAsiaTheme="minorEastAsia" w:hAnsiTheme="minorEastAsia" w:cstheme="minorEastAsia" w:hint="eastAsia"/>
          <w:lang w:eastAsia="zh-CN"/>
        </w:rPr>
        <w:t>未到现场了解情况投标，我司将视为承包商对现场已充分了解。中标后承包商不得以现场不清为由向甲方要求追加任何费用。</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7.1.3、施工期限：自合同签订甲方通知为准，本项目备件到货后现场安装施工为不定性的连续施工作业，乙方要按甲方生产计划实施，乙方需无条件依甲方要求执行。</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7.1.4、施工所用工器具由承包商自备。施工用具如吊车、平板车、扳手、焊机、电焊条、角磨光机、气割工具（包括气瓶、气体、氧气表、乙炔表）、吊装用具（如倒链、钢丝绳、吊带、吊耳、卸扣）等由均承包商自备。</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7.2.、技术要求：</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7.2.1、 自动纠偏装置调整范围：输送带上下回程两侧托辊边缘50mm。调整角度可调范围±15°。</w:t>
      </w:r>
      <w:r>
        <w:rPr>
          <w:rFonts w:asciiTheme="minorEastAsia" w:eastAsiaTheme="minorEastAsia" w:hAnsiTheme="minorEastAsia" w:cstheme="minorEastAsia" w:hint="eastAsia"/>
          <w:lang w:eastAsia="zh-CN"/>
        </w:rPr>
        <w:br/>
        <w:t>7.2.2、 高效自动纠偏装置按照输送机系统参数确定安装数量及位置后，应完全消除输送机跑偏现象。</w:t>
      </w:r>
      <w:r>
        <w:rPr>
          <w:rFonts w:asciiTheme="minorEastAsia" w:eastAsiaTheme="minorEastAsia" w:hAnsiTheme="minorEastAsia" w:cstheme="minorEastAsia" w:hint="eastAsia"/>
          <w:lang w:eastAsia="zh-CN"/>
        </w:rPr>
        <w:br/>
        <w:t>7.2.3、 自动纠偏装置核心部件采用不锈钢高强度特制执行器，钢结构结构部件采用热浸锌、喷塑工艺或更高等级的材料以便适应沿海地区防腐要求。执行器最大推力应≥10000N以上确保纠偏效果。执行器防护等级IP66以上，所有装置采用防水防腐措施处理，适应暴雨和冲洗。</w:t>
      </w:r>
      <w:r>
        <w:rPr>
          <w:rFonts w:asciiTheme="minorEastAsia" w:eastAsiaTheme="minorEastAsia" w:hAnsiTheme="minorEastAsia" w:cstheme="minorEastAsia" w:hint="eastAsia"/>
          <w:lang w:eastAsia="zh-CN"/>
        </w:rPr>
        <w:br/>
        <w:t>7.2.4、自动纠偏装置须达到无人值守，不受工况环境的影响全天候的工作模式，</w:t>
      </w:r>
      <w:r>
        <w:rPr>
          <w:rFonts w:asciiTheme="minorEastAsia" w:eastAsiaTheme="minorEastAsia" w:hAnsiTheme="minorEastAsia" w:cstheme="minorEastAsia" w:hint="eastAsia"/>
          <w:lang w:eastAsia="zh-CN"/>
        </w:rPr>
        <w:lastRenderedPageBreak/>
        <w:t>自动纠偏输送皮带的运行路径，实现全自动无偏差的高效能智能纠偏。</w:t>
      </w:r>
      <w:r>
        <w:rPr>
          <w:rFonts w:asciiTheme="minorEastAsia" w:eastAsiaTheme="minorEastAsia" w:hAnsiTheme="minorEastAsia" w:cstheme="minorEastAsia" w:hint="eastAsia"/>
          <w:lang w:eastAsia="zh-CN"/>
        </w:rPr>
        <w:br/>
        <w:t>7.2.5、自动纠偏装置具有较高的抗冲击强度，实现全天候免维护，自动纠偏装置的各个备件的产品使用寿命不得低于3年。</w:t>
      </w:r>
      <w:r>
        <w:rPr>
          <w:rFonts w:asciiTheme="minorEastAsia" w:eastAsiaTheme="minorEastAsia" w:hAnsiTheme="minorEastAsia" w:cstheme="minorEastAsia" w:hint="eastAsia"/>
          <w:lang w:eastAsia="zh-CN"/>
        </w:rPr>
        <w:br/>
        <w:t>7.2.6、自动纠偏装置与现场使用的托辊尺寸和型号保持一致。采用耐磨、耐腐蚀的材料制成，托辊的表面应经过特殊处理，以增加与输送带的摩擦力，提高纠偏效果。BC3/BC4/BC9托辊应与现场使用的托辊有公用性，能够互相匹配替换；托辊轴承品牌使用SKF或不低于同类产品；提升使用效果，降低后期维护成本。</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7.2.7、密封结构：纠偏装置的</w:t>
      </w:r>
      <w:proofErr w:type="gramStart"/>
      <w:r>
        <w:rPr>
          <w:rFonts w:asciiTheme="minorEastAsia" w:eastAsiaTheme="minorEastAsia" w:hAnsiTheme="minorEastAsia" w:cstheme="minorEastAsia" w:hint="eastAsia"/>
          <w:lang w:eastAsia="zh-CN"/>
        </w:rPr>
        <w:t>异形辊和双</w:t>
      </w:r>
      <w:proofErr w:type="gramEnd"/>
      <w:r>
        <w:rPr>
          <w:rFonts w:asciiTheme="minorEastAsia" w:eastAsiaTheme="minorEastAsia" w:hAnsiTheme="minorEastAsia" w:cstheme="minorEastAsia" w:hint="eastAsia"/>
          <w:lang w:eastAsia="zh-CN"/>
        </w:rPr>
        <w:t>作用</w:t>
      </w:r>
      <w:proofErr w:type="gramStart"/>
      <w:r>
        <w:rPr>
          <w:rFonts w:asciiTheme="minorEastAsia" w:eastAsiaTheme="minorEastAsia" w:hAnsiTheme="minorEastAsia" w:cstheme="minorEastAsia" w:hint="eastAsia"/>
          <w:lang w:eastAsia="zh-CN"/>
        </w:rPr>
        <w:t>直辊应采用</w:t>
      </w:r>
      <w:proofErr w:type="gramEnd"/>
      <w:r>
        <w:rPr>
          <w:rFonts w:asciiTheme="minorEastAsia" w:eastAsiaTheme="minorEastAsia" w:hAnsiTheme="minorEastAsia" w:cstheme="minorEastAsia" w:hint="eastAsia"/>
          <w:lang w:eastAsia="zh-CN"/>
        </w:rPr>
        <w:t>多重迷宫密封或者等级更高的密封结构，以防止潮湿、扬尘等恶劣环境下的粉尘和水汽进入装置内部，保护辊子内部安全有效的工作。</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7.2.8、自动纠偏装置的控制器采用先进的传感技术和反馈控制算法，能够准确检测物料的偏移情况，并通过调整传送带或辊筒的位置，及时纠正物料的偏移，确保物料在生产过程中保持正确的位置。</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7.2.9、电气控制系统应采用先进、成熟的技术，具备良好的电磁兼容性和抗干扰能力。电路设计应符合相关电气安全标准，具有过载、短路、漏电等保护功能。 </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7.2.10、控制电路采用模块化设计理念，分为信号采集模块、运算处理模块、驱动输出模块等。具备良好的容错能力和故障自诊断功能，能在恶劣的工业环境下长时间稳定运行。采用冗余设计等技术，以提高系统的可靠性和稳定性。</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7.2.11、安装与调试：纠偏装置应便于安装和调试，以适应不同宽度和速度的输送带。同时，装置应具有可伸缩和上下调节功能，以方便操作者进行调试和维护。</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7.2.12、皮带机为粉尘21区，电气设备防爆要求满足相应防爆区域要求，电气设备防爆等级：Ex </w:t>
      </w:r>
      <w:proofErr w:type="spellStart"/>
      <w:r>
        <w:rPr>
          <w:rFonts w:asciiTheme="minorEastAsia" w:eastAsiaTheme="minorEastAsia" w:hAnsiTheme="minorEastAsia" w:cstheme="minorEastAsia" w:hint="eastAsia"/>
          <w:lang w:eastAsia="zh-CN"/>
        </w:rPr>
        <w:t>tb</w:t>
      </w:r>
      <w:proofErr w:type="spellEnd"/>
      <w:r>
        <w:rPr>
          <w:rFonts w:asciiTheme="minorEastAsia" w:eastAsiaTheme="minorEastAsia" w:hAnsiTheme="minorEastAsia" w:cstheme="minorEastAsia" w:hint="eastAsia"/>
          <w:lang w:eastAsia="zh-CN"/>
        </w:rPr>
        <w:t xml:space="preserve">ⅢC T130℃ </w:t>
      </w:r>
      <w:proofErr w:type="spellStart"/>
      <w:r>
        <w:rPr>
          <w:rFonts w:asciiTheme="minorEastAsia" w:eastAsiaTheme="minorEastAsia" w:hAnsiTheme="minorEastAsia" w:cstheme="minorEastAsia" w:hint="eastAsia"/>
          <w:lang w:eastAsia="zh-CN"/>
        </w:rPr>
        <w:t>Db</w:t>
      </w:r>
      <w:proofErr w:type="spellEnd"/>
      <w:r>
        <w:rPr>
          <w:rFonts w:asciiTheme="minorEastAsia" w:eastAsiaTheme="minorEastAsia" w:hAnsiTheme="minorEastAsia" w:cstheme="minorEastAsia" w:hint="eastAsia"/>
          <w:lang w:eastAsia="zh-CN"/>
        </w:rPr>
        <w:t>, 防护等级IP66，电机加防护装置。</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7.2.13、承包商在工程完成后，及时清理该项目检修施工垃圾、更换下的备件必须整理好，放到甲方指定位置。</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7.2.14、安全质量管理：中标承包商应派有经验项目经理和安全、质量管理人员，总体负责进度、</w:t>
      </w:r>
      <w:proofErr w:type="gramStart"/>
      <w:r>
        <w:rPr>
          <w:rFonts w:asciiTheme="minorEastAsia" w:eastAsiaTheme="minorEastAsia" w:hAnsiTheme="minorEastAsia" w:cstheme="minorEastAsia" w:hint="eastAsia"/>
          <w:lang w:eastAsia="zh-CN"/>
        </w:rPr>
        <w:t>环安及</w:t>
      </w:r>
      <w:proofErr w:type="gramEnd"/>
      <w:r>
        <w:rPr>
          <w:rFonts w:asciiTheme="minorEastAsia" w:eastAsiaTheme="minorEastAsia" w:hAnsiTheme="minorEastAsia" w:cstheme="minorEastAsia" w:hint="eastAsia"/>
          <w:lang w:eastAsia="zh-CN"/>
        </w:rPr>
        <w:t>质量。施工期间承包商需配置专业安全监管人员。</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7.3、质量要求</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7.3.1、系统必须具有性能可靠、技术成熟、功能完善、体系先进的结构，系统配置灵活、布局合理，自导正、免维护，</w:t>
      </w:r>
      <w:proofErr w:type="gramStart"/>
      <w:r>
        <w:rPr>
          <w:rFonts w:asciiTheme="minorEastAsia" w:eastAsiaTheme="minorEastAsia" w:hAnsiTheme="minorEastAsia" w:cstheme="minorEastAsia" w:hint="eastAsia"/>
          <w:lang w:eastAsia="zh-CN"/>
        </w:rPr>
        <w:t>满足长</w:t>
      </w:r>
      <w:proofErr w:type="gramEnd"/>
      <w:r>
        <w:rPr>
          <w:rFonts w:asciiTheme="minorEastAsia" w:eastAsiaTheme="minorEastAsia" w:hAnsiTheme="minorEastAsia" w:cstheme="minorEastAsia" w:hint="eastAsia"/>
          <w:lang w:eastAsia="zh-CN"/>
        </w:rPr>
        <w:t>时间稳定工作的要求。</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7.3.2、承包商提供的设备</w:t>
      </w:r>
      <w:proofErr w:type="gramStart"/>
      <w:r>
        <w:rPr>
          <w:rFonts w:asciiTheme="minorEastAsia" w:eastAsiaTheme="minorEastAsia" w:hAnsiTheme="minorEastAsia" w:cstheme="minorEastAsia" w:hint="eastAsia"/>
          <w:lang w:eastAsia="zh-CN"/>
        </w:rPr>
        <w:t>应功能</w:t>
      </w:r>
      <w:proofErr w:type="gramEnd"/>
      <w:r>
        <w:rPr>
          <w:rFonts w:asciiTheme="minorEastAsia" w:eastAsiaTheme="minorEastAsia" w:hAnsiTheme="minorEastAsia" w:cstheme="minorEastAsia" w:hint="eastAsia"/>
          <w:lang w:eastAsia="zh-CN"/>
        </w:rPr>
        <w:t>完整，技术先进，并能满足人身安全和劳动保护条件。</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7.3.3、所有设备均应正确设计和制造，在正常工况下均能安全、持续运行，而不应有过度的应力、振动、温升、磨损、腐蚀、老化等其它问题。</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7.3.4、易于磨损、腐蚀、老化或需要调整、检查和更换的部件应提供备用品，并能比较方便地拆卸、更换和修理。</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7.3.5、所用的材料及零部件（或元器件）应符合有关规范的要求，且应是新的和优质的，并能满足工作环境条件的要求。外购配套件须选用优质、节能、先进</w:t>
      </w:r>
      <w:r>
        <w:rPr>
          <w:rFonts w:asciiTheme="minorEastAsia" w:eastAsiaTheme="minorEastAsia" w:hAnsiTheme="minorEastAsia" w:cstheme="minorEastAsia" w:hint="eastAsia"/>
          <w:lang w:eastAsia="zh-CN"/>
        </w:rPr>
        <w:lastRenderedPageBreak/>
        <w:t>的产品，并有生产许可证及产品检验合格证，严禁采用国家公布的淘汰产品。重要部件需取得招标方认可，目前国内产品质量尚不过关的部件，可选用进口产品。</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7.3.6、所使用的零件或组件应有良好的互换性。</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7.3.7、各转动件必须转动灵活，不得有卡阻现象。润滑部分密封良好，不得有油脂渗漏现象。</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7.3.9、全部钢材应进行预处理，板材应采用剪板方式下料。各机体的焊接、机</w:t>
      </w:r>
      <w:proofErr w:type="gramStart"/>
      <w:r>
        <w:rPr>
          <w:rFonts w:asciiTheme="minorEastAsia" w:eastAsiaTheme="minorEastAsia" w:hAnsiTheme="minorEastAsia" w:cstheme="minorEastAsia" w:hint="eastAsia"/>
          <w:lang w:eastAsia="zh-CN"/>
        </w:rPr>
        <w:t>加工按</w:t>
      </w:r>
      <w:proofErr w:type="gramEnd"/>
      <w:r>
        <w:rPr>
          <w:rFonts w:asciiTheme="minorEastAsia" w:eastAsiaTheme="minorEastAsia" w:hAnsiTheme="minorEastAsia" w:cstheme="minorEastAsia" w:hint="eastAsia"/>
          <w:lang w:eastAsia="zh-CN"/>
        </w:rPr>
        <w:t>有关标准执行，金属结构件的焊接应符合GB985、GB986的有关规定。焊缝不得出现烧穿、裂纹及未熔合等缺陷。焊后进行消除应力处理。如到货设备中存在以上问题，招标方有权要求承包商进行更换。</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7.3.10、报警检测传感器具有两级角度设计，通常一级角度为 10°、12°、20° 等，二级角度为 30°、35°、45° 等。当输送带发生跑偏时，会接触并推动开关使其偏转。当检测传感器偏转至一级开关角度时，开关发出信号执行器开始对其实施纠偏，若跑偏情况加剧，检测传感器偏转达到二级开关角度，开关则发出报警信号给中控。</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7.3.11、根据皮带机的现场条件及使用特点，在皮带机头部、中部、尾部上承载段及下回程段智能自动导正装置，全自动消除皮带的运行中出现跑偏的现象。</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7.3.12、承包商提供全自动智能自动纠偏装置设备及其配套设备必须是新型设备。</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7.3.13、 该装置采用全封闭结构，IP66防护等级，能在任何恶劣环境下每天24小时连续运行。</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7.3.14、安装跑偏报警器在跑偏发生时，给出现场灯光报警，并传递报警信号到集控室。</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7.3.15、承包商应认真做好现场安装指导工作并且进行安装技术记录，技术记录应真实、准确、完整，施工结束后整理交招标方归档，并要求承包商保留所有技术记录的原始记录备查。</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7.3.16、承包商在安装指导安装时若需要对原有称重设备或其它设备提出进行改动方案时，应及时向招标方提出异动申请，经批准后方可实施。</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7.3.18、严格执行工作票制度，不得进行无票施工；设备试运一定要经招标方代表现场检查并签字后方可进行。</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7.3.19、保证检修、调试质量，严禁未经招标方允许擅自将项目转包。</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7.3.20、确保工程质量，本项目实行承包商工作负责人自检、承包商技术负责人初步验收和招标方三级验收制度，各级须严把质量关，严禁弄虚作假。</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7.3.21、在施工过程中，发生损坏设备、或发现重大设备隐患、缺陷时承包商技术指导人员应及时向承包商反映并出具书面报告。</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7.3.22、承包商应根据招标方对质量管理的具体要求，建立质量体系、编制质量保证大纲并有效运行。</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7.4、承包商配备的技术指导人员资格必须符合有关规定要求，并且出具法人授</w:t>
      </w:r>
      <w:r>
        <w:rPr>
          <w:rFonts w:asciiTheme="minorEastAsia" w:eastAsiaTheme="minorEastAsia" w:hAnsiTheme="minorEastAsia" w:cstheme="minorEastAsia" w:hint="eastAsia"/>
          <w:lang w:eastAsia="zh-CN"/>
        </w:rPr>
        <w:lastRenderedPageBreak/>
        <w:t>权委托书且具备较为全面的技术能力、个人素质满足招标方要求，招标方有权更换不满足要求相关人员，更换人员引起的工期进度延误等相关责任由承包商负责；重要工艺作业前必须进行操作人员培训，并由招标方认证。</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7.5、承包商应严格执行隐蔽项目验收制度，隐蔽项目在具备覆盖条件时，应提前通知招标方到现场检查验收。若招标方未按约定的时间到现场检查验收，则承包商可自行检查验收，在验收合格并做好记录及影像资料后予以覆盖，招标方应予承认。对于承包商按前述规定在未经招标方检查、测量或测试而予以掩盖或隐蔽的设备或项目部分，招标方仍有权要求承包商对该设备或项目部分予以揭露以进行检查、测量或测试。如果招标方发出揭露任何隐蔽项目的指示，承包商应予以执行。检查完毕后，承包商应对该部分进行修补，使其恢复原貌。如果发现项目的该部分符合本合同规定，承包商因遵循招标方的指示而发生的所有费用应由招标方承担。如果发现该部分工作不符合本合同的规定，招标方检查与测试的任何费用及后果均应由承包商承担。承包商在隐蔽项目施工前，未按规定通知招标方进行检查验收，擅自覆盖隐蔽项目，招标方有权要求停工，停工损失由承包商自行负责。该隐蔽项目如已覆盖，则招标方对该项目部分予以重新检查所产生的所有费用均应由承包商承担，工期不予顺延。所有隐蔽项目施工过程中的上道工序未经验收合格，不得进行下一道工序的施工。</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7.6、招标方对承包商的施工质量和质量体系运行情况有权实施监督检查，对质量不符合本合同规定的部分有权发出纠正通知，并限令承包商在规定期限内重新施工或修复。</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7.7、承包商负责所有设备的单体调试及分步试运工作，招标方负责组织工作。</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7.8、发生质量事故，承包商应报招标方共同研究处理，在任何情况下，都不能使最终施工质量及工期受到影响，造成隐患，招标方有权对质量事故进行相应考核。</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7.9、设备施工完成安装试运后，承包商技术指导人员应该无条件在厂内进行为期15天的设备运行监护及培训。</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7.10、设备到货后，承包商需要派人来厂与招标方一起进行开箱验货，验货无质量问题双方进行签字确认。</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7.11、在施工安装过程中，承包商需将所有设备组成部分进行供货，保证设备顺利运行，期间可能出现</w:t>
      </w:r>
      <w:proofErr w:type="gramStart"/>
      <w:r>
        <w:rPr>
          <w:rFonts w:asciiTheme="minorEastAsia" w:eastAsiaTheme="minorEastAsia" w:hAnsiTheme="minorEastAsia" w:cstheme="minorEastAsia" w:hint="eastAsia"/>
          <w:lang w:eastAsia="zh-CN"/>
        </w:rPr>
        <w:t>缺件少件问题</w:t>
      </w:r>
      <w:proofErr w:type="gramEnd"/>
      <w:r>
        <w:rPr>
          <w:rFonts w:asciiTheme="minorEastAsia" w:eastAsiaTheme="minorEastAsia" w:hAnsiTheme="minorEastAsia" w:cstheme="minorEastAsia" w:hint="eastAsia"/>
          <w:lang w:eastAsia="zh-CN"/>
        </w:rPr>
        <w:t>，承包商在报价中需要充分进行考虑设备正常稳定运行，实现远程监测预警，保证设备长周期稳定运行。</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7.12、质量控制</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7.13、材料在出厂前均按照相关标准规范和要求进行检验、试验，并应提交给发包方相应的检验、试验报告及合格证书等相关资料。</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7.13.1、生产制造过程中的任何对设计的变更及材料代用应事先征得发包方书面</w:t>
      </w:r>
      <w:proofErr w:type="gramStart"/>
      <w:r>
        <w:rPr>
          <w:rFonts w:asciiTheme="minorEastAsia" w:eastAsiaTheme="minorEastAsia" w:hAnsiTheme="minorEastAsia" w:cstheme="minorEastAsia" w:hint="eastAsia"/>
          <w:lang w:eastAsia="zh-CN"/>
        </w:rPr>
        <w:t>认可后商可</w:t>
      </w:r>
      <w:proofErr w:type="gramEnd"/>
      <w:r>
        <w:rPr>
          <w:rFonts w:asciiTheme="minorEastAsia" w:eastAsiaTheme="minorEastAsia" w:hAnsiTheme="minorEastAsia" w:cstheme="minorEastAsia" w:hint="eastAsia"/>
          <w:lang w:eastAsia="zh-CN"/>
        </w:rPr>
        <w:t>进行。</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7.13.2、安装过程的配合间隙需要甲乙双方专业技术人员共同验收并形成书面记录。</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lastRenderedPageBreak/>
        <w:t>7.14、验收</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7.14.1、所有备件的到货验收，以发包方和承包商专业技术人员共同现场开箱检验为准。</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7.14.2、发包方的现场验收确认意见并不减轻承包商的合同责任。</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7.14.3、安装</w:t>
      </w:r>
      <w:proofErr w:type="gramStart"/>
      <w:r>
        <w:rPr>
          <w:rFonts w:asciiTheme="minorEastAsia" w:eastAsiaTheme="minorEastAsia" w:hAnsiTheme="minorEastAsia" w:cstheme="minorEastAsia" w:hint="eastAsia"/>
          <w:lang w:eastAsia="zh-CN"/>
        </w:rPr>
        <w:t>完成后质保期</w:t>
      </w:r>
      <w:proofErr w:type="gramEnd"/>
      <w:r>
        <w:rPr>
          <w:rFonts w:asciiTheme="minorEastAsia" w:eastAsiaTheme="minorEastAsia" w:hAnsiTheme="minorEastAsia" w:cstheme="minorEastAsia" w:hint="eastAsia"/>
          <w:lang w:eastAsia="zh-CN"/>
        </w:rPr>
        <w:t>内需要到场检查及测绘啮合间隙。</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7.15、拒收</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7.15.1、如有下列任何情况将被拒收，并由承包商承担一切责任：</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7.15.2、实际使用的材料与本协议要求不一致；</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7.15.3、制造没有遵循设计、技术文件及标准规范的要求；</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7.15.4、质量合格证明不全；</w:t>
      </w:r>
    </w:p>
    <w:p w:rsidR="009B1F98" w:rsidRDefault="009B1F98" w:rsidP="009B1F98">
      <w:pPr>
        <w:numPr>
          <w:ilvl w:val="0"/>
          <w:numId w:val="2"/>
        </w:numPr>
        <w:spacing w:afterLines="50" w:after="156"/>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工作内容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4725"/>
        <w:gridCol w:w="1200"/>
        <w:gridCol w:w="1942"/>
      </w:tblGrid>
      <w:tr w:rsidR="009B1F98" w:rsidTr="00EE526A">
        <w:trPr>
          <w:jc w:val="center"/>
        </w:trPr>
        <w:tc>
          <w:tcPr>
            <w:tcW w:w="655" w:type="dxa"/>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序号</w:t>
            </w:r>
          </w:p>
        </w:tc>
        <w:tc>
          <w:tcPr>
            <w:tcW w:w="4725" w:type="dxa"/>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名称  规格</w:t>
            </w:r>
          </w:p>
        </w:tc>
        <w:tc>
          <w:tcPr>
            <w:tcW w:w="1200" w:type="dxa"/>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数量</w:t>
            </w:r>
          </w:p>
        </w:tc>
        <w:tc>
          <w:tcPr>
            <w:tcW w:w="1942" w:type="dxa"/>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备注</w:t>
            </w:r>
          </w:p>
        </w:tc>
      </w:tr>
      <w:tr w:rsidR="009B1F98" w:rsidTr="00EE526A">
        <w:trPr>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拆卸上托辊组B-2000</w:t>
            </w:r>
          </w:p>
        </w:tc>
        <w:tc>
          <w:tcPr>
            <w:tcW w:w="1200" w:type="dxa"/>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13套</w:t>
            </w:r>
          </w:p>
        </w:tc>
        <w:tc>
          <w:tcPr>
            <w:tcW w:w="1942" w:type="dxa"/>
            <w:vAlign w:val="center"/>
          </w:tcPr>
          <w:p w:rsidR="009B1F98" w:rsidRDefault="009B1F98" w:rsidP="009B1F98">
            <w:pPr>
              <w:ind w:firstLineChars="200" w:firstLine="480"/>
              <w:rPr>
                <w:rFonts w:asciiTheme="minorEastAsia" w:eastAsiaTheme="minorEastAsia" w:hAnsiTheme="minorEastAsia" w:cstheme="minorEastAsia"/>
                <w:lang w:eastAsia="zh-CN"/>
              </w:rPr>
            </w:pPr>
          </w:p>
        </w:tc>
      </w:tr>
      <w:tr w:rsidR="009B1F98" w:rsidTr="00EE526A">
        <w:trPr>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w:t>
            </w:r>
          </w:p>
        </w:tc>
        <w:tc>
          <w:tcPr>
            <w:tcW w:w="4725" w:type="dxa"/>
            <w:vAlign w:val="center"/>
          </w:tcPr>
          <w:p w:rsidR="009B1F98" w:rsidRDefault="009B1F98" w:rsidP="00EE526A">
            <w:pPr>
              <w:tabs>
                <w:tab w:val="left" w:pos="1631"/>
              </w:tabs>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拆卸下托辊组B-2000</w:t>
            </w:r>
          </w:p>
        </w:tc>
        <w:tc>
          <w:tcPr>
            <w:tcW w:w="1200" w:type="dxa"/>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12套</w:t>
            </w:r>
          </w:p>
        </w:tc>
        <w:tc>
          <w:tcPr>
            <w:tcW w:w="1942" w:type="dxa"/>
          </w:tcPr>
          <w:p w:rsidR="009B1F98" w:rsidRDefault="009B1F98" w:rsidP="00EE526A">
            <w:pPr>
              <w:rPr>
                <w:rFonts w:asciiTheme="minorEastAsia" w:eastAsiaTheme="minorEastAsia" w:hAnsiTheme="minorEastAsia" w:cstheme="minorEastAsia"/>
                <w:lang w:eastAsia="zh-CN"/>
              </w:rPr>
            </w:pPr>
          </w:p>
        </w:tc>
      </w:tr>
      <w:tr w:rsidR="009B1F98" w:rsidTr="00EE526A">
        <w:trPr>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拆卸上托辊组B-1400</w:t>
            </w:r>
          </w:p>
        </w:tc>
        <w:tc>
          <w:tcPr>
            <w:tcW w:w="1200" w:type="dxa"/>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4套</w:t>
            </w:r>
          </w:p>
        </w:tc>
        <w:tc>
          <w:tcPr>
            <w:tcW w:w="1942" w:type="dxa"/>
          </w:tcPr>
          <w:p w:rsidR="009B1F98" w:rsidRDefault="009B1F98" w:rsidP="00EE526A">
            <w:pPr>
              <w:rPr>
                <w:rFonts w:asciiTheme="minorEastAsia" w:eastAsiaTheme="minorEastAsia" w:hAnsiTheme="minorEastAsia" w:cstheme="minorEastAsia"/>
                <w:lang w:eastAsia="zh-CN"/>
              </w:rPr>
            </w:pPr>
          </w:p>
        </w:tc>
      </w:tr>
      <w:tr w:rsidR="009B1F98" w:rsidTr="00EE526A">
        <w:trPr>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拆卸下托辊组B-1400</w:t>
            </w:r>
          </w:p>
        </w:tc>
        <w:tc>
          <w:tcPr>
            <w:tcW w:w="1200" w:type="dxa"/>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9套</w:t>
            </w:r>
          </w:p>
        </w:tc>
        <w:tc>
          <w:tcPr>
            <w:tcW w:w="1942" w:type="dxa"/>
          </w:tcPr>
          <w:p w:rsidR="009B1F98" w:rsidRDefault="009B1F98" w:rsidP="00EE526A">
            <w:pPr>
              <w:rPr>
                <w:rFonts w:asciiTheme="minorEastAsia" w:eastAsiaTheme="minorEastAsia" w:hAnsiTheme="minorEastAsia" w:cstheme="minorEastAsia"/>
                <w:lang w:eastAsia="zh-CN"/>
              </w:rPr>
            </w:pPr>
          </w:p>
        </w:tc>
      </w:tr>
      <w:tr w:rsidR="009B1F98" w:rsidTr="00EE526A">
        <w:trPr>
          <w:trHeight w:val="343"/>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电自动上纠偏装置 带宽B=2000</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6套</w:t>
            </w:r>
          </w:p>
        </w:tc>
        <w:tc>
          <w:tcPr>
            <w:tcW w:w="1942" w:type="dxa"/>
            <w:vMerge w:val="restart"/>
          </w:tcPr>
          <w:p w:rsidR="009B1F98" w:rsidRDefault="009B1F98" w:rsidP="00EE526A">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备件乙供（并提供图纸）、因现场输送带跑偏情况不一致，商家需根据现场实际情况，对现有输送带纠偏系统进行设计安装，确保输送带纠偏效果达到使用要求。</w:t>
            </w:r>
          </w:p>
        </w:tc>
      </w:tr>
      <w:tr w:rsidR="009B1F98" w:rsidTr="00EE526A">
        <w:trPr>
          <w:trHeight w:val="418"/>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电自动下纠偏装置 带宽B=2000</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6套</w:t>
            </w:r>
          </w:p>
        </w:tc>
        <w:tc>
          <w:tcPr>
            <w:tcW w:w="1942" w:type="dxa"/>
            <w:vMerge/>
          </w:tcPr>
          <w:p w:rsidR="009B1F98" w:rsidRDefault="009B1F98" w:rsidP="00EE526A">
            <w:pPr>
              <w:rPr>
                <w:rFonts w:asciiTheme="minorEastAsia" w:eastAsiaTheme="minorEastAsia" w:hAnsiTheme="minorEastAsia" w:cstheme="minorEastAsia"/>
                <w:lang w:eastAsia="zh-CN"/>
              </w:rPr>
            </w:pPr>
          </w:p>
        </w:tc>
      </w:tr>
      <w:tr w:rsidR="009B1F98" w:rsidTr="00EE526A">
        <w:trPr>
          <w:trHeight w:val="543"/>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电自动上纠偏装置 带宽B=1400</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2套</w:t>
            </w:r>
          </w:p>
        </w:tc>
        <w:tc>
          <w:tcPr>
            <w:tcW w:w="1942" w:type="dxa"/>
            <w:vMerge/>
          </w:tcPr>
          <w:p w:rsidR="009B1F98" w:rsidRDefault="009B1F98" w:rsidP="00EE526A">
            <w:pPr>
              <w:rPr>
                <w:rFonts w:asciiTheme="minorEastAsia" w:eastAsiaTheme="minorEastAsia" w:hAnsiTheme="minorEastAsia" w:cstheme="minorEastAsia"/>
                <w:lang w:eastAsia="zh-CN"/>
              </w:rPr>
            </w:pPr>
          </w:p>
        </w:tc>
      </w:tr>
      <w:tr w:rsidR="009B1F98" w:rsidTr="00EE526A">
        <w:trPr>
          <w:trHeight w:val="506"/>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8</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电自动下纠偏装置 带宽B=1400</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3套</w:t>
            </w:r>
          </w:p>
        </w:tc>
        <w:tc>
          <w:tcPr>
            <w:tcW w:w="1942" w:type="dxa"/>
            <w:vMerge/>
          </w:tcPr>
          <w:p w:rsidR="009B1F98" w:rsidRDefault="009B1F98" w:rsidP="00EE526A">
            <w:pPr>
              <w:rPr>
                <w:rFonts w:asciiTheme="minorEastAsia" w:eastAsiaTheme="minorEastAsia" w:hAnsiTheme="minorEastAsia" w:cstheme="minorEastAsia"/>
                <w:lang w:eastAsia="zh-CN"/>
              </w:rPr>
            </w:pPr>
          </w:p>
        </w:tc>
      </w:tr>
      <w:tr w:rsidR="009B1F98" w:rsidTr="00EE526A">
        <w:trPr>
          <w:trHeight w:val="371"/>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9</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proofErr w:type="gramStart"/>
            <w:r>
              <w:rPr>
                <w:rFonts w:asciiTheme="minorEastAsia" w:eastAsiaTheme="minorEastAsia" w:hAnsiTheme="minorEastAsia" w:cstheme="minorEastAsia" w:hint="eastAsia"/>
                <w:lang w:eastAsia="zh-CN"/>
              </w:rPr>
              <w:t>锥辊上纠偏</w:t>
            </w:r>
            <w:proofErr w:type="gramEnd"/>
            <w:r>
              <w:rPr>
                <w:rFonts w:asciiTheme="minorEastAsia" w:eastAsiaTheme="minorEastAsia" w:hAnsiTheme="minorEastAsia" w:cstheme="minorEastAsia" w:hint="eastAsia"/>
                <w:lang w:eastAsia="zh-CN"/>
              </w:rPr>
              <w:t>装置 带宽B=2000</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7套</w:t>
            </w:r>
          </w:p>
        </w:tc>
        <w:tc>
          <w:tcPr>
            <w:tcW w:w="1942" w:type="dxa"/>
            <w:vMerge/>
          </w:tcPr>
          <w:p w:rsidR="009B1F98" w:rsidRDefault="009B1F98" w:rsidP="00EE526A">
            <w:pPr>
              <w:rPr>
                <w:rFonts w:asciiTheme="minorEastAsia" w:eastAsiaTheme="minorEastAsia" w:hAnsiTheme="minorEastAsia" w:cstheme="minorEastAsia"/>
                <w:lang w:eastAsia="zh-CN"/>
              </w:rPr>
            </w:pPr>
          </w:p>
        </w:tc>
      </w:tr>
      <w:tr w:rsidR="009B1F98" w:rsidTr="00EE526A">
        <w:trPr>
          <w:trHeight w:val="506"/>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10</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proofErr w:type="gramStart"/>
            <w:r>
              <w:rPr>
                <w:rFonts w:asciiTheme="minorEastAsia" w:eastAsiaTheme="minorEastAsia" w:hAnsiTheme="minorEastAsia" w:cstheme="minorEastAsia" w:hint="eastAsia"/>
                <w:lang w:eastAsia="zh-CN"/>
              </w:rPr>
              <w:t>锥辊下纠偏</w:t>
            </w:r>
            <w:proofErr w:type="gramEnd"/>
            <w:r>
              <w:rPr>
                <w:rFonts w:asciiTheme="minorEastAsia" w:eastAsiaTheme="minorEastAsia" w:hAnsiTheme="minorEastAsia" w:cstheme="minorEastAsia" w:hint="eastAsia"/>
                <w:lang w:eastAsia="zh-CN"/>
              </w:rPr>
              <w:t>装置 带宽B=2000</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6套</w:t>
            </w:r>
          </w:p>
        </w:tc>
        <w:tc>
          <w:tcPr>
            <w:tcW w:w="1942" w:type="dxa"/>
            <w:vMerge/>
          </w:tcPr>
          <w:p w:rsidR="009B1F98" w:rsidRDefault="009B1F98" w:rsidP="00EE526A">
            <w:pPr>
              <w:rPr>
                <w:rFonts w:asciiTheme="minorEastAsia" w:eastAsiaTheme="minorEastAsia" w:hAnsiTheme="minorEastAsia" w:cstheme="minorEastAsia"/>
                <w:lang w:eastAsia="zh-CN"/>
              </w:rPr>
            </w:pPr>
          </w:p>
        </w:tc>
      </w:tr>
      <w:tr w:rsidR="009B1F98" w:rsidTr="00EE526A">
        <w:trPr>
          <w:trHeight w:val="713"/>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11</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锥辊自动上纠偏装置 带宽B=1400</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5套</w:t>
            </w:r>
          </w:p>
        </w:tc>
        <w:tc>
          <w:tcPr>
            <w:tcW w:w="1942" w:type="dxa"/>
            <w:vMerge/>
          </w:tcPr>
          <w:p w:rsidR="009B1F98" w:rsidRDefault="009B1F98" w:rsidP="00EE526A">
            <w:pPr>
              <w:rPr>
                <w:rFonts w:asciiTheme="minorEastAsia" w:eastAsiaTheme="minorEastAsia" w:hAnsiTheme="minorEastAsia" w:cstheme="minorEastAsia"/>
                <w:lang w:eastAsia="zh-CN"/>
              </w:rPr>
            </w:pPr>
          </w:p>
        </w:tc>
      </w:tr>
      <w:tr w:rsidR="009B1F98" w:rsidTr="00EE526A">
        <w:trPr>
          <w:trHeight w:val="713"/>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12</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锥辊自动下纠偏装置 带宽B=1400</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4套</w:t>
            </w:r>
          </w:p>
        </w:tc>
        <w:tc>
          <w:tcPr>
            <w:tcW w:w="1942" w:type="dxa"/>
            <w:vMerge/>
          </w:tcPr>
          <w:p w:rsidR="009B1F98" w:rsidRDefault="009B1F98" w:rsidP="00EE526A">
            <w:pPr>
              <w:rPr>
                <w:rFonts w:asciiTheme="minorEastAsia" w:eastAsiaTheme="minorEastAsia" w:hAnsiTheme="minorEastAsia" w:cstheme="minorEastAsia"/>
                <w:lang w:eastAsia="zh-CN"/>
              </w:rPr>
            </w:pPr>
          </w:p>
        </w:tc>
      </w:tr>
      <w:tr w:rsidR="009B1F98" w:rsidTr="00EE526A">
        <w:trPr>
          <w:trHeight w:val="624"/>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配套纠偏装置的控制箱与线路安装及调试</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1项</w:t>
            </w:r>
          </w:p>
        </w:tc>
        <w:tc>
          <w:tcPr>
            <w:tcW w:w="1942" w:type="dxa"/>
            <w:vAlign w:val="center"/>
          </w:tcPr>
          <w:p w:rsidR="009B1F98" w:rsidRDefault="009B1F98" w:rsidP="00EE526A">
            <w:pPr>
              <w:jc w:val="center"/>
              <w:rPr>
                <w:rFonts w:asciiTheme="minorEastAsia" w:eastAsiaTheme="minorEastAsia" w:hAnsiTheme="minorEastAsia" w:cstheme="minorEastAsia"/>
                <w:lang w:eastAsia="zh-CN"/>
              </w:rPr>
            </w:pPr>
            <w:proofErr w:type="gramStart"/>
            <w:r>
              <w:rPr>
                <w:rFonts w:asciiTheme="minorEastAsia" w:eastAsiaTheme="minorEastAsia" w:hAnsiTheme="minorEastAsia" w:cstheme="minorEastAsia" w:hint="eastAsia"/>
                <w:lang w:eastAsia="zh-CN"/>
              </w:rPr>
              <w:t>材料乙供</w:t>
            </w:r>
            <w:proofErr w:type="gramEnd"/>
          </w:p>
        </w:tc>
      </w:tr>
      <w:tr w:rsidR="009B1F98" w:rsidTr="00EE526A">
        <w:trPr>
          <w:trHeight w:val="635"/>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14</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M16×80mm（材质：35CrMo、8.8级、镀锌）或M20×100mm（材质：不锈钢316）配平垫</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320颗</w:t>
            </w:r>
          </w:p>
        </w:tc>
        <w:tc>
          <w:tcPr>
            <w:tcW w:w="1942" w:type="dxa"/>
            <w:vAlign w:val="center"/>
          </w:tcPr>
          <w:p w:rsidR="009B1F98" w:rsidRDefault="009B1F98" w:rsidP="00EE526A">
            <w:pPr>
              <w:rPr>
                <w:rFonts w:asciiTheme="minorEastAsia" w:eastAsiaTheme="minorEastAsia" w:hAnsiTheme="minorEastAsia" w:cstheme="minorEastAsia"/>
                <w:lang w:eastAsia="zh-CN"/>
              </w:rPr>
            </w:pPr>
            <w:proofErr w:type="gramStart"/>
            <w:r>
              <w:rPr>
                <w:rFonts w:asciiTheme="minorEastAsia" w:eastAsiaTheme="minorEastAsia" w:hAnsiTheme="minorEastAsia" w:cstheme="minorEastAsia" w:hint="eastAsia"/>
                <w:lang w:eastAsia="zh-CN"/>
              </w:rPr>
              <w:t>材料乙供</w:t>
            </w:r>
            <w:proofErr w:type="gramEnd"/>
          </w:p>
        </w:tc>
      </w:tr>
      <w:tr w:rsidR="009B1F98" w:rsidTr="00EE526A">
        <w:trPr>
          <w:trHeight w:val="637"/>
          <w:jc w:val="center"/>
        </w:trPr>
        <w:tc>
          <w:tcPr>
            <w:tcW w:w="65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15</w:t>
            </w:r>
          </w:p>
        </w:tc>
        <w:tc>
          <w:tcPr>
            <w:tcW w:w="4725"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纠偏装置安装、调试费（含运输、吊装、保险等费用）</w:t>
            </w:r>
          </w:p>
        </w:tc>
        <w:tc>
          <w:tcPr>
            <w:tcW w:w="1200" w:type="dxa"/>
            <w:vAlign w:val="center"/>
          </w:tcPr>
          <w:p w:rsidR="009B1F98" w:rsidRDefault="009B1F98" w:rsidP="00EE526A">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1项</w:t>
            </w:r>
          </w:p>
        </w:tc>
        <w:tc>
          <w:tcPr>
            <w:tcW w:w="1942" w:type="dxa"/>
          </w:tcPr>
          <w:p w:rsidR="009B1F98" w:rsidRDefault="009B1F98" w:rsidP="00EE526A">
            <w:pPr>
              <w:rPr>
                <w:rFonts w:asciiTheme="minorEastAsia" w:eastAsiaTheme="minorEastAsia" w:hAnsiTheme="minorEastAsia" w:cstheme="minorEastAsia"/>
                <w:lang w:eastAsia="zh-CN"/>
              </w:rPr>
            </w:pPr>
          </w:p>
        </w:tc>
      </w:tr>
    </w:tbl>
    <w:p w:rsidR="009B1F98" w:rsidRDefault="009B1F98" w:rsidP="009B1F98">
      <w:pPr>
        <w:spacing w:afterLines="50" w:after="156"/>
        <w:jc w:val="both"/>
        <w:rPr>
          <w:rFonts w:asciiTheme="minorEastAsia" w:eastAsiaTheme="minorEastAsia" w:hAnsiTheme="minorEastAsia" w:cstheme="minorEastAsia"/>
          <w:b/>
          <w:lang w:eastAsia="zh-CN"/>
        </w:rPr>
      </w:pPr>
      <w:r>
        <w:rPr>
          <w:rFonts w:asciiTheme="minorEastAsia" w:eastAsiaTheme="minorEastAsia" w:hAnsiTheme="minorEastAsia" w:cstheme="minorEastAsia" w:hint="eastAsia"/>
          <w:b/>
          <w:lang w:eastAsia="zh-CN"/>
        </w:rPr>
        <w:t>九、报价内容：</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9.1、详见发包说明第八项。</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lastRenderedPageBreak/>
        <w:t>9.2、结算时按合同核算，不得以任何理由要求追加，本项目不得转包或分包。</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9.3、承包商报价时应将风险包干费计入综合单价，并应包含所有人工费、材料费、机械费、保险费等。 </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9.4、合同价款中所包含的风险范围包含：（1）因工程项目清单有错、漏，导致工程报价不准确 ；（2）因市场变化、政策性调整导致人工、机械和材料价格变化；（3）按合同工期完工所采取的赶工措施。</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9.5、投标承包商应于投标前应自行</w:t>
      </w:r>
      <w:proofErr w:type="gramStart"/>
      <w:r>
        <w:rPr>
          <w:rFonts w:asciiTheme="minorEastAsia" w:eastAsiaTheme="minorEastAsia" w:hAnsiTheme="minorEastAsia" w:cstheme="minorEastAsia" w:hint="eastAsia"/>
          <w:lang w:eastAsia="zh-CN"/>
        </w:rPr>
        <w:t>赴施工</w:t>
      </w:r>
      <w:proofErr w:type="gramEnd"/>
      <w:r>
        <w:rPr>
          <w:rFonts w:asciiTheme="minorEastAsia" w:eastAsiaTheme="minorEastAsia" w:hAnsiTheme="minorEastAsia" w:cstheme="minorEastAsia" w:hint="eastAsia"/>
          <w:lang w:eastAsia="zh-CN"/>
        </w:rPr>
        <w:t>地点详实勘查，如工程需要或本公司认为有需要夜间施工或加派人力赶工，中标承包商应配合并不得要求加价。</w:t>
      </w:r>
    </w:p>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9.6、焊接考试所用相关设备、耗材、试样、防腐等相关费用由乙方负责。</w:t>
      </w:r>
    </w:p>
    <w:p w:rsidR="009B1F98" w:rsidRDefault="009B1F98" w:rsidP="009B1F98">
      <w:pPr>
        <w:pStyle w:val="1"/>
        <w:numPr>
          <w:ilvl w:val="0"/>
          <w:numId w:val="0"/>
        </w:numPr>
        <w:spacing w:line="400" w:lineRule="exact"/>
        <w:rPr>
          <w:rFonts w:asciiTheme="minorEastAsia" w:eastAsiaTheme="minorEastAsia" w:hAnsiTheme="minorEastAsia" w:cstheme="minorEastAsia"/>
          <w:sz w:val="24"/>
        </w:rPr>
      </w:pPr>
      <w:bookmarkStart w:id="1" w:name="_Toc24505"/>
      <w:r>
        <w:rPr>
          <w:rFonts w:asciiTheme="minorEastAsia" w:eastAsiaTheme="minorEastAsia" w:hAnsiTheme="minorEastAsia" w:cstheme="minorEastAsia" w:hint="eastAsia"/>
          <w:sz w:val="24"/>
          <w:lang w:eastAsia="zh-CN"/>
        </w:rPr>
        <w:t>十、</w:t>
      </w:r>
      <w:r>
        <w:rPr>
          <w:rFonts w:asciiTheme="minorEastAsia" w:eastAsiaTheme="minorEastAsia" w:hAnsiTheme="minorEastAsia" w:cstheme="minorEastAsia" w:hint="eastAsia"/>
          <w:sz w:val="24"/>
        </w:rPr>
        <w:t>评审方式</w:t>
      </w:r>
      <w:bookmarkEnd w:id="1"/>
    </w:p>
    <w:p w:rsidR="009B1F98" w:rsidRDefault="009B1F98" w:rsidP="009B1F98">
      <w:pPr>
        <w:spacing w:afterLines="50" w:after="156" w:line="400" w:lineRule="exact"/>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本项目采取综合评审方式，资质符合要求且经详细评审技术标与商务标综合得分最高的投标人作为中标人。资格（含资质）审查不合格的投标人，不进入详细评审。</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851"/>
        <w:gridCol w:w="4565"/>
      </w:tblGrid>
      <w:tr w:rsidR="009B1F98" w:rsidTr="00EE526A">
        <w:trPr>
          <w:trHeight w:val="385"/>
          <w:jc w:val="center"/>
        </w:trPr>
        <w:tc>
          <w:tcPr>
            <w:tcW w:w="704"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序号</w:t>
            </w:r>
          </w:p>
        </w:tc>
        <w:tc>
          <w:tcPr>
            <w:tcW w:w="2126"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评议内容</w:t>
            </w:r>
          </w:p>
        </w:tc>
        <w:tc>
          <w:tcPr>
            <w:tcW w:w="851" w:type="dxa"/>
            <w:shd w:val="clear" w:color="auto" w:fill="auto"/>
            <w:noWrap/>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分值</w:t>
            </w:r>
          </w:p>
        </w:tc>
        <w:tc>
          <w:tcPr>
            <w:tcW w:w="4565"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评审标准</w:t>
            </w:r>
          </w:p>
        </w:tc>
      </w:tr>
      <w:tr w:rsidR="009B1F98" w:rsidTr="00EE526A">
        <w:trPr>
          <w:trHeight w:val="502"/>
          <w:jc w:val="center"/>
        </w:trPr>
        <w:tc>
          <w:tcPr>
            <w:tcW w:w="704"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一</w:t>
            </w:r>
          </w:p>
        </w:tc>
        <w:tc>
          <w:tcPr>
            <w:tcW w:w="7542" w:type="dxa"/>
            <w:gridSpan w:val="3"/>
            <w:shd w:val="clear" w:color="auto" w:fill="auto"/>
            <w:vAlign w:val="center"/>
          </w:tcPr>
          <w:p w:rsidR="009B1F98" w:rsidRDefault="009B1F98" w:rsidP="00EE526A">
            <w:pPr>
              <w:widowControl/>
              <w:spacing w:line="300" w:lineRule="exact"/>
              <w:rPr>
                <w:rFonts w:asciiTheme="minorEastAsia" w:eastAsiaTheme="minorEastAsia" w:hAnsiTheme="minorEastAsia" w:cstheme="minorEastAsia"/>
                <w:b/>
                <w:kern w:val="0"/>
              </w:rPr>
            </w:pPr>
            <w:r>
              <w:rPr>
                <w:rFonts w:asciiTheme="minorEastAsia" w:eastAsiaTheme="minorEastAsia" w:hAnsiTheme="minorEastAsia" w:cstheme="minorEastAsia" w:hint="eastAsia"/>
                <w:b/>
                <w:kern w:val="0"/>
              </w:rPr>
              <w:t>技术标（满分</w:t>
            </w:r>
            <w:r>
              <w:rPr>
                <w:rFonts w:asciiTheme="minorEastAsia" w:eastAsiaTheme="minorEastAsia" w:hAnsiTheme="minorEastAsia" w:cstheme="minorEastAsia" w:hint="eastAsia"/>
                <w:b/>
                <w:kern w:val="0"/>
                <w:lang w:eastAsia="zh-CN"/>
              </w:rPr>
              <w:t>3</w:t>
            </w:r>
            <w:r>
              <w:rPr>
                <w:rFonts w:asciiTheme="minorEastAsia" w:eastAsiaTheme="minorEastAsia" w:hAnsiTheme="minorEastAsia" w:cstheme="minorEastAsia"/>
                <w:b/>
                <w:kern w:val="0"/>
                <w:lang w:eastAsia="zh-CN"/>
              </w:rPr>
              <w:t>0</w:t>
            </w:r>
            <w:r>
              <w:rPr>
                <w:rFonts w:asciiTheme="minorEastAsia" w:eastAsiaTheme="minorEastAsia" w:hAnsiTheme="minorEastAsia" w:cstheme="minorEastAsia" w:hint="eastAsia"/>
                <w:b/>
                <w:kern w:val="0"/>
              </w:rPr>
              <w:t>分）</w:t>
            </w:r>
          </w:p>
        </w:tc>
      </w:tr>
      <w:tr w:rsidR="009B1F98" w:rsidTr="00EE526A">
        <w:trPr>
          <w:trHeight w:val="2433"/>
          <w:jc w:val="center"/>
        </w:trPr>
        <w:tc>
          <w:tcPr>
            <w:tcW w:w="704"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w:t>
            </w:r>
          </w:p>
        </w:tc>
        <w:tc>
          <w:tcPr>
            <w:tcW w:w="2126"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服务业绩</w:t>
            </w:r>
          </w:p>
        </w:tc>
        <w:tc>
          <w:tcPr>
            <w:tcW w:w="851" w:type="dxa"/>
            <w:shd w:val="clear" w:color="auto" w:fill="auto"/>
            <w:noWrap/>
            <w:vAlign w:val="center"/>
          </w:tcPr>
          <w:p w:rsidR="009B1F98" w:rsidRDefault="009B1F98" w:rsidP="00EE526A">
            <w:pPr>
              <w:widowControl/>
              <w:spacing w:line="300" w:lineRule="exact"/>
              <w:jc w:val="center"/>
              <w:rPr>
                <w:rFonts w:asciiTheme="minorEastAsia" w:eastAsiaTheme="minorEastAsia" w:hAnsiTheme="minorEastAsia" w:cstheme="minorEastAsia"/>
                <w:kern w:val="0"/>
                <w:lang w:eastAsia="zh-CN"/>
              </w:rPr>
            </w:pPr>
            <w:r>
              <w:rPr>
                <w:rFonts w:asciiTheme="minorEastAsia" w:eastAsiaTheme="minorEastAsia" w:hAnsiTheme="minorEastAsia" w:cstheme="minorEastAsia"/>
                <w:kern w:val="0"/>
                <w:lang w:eastAsia="zh-CN"/>
              </w:rPr>
              <w:t>18</w:t>
            </w:r>
          </w:p>
        </w:tc>
        <w:tc>
          <w:tcPr>
            <w:tcW w:w="4565" w:type="dxa"/>
            <w:shd w:val="clear" w:color="auto" w:fill="auto"/>
            <w:vAlign w:val="center"/>
          </w:tcPr>
          <w:p w:rsidR="009B1F98" w:rsidRDefault="009B1F98" w:rsidP="00EE526A">
            <w:pPr>
              <w:widowControl/>
              <w:spacing w:line="3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类似合同业绩:</w:t>
            </w:r>
          </w:p>
          <w:p w:rsidR="009B1F98" w:rsidRDefault="009B1F98" w:rsidP="00EE526A">
            <w:pPr>
              <w:widowControl/>
              <w:spacing w:line="3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a、提供</w:t>
            </w:r>
            <w:r>
              <w:rPr>
                <w:rFonts w:asciiTheme="minorEastAsia" w:eastAsiaTheme="minorEastAsia" w:hAnsiTheme="minorEastAsia" w:cstheme="minorEastAsia" w:hint="eastAsia"/>
                <w:kern w:val="0"/>
                <w:lang w:eastAsia="zh-CN"/>
              </w:rPr>
              <w:t>自动纠偏装置</w:t>
            </w:r>
            <w:r>
              <w:rPr>
                <w:rFonts w:asciiTheme="minorEastAsia" w:eastAsiaTheme="minorEastAsia" w:hAnsiTheme="minorEastAsia" w:cstheme="minorEastAsia" w:hint="eastAsia"/>
                <w:kern w:val="0"/>
              </w:rPr>
              <w:t>业绩</w:t>
            </w:r>
            <w:r>
              <w:rPr>
                <w:rFonts w:asciiTheme="minorEastAsia" w:eastAsiaTheme="minorEastAsia" w:hAnsiTheme="minorEastAsia" w:cstheme="minorEastAsia" w:hint="eastAsia"/>
                <w:kern w:val="0"/>
                <w:lang w:eastAsia="zh-CN"/>
              </w:rPr>
              <w:t>（供货、安装及调试等）</w:t>
            </w:r>
            <w:r>
              <w:rPr>
                <w:rFonts w:asciiTheme="minorEastAsia" w:eastAsiaTheme="minorEastAsia" w:hAnsiTheme="minorEastAsia" w:cstheme="minorEastAsia" w:hint="eastAsia"/>
                <w:kern w:val="0"/>
              </w:rPr>
              <w:t>，每提供一份合同得</w:t>
            </w:r>
            <w:r>
              <w:rPr>
                <w:rFonts w:asciiTheme="minorEastAsia" w:eastAsiaTheme="minorEastAsia" w:hAnsiTheme="minorEastAsia" w:cstheme="minorEastAsia" w:hint="eastAsia"/>
                <w:kern w:val="0"/>
                <w:lang w:eastAsia="zh-CN"/>
              </w:rPr>
              <w:t>2</w:t>
            </w:r>
            <w:r>
              <w:rPr>
                <w:rFonts w:asciiTheme="minorEastAsia" w:eastAsiaTheme="minorEastAsia" w:hAnsiTheme="minorEastAsia" w:cstheme="minorEastAsia" w:hint="eastAsia"/>
                <w:kern w:val="0"/>
              </w:rPr>
              <w:t>分，最多得</w:t>
            </w:r>
            <w:r>
              <w:rPr>
                <w:rFonts w:asciiTheme="minorEastAsia" w:eastAsiaTheme="minorEastAsia" w:hAnsiTheme="minorEastAsia" w:cstheme="minorEastAsia" w:hint="eastAsia"/>
                <w:kern w:val="0"/>
                <w:lang w:eastAsia="zh-CN"/>
              </w:rPr>
              <w:t>6</w:t>
            </w:r>
            <w:r>
              <w:rPr>
                <w:rFonts w:asciiTheme="minorEastAsia" w:eastAsiaTheme="minorEastAsia" w:hAnsiTheme="minorEastAsia" w:cstheme="minorEastAsia" w:hint="eastAsia"/>
                <w:kern w:val="0"/>
              </w:rPr>
              <w:t>分；</w:t>
            </w:r>
          </w:p>
          <w:p w:rsidR="009B1F98" w:rsidRDefault="009B1F98" w:rsidP="00EE526A">
            <w:pPr>
              <w:pStyle w:val="a6"/>
              <w:widowControl/>
              <w:spacing w:line="300" w:lineRule="exact"/>
              <w:ind w:firstLine="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b、若其中一个合同为</w:t>
            </w:r>
            <w:r>
              <w:rPr>
                <w:rFonts w:asciiTheme="minorEastAsia" w:eastAsiaTheme="minorEastAsia" w:hAnsiTheme="minorEastAsia" w:cstheme="minorEastAsia" w:hint="eastAsia"/>
                <w:kern w:val="0"/>
                <w:lang w:eastAsia="zh-CN"/>
              </w:rPr>
              <w:t>匹配输煤系统自动纠偏装置</w:t>
            </w:r>
            <w:r>
              <w:rPr>
                <w:rFonts w:asciiTheme="minorEastAsia" w:eastAsiaTheme="minorEastAsia" w:hAnsiTheme="minorEastAsia" w:cstheme="minorEastAsia" w:hint="eastAsia"/>
                <w:kern w:val="0"/>
              </w:rPr>
              <w:t>整套设备供货</w:t>
            </w:r>
            <w:r>
              <w:rPr>
                <w:rFonts w:asciiTheme="minorEastAsia" w:eastAsiaTheme="minorEastAsia" w:hAnsiTheme="minorEastAsia" w:cstheme="minorEastAsia" w:hint="eastAsia"/>
                <w:kern w:val="0"/>
                <w:lang w:eastAsia="zh-CN"/>
              </w:rPr>
              <w:t>、</w:t>
            </w:r>
            <w:r>
              <w:rPr>
                <w:rFonts w:asciiTheme="minorEastAsia" w:eastAsiaTheme="minorEastAsia" w:hAnsiTheme="minorEastAsia" w:cstheme="minorEastAsia" w:hint="eastAsia"/>
                <w:kern w:val="0"/>
              </w:rPr>
              <w:t>安装、</w:t>
            </w:r>
            <w:r>
              <w:rPr>
                <w:rFonts w:asciiTheme="minorEastAsia" w:eastAsiaTheme="minorEastAsia" w:hAnsiTheme="minorEastAsia" w:cstheme="minorEastAsia" w:hint="eastAsia"/>
                <w:kern w:val="0"/>
                <w:lang w:eastAsia="zh-CN"/>
              </w:rPr>
              <w:t>调试等</w:t>
            </w:r>
            <w:r>
              <w:rPr>
                <w:rFonts w:asciiTheme="minorEastAsia" w:eastAsiaTheme="minorEastAsia" w:hAnsiTheme="minorEastAsia" w:cstheme="minorEastAsia" w:hint="eastAsia"/>
                <w:kern w:val="0"/>
              </w:rPr>
              <w:t>业绩加</w:t>
            </w:r>
            <w:r>
              <w:rPr>
                <w:rFonts w:asciiTheme="minorEastAsia" w:eastAsiaTheme="minorEastAsia" w:hAnsiTheme="minorEastAsia" w:cstheme="minorEastAsia"/>
                <w:kern w:val="0"/>
                <w:lang w:eastAsia="zh-CN"/>
              </w:rPr>
              <w:t>4</w:t>
            </w:r>
            <w:r>
              <w:rPr>
                <w:rFonts w:asciiTheme="minorEastAsia" w:eastAsiaTheme="minorEastAsia" w:hAnsiTheme="minorEastAsia" w:cstheme="minorEastAsia" w:hint="eastAsia"/>
                <w:kern w:val="0"/>
              </w:rPr>
              <w:t>分，最多得</w:t>
            </w:r>
            <w:r>
              <w:rPr>
                <w:rFonts w:asciiTheme="minorEastAsia" w:eastAsiaTheme="minorEastAsia" w:hAnsiTheme="minorEastAsia" w:cstheme="minorEastAsia"/>
                <w:kern w:val="0"/>
                <w:lang w:eastAsia="zh-CN"/>
              </w:rPr>
              <w:t>12</w:t>
            </w:r>
            <w:r>
              <w:rPr>
                <w:rFonts w:asciiTheme="minorEastAsia" w:eastAsiaTheme="minorEastAsia" w:hAnsiTheme="minorEastAsia" w:cstheme="minorEastAsia" w:hint="eastAsia"/>
                <w:kern w:val="0"/>
              </w:rPr>
              <w:t>分。</w:t>
            </w:r>
          </w:p>
        </w:tc>
      </w:tr>
      <w:tr w:rsidR="009B1F98" w:rsidTr="00EE526A">
        <w:trPr>
          <w:trHeight w:val="1053"/>
          <w:jc w:val="center"/>
        </w:trPr>
        <w:tc>
          <w:tcPr>
            <w:tcW w:w="704"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w:t>
            </w:r>
          </w:p>
        </w:tc>
        <w:tc>
          <w:tcPr>
            <w:tcW w:w="2126"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highlight w:val="yellow"/>
              </w:rPr>
            </w:pPr>
            <w:r>
              <w:rPr>
                <w:rFonts w:asciiTheme="minorEastAsia" w:eastAsiaTheme="minorEastAsia" w:hAnsiTheme="minorEastAsia" w:cstheme="minorEastAsia" w:hint="eastAsia"/>
                <w:kern w:val="0"/>
              </w:rPr>
              <w:t>质量保证</w:t>
            </w:r>
          </w:p>
        </w:tc>
        <w:tc>
          <w:tcPr>
            <w:tcW w:w="851" w:type="dxa"/>
            <w:shd w:val="clear" w:color="auto" w:fill="auto"/>
            <w:noWrap/>
            <w:vAlign w:val="center"/>
          </w:tcPr>
          <w:p w:rsidR="009B1F98" w:rsidRDefault="009B1F98" w:rsidP="00EE526A">
            <w:pPr>
              <w:widowControl/>
              <w:spacing w:line="300" w:lineRule="exact"/>
              <w:jc w:val="center"/>
              <w:rPr>
                <w:rFonts w:asciiTheme="minorEastAsia" w:eastAsiaTheme="minorEastAsia" w:hAnsiTheme="minorEastAsia" w:cstheme="minorEastAsia"/>
                <w:kern w:val="0"/>
                <w:lang w:eastAsia="zh-CN"/>
              </w:rPr>
            </w:pPr>
            <w:r>
              <w:rPr>
                <w:rFonts w:asciiTheme="minorEastAsia" w:eastAsiaTheme="minorEastAsia" w:hAnsiTheme="minorEastAsia" w:cstheme="minorEastAsia"/>
                <w:kern w:val="0"/>
                <w:lang w:eastAsia="zh-CN"/>
              </w:rPr>
              <w:t>3</w:t>
            </w:r>
          </w:p>
        </w:tc>
        <w:tc>
          <w:tcPr>
            <w:tcW w:w="4565" w:type="dxa"/>
            <w:shd w:val="clear" w:color="auto" w:fill="auto"/>
            <w:vAlign w:val="center"/>
          </w:tcPr>
          <w:p w:rsidR="009B1F98" w:rsidRDefault="009B1F98" w:rsidP="00EE526A">
            <w:pPr>
              <w:widowControl/>
              <w:spacing w:line="3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质保期至少1年，每延长1年得</w:t>
            </w:r>
            <w:r>
              <w:rPr>
                <w:rFonts w:asciiTheme="minorEastAsia" w:eastAsiaTheme="minorEastAsia" w:hAnsiTheme="minorEastAsia" w:cstheme="minorEastAsia"/>
                <w:kern w:val="0"/>
                <w:lang w:eastAsia="zh-CN"/>
              </w:rPr>
              <w:t>1</w:t>
            </w:r>
            <w:r>
              <w:rPr>
                <w:rFonts w:asciiTheme="minorEastAsia" w:eastAsiaTheme="minorEastAsia" w:hAnsiTheme="minorEastAsia" w:cstheme="minorEastAsia" w:hint="eastAsia"/>
                <w:kern w:val="0"/>
              </w:rPr>
              <w:t>分，最多得</w:t>
            </w:r>
            <w:r>
              <w:rPr>
                <w:rFonts w:asciiTheme="minorEastAsia" w:eastAsiaTheme="minorEastAsia" w:hAnsiTheme="minorEastAsia" w:cstheme="minorEastAsia"/>
                <w:kern w:val="0"/>
                <w:lang w:eastAsia="zh-CN"/>
              </w:rPr>
              <w:t>3</w:t>
            </w:r>
            <w:r>
              <w:rPr>
                <w:rFonts w:asciiTheme="minorEastAsia" w:eastAsiaTheme="minorEastAsia" w:hAnsiTheme="minorEastAsia" w:cstheme="minorEastAsia" w:hint="eastAsia"/>
                <w:kern w:val="0"/>
              </w:rPr>
              <w:t>分。不提供不得分。</w:t>
            </w:r>
          </w:p>
        </w:tc>
      </w:tr>
      <w:tr w:rsidR="009B1F98" w:rsidTr="00EE526A">
        <w:trPr>
          <w:trHeight w:val="1476"/>
          <w:jc w:val="center"/>
        </w:trPr>
        <w:tc>
          <w:tcPr>
            <w:tcW w:w="704"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w:t>
            </w:r>
          </w:p>
        </w:tc>
        <w:tc>
          <w:tcPr>
            <w:tcW w:w="2126"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技术方案</w:t>
            </w:r>
          </w:p>
        </w:tc>
        <w:tc>
          <w:tcPr>
            <w:tcW w:w="851" w:type="dxa"/>
            <w:shd w:val="clear" w:color="auto" w:fill="auto"/>
            <w:noWrap/>
            <w:vAlign w:val="center"/>
          </w:tcPr>
          <w:p w:rsidR="009B1F98" w:rsidRDefault="009B1F98" w:rsidP="00EE526A">
            <w:pPr>
              <w:widowControl/>
              <w:spacing w:line="300" w:lineRule="exact"/>
              <w:jc w:val="center"/>
              <w:rPr>
                <w:rFonts w:asciiTheme="minorEastAsia" w:eastAsiaTheme="minorEastAsia" w:hAnsiTheme="minorEastAsia" w:cstheme="minorEastAsia"/>
                <w:kern w:val="0"/>
                <w:lang w:eastAsia="zh-CN"/>
              </w:rPr>
            </w:pPr>
            <w:r>
              <w:rPr>
                <w:rFonts w:asciiTheme="minorEastAsia" w:eastAsiaTheme="minorEastAsia" w:hAnsiTheme="minorEastAsia" w:cstheme="minorEastAsia"/>
                <w:kern w:val="0"/>
                <w:lang w:eastAsia="zh-CN"/>
              </w:rPr>
              <w:t>9</w:t>
            </w:r>
          </w:p>
        </w:tc>
        <w:tc>
          <w:tcPr>
            <w:tcW w:w="4565" w:type="dxa"/>
            <w:shd w:val="clear" w:color="auto" w:fill="auto"/>
            <w:vAlign w:val="center"/>
          </w:tcPr>
          <w:p w:rsidR="009B1F98" w:rsidRDefault="009B1F98" w:rsidP="00EE526A">
            <w:pPr>
              <w:widowControl/>
              <w:spacing w:line="3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根据参选人提供的项目技术方案横向比较进行综合评定（如：项目技术程序、技术图及技术要求、项目技术进度管控、技术质量管控、项目技术作业HSE策划、安全管控等），并在0-</w:t>
            </w:r>
            <w:r>
              <w:rPr>
                <w:rFonts w:asciiTheme="minorEastAsia" w:eastAsiaTheme="minorEastAsia" w:hAnsiTheme="minorEastAsia" w:cstheme="minorEastAsia"/>
                <w:kern w:val="0"/>
                <w:lang w:eastAsia="zh-CN"/>
              </w:rPr>
              <w:t>9</w:t>
            </w:r>
            <w:r>
              <w:rPr>
                <w:rFonts w:asciiTheme="minorEastAsia" w:eastAsiaTheme="minorEastAsia" w:hAnsiTheme="minorEastAsia" w:cstheme="minorEastAsia" w:hint="eastAsia"/>
                <w:kern w:val="0"/>
              </w:rPr>
              <w:t>分之间进行评分。不提供不得分。</w:t>
            </w:r>
          </w:p>
        </w:tc>
      </w:tr>
      <w:tr w:rsidR="009B1F98" w:rsidTr="00EE526A">
        <w:trPr>
          <w:trHeight w:val="337"/>
          <w:jc w:val="center"/>
        </w:trPr>
        <w:tc>
          <w:tcPr>
            <w:tcW w:w="704"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二</w:t>
            </w:r>
          </w:p>
        </w:tc>
        <w:tc>
          <w:tcPr>
            <w:tcW w:w="7542" w:type="dxa"/>
            <w:gridSpan w:val="3"/>
            <w:shd w:val="clear" w:color="auto" w:fill="auto"/>
            <w:vAlign w:val="center"/>
          </w:tcPr>
          <w:p w:rsidR="009B1F98" w:rsidRDefault="009B1F98" w:rsidP="00EE526A">
            <w:pPr>
              <w:widowControl/>
              <w:spacing w:line="3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b/>
                <w:kern w:val="0"/>
              </w:rPr>
              <w:t>商务标（满分</w:t>
            </w:r>
            <w:r>
              <w:rPr>
                <w:rFonts w:asciiTheme="minorEastAsia" w:eastAsiaTheme="minorEastAsia" w:hAnsiTheme="minorEastAsia" w:cstheme="minorEastAsia" w:hint="eastAsia"/>
                <w:b/>
                <w:kern w:val="0"/>
                <w:lang w:eastAsia="zh-CN"/>
              </w:rPr>
              <w:t>7</w:t>
            </w:r>
            <w:r>
              <w:rPr>
                <w:rFonts w:asciiTheme="minorEastAsia" w:eastAsiaTheme="minorEastAsia" w:hAnsiTheme="minorEastAsia" w:cstheme="minorEastAsia" w:hint="eastAsia"/>
                <w:b/>
                <w:kern w:val="0"/>
              </w:rPr>
              <w:t>0分）</w:t>
            </w:r>
          </w:p>
        </w:tc>
      </w:tr>
      <w:tr w:rsidR="009B1F98" w:rsidTr="00EE526A">
        <w:trPr>
          <w:trHeight w:val="1841"/>
          <w:jc w:val="center"/>
        </w:trPr>
        <w:tc>
          <w:tcPr>
            <w:tcW w:w="704" w:type="dxa"/>
            <w:shd w:val="clear" w:color="auto" w:fill="auto"/>
            <w:vAlign w:val="center"/>
          </w:tcPr>
          <w:p w:rsidR="009B1F98" w:rsidRDefault="009B1F98" w:rsidP="00EE526A">
            <w:pPr>
              <w:widowControl/>
              <w:spacing w:line="3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w:t>
            </w:r>
          </w:p>
        </w:tc>
        <w:tc>
          <w:tcPr>
            <w:tcW w:w="2126" w:type="dxa"/>
            <w:shd w:val="clear" w:color="auto" w:fill="auto"/>
            <w:vAlign w:val="center"/>
          </w:tcPr>
          <w:p w:rsidR="009B1F98" w:rsidRDefault="009B1F98" w:rsidP="00EE526A">
            <w:pPr>
              <w:widowControl/>
              <w:spacing w:line="3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报价</w:t>
            </w:r>
          </w:p>
        </w:tc>
        <w:tc>
          <w:tcPr>
            <w:tcW w:w="851" w:type="dxa"/>
            <w:shd w:val="clear" w:color="auto" w:fill="auto"/>
            <w:noWrap/>
            <w:vAlign w:val="center"/>
          </w:tcPr>
          <w:p w:rsidR="009B1F98" w:rsidRDefault="009B1F98" w:rsidP="00EE526A">
            <w:pPr>
              <w:spacing w:line="3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70</w:t>
            </w:r>
          </w:p>
        </w:tc>
        <w:tc>
          <w:tcPr>
            <w:tcW w:w="4565" w:type="dxa"/>
            <w:shd w:val="clear" w:color="auto" w:fill="auto"/>
            <w:vAlign w:val="center"/>
          </w:tcPr>
          <w:p w:rsidR="009B1F98" w:rsidRDefault="009B1F98" w:rsidP="00EE526A">
            <w:pPr>
              <w:widowControl/>
              <w:spacing w:line="300" w:lineRule="exact"/>
              <w:rPr>
                <w:rFonts w:asciiTheme="minorEastAsia" w:eastAsiaTheme="minorEastAsia" w:hAnsiTheme="minorEastAsia" w:cstheme="minorEastAsia"/>
              </w:rPr>
            </w:pPr>
            <w:r>
              <w:rPr>
                <w:rFonts w:asciiTheme="minorEastAsia" w:eastAsiaTheme="minorEastAsia" w:hAnsiTheme="minorEastAsia" w:cstheme="minorEastAsia" w:hint="eastAsia"/>
              </w:rPr>
              <w:t>A=（a1+a2+……+an）/N</w:t>
            </w:r>
          </w:p>
          <w:p w:rsidR="009B1F98" w:rsidRDefault="009B1F98" w:rsidP="00EE526A">
            <w:pPr>
              <w:widowControl/>
              <w:spacing w:line="300" w:lineRule="exact"/>
              <w:rPr>
                <w:rFonts w:asciiTheme="minorEastAsia" w:eastAsiaTheme="minorEastAsia" w:hAnsiTheme="minorEastAsia" w:cstheme="minorEastAsia"/>
              </w:rPr>
            </w:pPr>
            <w:r>
              <w:rPr>
                <w:rFonts w:asciiTheme="minorEastAsia" w:eastAsiaTheme="minorEastAsia" w:hAnsiTheme="minorEastAsia" w:cstheme="minorEastAsia" w:hint="eastAsia"/>
              </w:rPr>
              <w:t>注：A=评标基准价 a=有效投标价 N=有效投标人的数</w:t>
            </w:r>
          </w:p>
          <w:p w:rsidR="009B1F98" w:rsidRDefault="009B1F98" w:rsidP="00EE526A">
            <w:pPr>
              <w:widowControl/>
              <w:spacing w:line="300" w:lineRule="exact"/>
              <w:rPr>
                <w:rFonts w:asciiTheme="minorEastAsia" w:eastAsiaTheme="minorEastAsia" w:hAnsiTheme="minorEastAsia" w:cstheme="minorEastAsia"/>
              </w:rPr>
            </w:pPr>
            <w:r>
              <w:rPr>
                <w:rFonts w:asciiTheme="minorEastAsia" w:eastAsiaTheme="minorEastAsia" w:hAnsiTheme="minorEastAsia" w:cstheme="minorEastAsia" w:hint="eastAsia"/>
              </w:rPr>
              <w:t>计算得分：</w:t>
            </w:r>
            <w:r>
              <w:rPr>
                <w:rFonts w:asciiTheme="minorEastAsia" w:eastAsiaTheme="minorEastAsia" w:hAnsiTheme="minorEastAsia" w:cstheme="minorEastAsia" w:hint="eastAsia"/>
                <w:lang w:eastAsia="zh-CN"/>
              </w:rPr>
              <w:t>70</w:t>
            </w:r>
            <w:r>
              <w:rPr>
                <w:rFonts w:asciiTheme="minorEastAsia" w:eastAsiaTheme="minorEastAsia" w:hAnsiTheme="minorEastAsia" w:cstheme="minorEastAsia" w:hint="eastAsia"/>
              </w:rPr>
              <w:t>-（|有效报价-评标基准价|÷评标基准价×100×Q）</w:t>
            </w:r>
          </w:p>
          <w:p w:rsidR="009B1F98" w:rsidRDefault="009B1F98" w:rsidP="00EE526A">
            <w:pPr>
              <w:pStyle w:val="a6"/>
              <w:widowControl/>
              <w:numPr>
                <w:ilvl w:val="0"/>
                <w:numId w:val="3"/>
              </w:numPr>
              <w:spacing w:line="300" w:lineRule="exact"/>
              <w:rPr>
                <w:rFonts w:asciiTheme="minorEastAsia" w:eastAsiaTheme="minorEastAsia" w:hAnsiTheme="minorEastAsia" w:cstheme="minorEastAsia"/>
              </w:rPr>
            </w:pPr>
            <w:r>
              <w:rPr>
                <w:rFonts w:asciiTheme="minorEastAsia" w:eastAsiaTheme="minorEastAsia" w:hAnsiTheme="minorEastAsia" w:cstheme="minorEastAsia" w:hint="eastAsia"/>
              </w:rPr>
              <w:t>当a&gt;A时，Q=1；当a&lt;A时，Q=0.5；</w:t>
            </w:r>
          </w:p>
          <w:p w:rsidR="009B1F98" w:rsidRDefault="009B1F98" w:rsidP="00EE526A">
            <w:pPr>
              <w:widowControl/>
              <w:spacing w:line="30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rPr>
              <w:lastRenderedPageBreak/>
              <w:t>②计算分数时四舍五入取小数点后两位</w:t>
            </w:r>
          </w:p>
        </w:tc>
      </w:tr>
    </w:tbl>
    <w:p w:rsidR="009B1F98" w:rsidRDefault="009B1F98" w:rsidP="009B1F98">
      <w:pPr>
        <w:spacing w:afterLines="50" w:after="156"/>
        <w:rPr>
          <w:rFonts w:asciiTheme="minorEastAsia" w:eastAsiaTheme="minorEastAsia" w:hAnsiTheme="minorEastAsia" w:cstheme="minorEastAsia"/>
          <w:lang w:eastAsia="zh-CN"/>
        </w:rPr>
      </w:pPr>
      <w:r>
        <w:rPr>
          <w:rFonts w:asciiTheme="minorEastAsia" w:eastAsiaTheme="minorEastAsia" w:hAnsiTheme="minorEastAsia" w:cstheme="minorEastAsia" w:hint="eastAsia"/>
        </w:rPr>
        <w:lastRenderedPageBreak/>
        <w:t>以上投标报价不完整的，超过最高限价的，均视为无效投标。</w:t>
      </w:r>
    </w:p>
    <w:p w:rsidR="009B1F98" w:rsidRDefault="009B1F98" w:rsidP="009B1F98">
      <w:pPr>
        <w:spacing w:afterLines="50" w:after="156"/>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lang w:eastAsia="zh-CN"/>
        </w:rPr>
        <w:t>十一</w:t>
      </w:r>
      <w:r>
        <w:rPr>
          <w:rFonts w:asciiTheme="minorEastAsia" w:eastAsiaTheme="minorEastAsia" w:hAnsiTheme="minorEastAsia" w:cstheme="minorEastAsia" w:hint="eastAsia"/>
          <w:b/>
          <w:color w:val="000000"/>
        </w:rPr>
        <w:t>.安健环措施要求</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.1 施工方应严格遵守公司的安健环工作标准；</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.2 施工方开工前应履行相应的安健环手续方可开工；办理好相应的工作票并进行工作安全分析和书面安全工作程序；</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.3工作负责人在开工前，要对工作班成员做到“检查着装、检查个人防护用品、检查工作人员精神状态；进行任务交底、技术交底、安全交底；人人必须明确危险源的控制；</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.4 施工工具、电动器具必须检查合格的才能使用，所有电气设备的金属外壳均应有良好的接地装置，要符合安全规定；</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.5 工作人员的工作服不应有可能被转动的机器绞住的部分；工作时必须穿着工作服，衣服和袖口必须扣好；禁止戴围巾和穿长衣服。工作人员进入生产现场禁止穿拖鞋、凉鞋，女工作人员禁止穿裙子、穿高跟鞋。辫子、长发必须盘在工作帽内。做接触高温物体的工作时，应戴手套和穿专用的防护工作服。进入生产区域、施工现场必须戴好安全帽；</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.6严禁检修人员擅自进入与工作无关的生产车间和控制室。严禁碰触其他无关生产设备，禁止超范围作业；</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.7 特种作业人员应持有有关部门核发的合格有效操作证上岗；</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.8 作业前组织工作人员布置任务，讲解安全注意事项；要求由项目负责人确认安措、工作范围后方可开工严禁未得项目负责人的允许私自开工。</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.9 入厂施工时，必须遵守我司《承包商安全管理规定》，并且在现场办公或施工责任区，发现烟头（按个计）对负责该区域的承包商罚款每个1000元；发现携带香烟、打火机者，第一次处罚承包商队伍5000元，第二次清理承包商队伍出厂，并由此造成的一切后果，均由承包方承担。</w:t>
      </w:r>
    </w:p>
    <w:p w:rsidR="009B1F98" w:rsidRDefault="009B1F98" w:rsidP="009B1F98">
      <w:pPr>
        <w:spacing w:line="480" w:lineRule="exact"/>
        <w:outlineLvl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.1</w:t>
      </w:r>
      <w:r>
        <w:rPr>
          <w:rFonts w:asciiTheme="minorEastAsia" w:eastAsiaTheme="minorEastAsia" w:hAnsiTheme="minorEastAsia" w:cstheme="minorEastAsia" w:hint="eastAsia"/>
          <w:color w:val="000000"/>
          <w:lang w:eastAsia="zh-CN"/>
        </w:rPr>
        <w:t>0</w:t>
      </w:r>
      <w:r>
        <w:rPr>
          <w:rFonts w:asciiTheme="minorEastAsia" w:eastAsiaTheme="minorEastAsia" w:hAnsiTheme="minorEastAsia" w:cstheme="minorEastAsia" w:hint="eastAsia"/>
          <w:color w:val="000000"/>
        </w:rPr>
        <w:t>从事焊接作业人员必须持证上岗，并在开工前将作业人员资质证书（原件</w:t>
      </w:r>
      <w:r>
        <w:rPr>
          <w:rFonts w:asciiTheme="minorEastAsia" w:eastAsiaTheme="minorEastAsia" w:hAnsiTheme="minorEastAsia" w:cstheme="minorEastAsia" w:hint="eastAsia"/>
          <w:color w:val="000000"/>
        </w:rPr>
        <w:lastRenderedPageBreak/>
        <w:t>和复印件）提交安健环部（安全操作证）和设备/生策部（技能操作证）审查，即焊工需持有双证（具有国家安监部门和市场质量部门发放的证件），高处作业人员有高处作业证，审查不通过的不得上岗。</w:t>
      </w:r>
    </w:p>
    <w:p w:rsidR="009B1F98" w:rsidRDefault="009B1F98" w:rsidP="009B1F98">
      <w:pPr>
        <w:spacing w:line="480" w:lineRule="exact"/>
        <w:outlineLvl w:val="0"/>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000000"/>
          <w:lang w:eastAsia="zh-CN"/>
        </w:rPr>
        <w:t>11</w:t>
      </w:r>
      <w:r>
        <w:rPr>
          <w:rFonts w:asciiTheme="minorEastAsia" w:eastAsiaTheme="minorEastAsia" w:hAnsiTheme="minorEastAsia" w:cstheme="minorEastAsia" w:hint="eastAsia"/>
          <w:color w:val="000000"/>
        </w:rPr>
        <w:t>.1</w:t>
      </w:r>
      <w:r>
        <w:rPr>
          <w:rFonts w:asciiTheme="minorEastAsia" w:eastAsiaTheme="minorEastAsia" w:hAnsiTheme="minorEastAsia" w:cstheme="minorEastAsia" w:hint="eastAsia"/>
          <w:color w:val="000000"/>
          <w:lang w:eastAsia="zh-CN"/>
        </w:rPr>
        <w:t>1</w:t>
      </w:r>
      <w:r>
        <w:rPr>
          <w:rFonts w:asciiTheme="minorEastAsia" w:eastAsiaTheme="minorEastAsia" w:hAnsiTheme="minorEastAsia" w:cstheme="minorEastAsia" w:hint="eastAsia"/>
          <w:color w:val="000000"/>
        </w:rPr>
        <w:t>中标单位签署合同后，不得转包工程或部分分包工程，如发现投标方存在转包、分包问题，招标方有权按合同总价5%进行考核,直至解除合同。</w:t>
      </w:r>
    </w:p>
    <w:p w:rsidR="009B1F98" w:rsidRDefault="009B1F98" w:rsidP="009B1F98">
      <w:pP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十二、保险和损害赔偿：</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12.1、本案实施中如损及本公司或第三人之权益时，由承包商支付赔偿，若受害人向本公司要求赔偿，承包商在未解决前，本公司保留支付其应得款项。 </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12.2、自检修工具器材运抵到现场起，由承包商投保营造工程综合责任险（由承包商负责），承包商应投保其所有营造机具、人员（100万）之综合保险并提供保单及缴费收据复印件送交甲方备查。此工程所有险种均应由承包商自行负责。</w:t>
      </w:r>
    </w:p>
    <w:p w:rsidR="009B1F98" w:rsidRDefault="009B1F98" w:rsidP="009B1F98">
      <w:pP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十三、其它：</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13.1.、质保及售后服务</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13.1.1、交货质量保证：交货期为自合同签订甲方通知为准，因现场生产需要无法停机安装调试时工期顺延，招标方与施工方需紧密协作、相互支持。确保安装调试工作安全、高效、有序开展，在不影响正常生产的前提下达成项目预期目标。工程保质期为验收合格后起一年，保质期内发生的质量问题由承包商无偿维修维护。质保期因投标方安装质量原因，造成设备故障被迫停运，每发生一次扣3000元。</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13.1.2、故障维护：全天候 24 小时服务热线，在接到售后电话后 1 小时之内给予有效回复，本市内 5 小时、省内 24 小时、省外 36小时派人到场进行排除故障，不影响设备正常使用。</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13.1.3、技术维护：免费提供技术服务，且给予客户相关人员进行免费操作培训。定期进行客户回访，检查设备运行情况，指导客户维护保养。</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13.1.4、备件保障：</w:t>
      </w:r>
      <w:proofErr w:type="gramStart"/>
      <w:r>
        <w:rPr>
          <w:rFonts w:asciiTheme="minorEastAsia" w:eastAsiaTheme="minorEastAsia" w:hAnsiTheme="minorEastAsia" w:cstheme="minorEastAsia" w:hint="eastAsia"/>
          <w:lang w:eastAsia="zh-CN"/>
        </w:rPr>
        <w:t>标配的</w:t>
      </w:r>
      <w:proofErr w:type="gramEnd"/>
      <w:r>
        <w:rPr>
          <w:rFonts w:asciiTheme="minorEastAsia" w:eastAsiaTheme="minorEastAsia" w:hAnsiTheme="minorEastAsia" w:cstheme="minorEastAsia" w:hint="eastAsia"/>
          <w:lang w:eastAsia="zh-CN"/>
        </w:rPr>
        <w:t>备件快捷供应，同时提供设备终身维修服务，保修期满后按成本价收费，设备配件损坏需要采购时，72 小时内配件</w:t>
      </w:r>
      <w:proofErr w:type="gramStart"/>
      <w:r>
        <w:rPr>
          <w:rFonts w:asciiTheme="minorEastAsia" w:eastAsiaTheme="minorEastAsia" w:hAnsiTheme="minorEastAsia" w:cstheme="minorEastAsia" w:hint="eastAsia"/>
          <w:lang w:eastAsia="zh-CN"/>
        </w:rPr>
        <w:t>运达到</w:t>
      </w:r>
      <w:proofErr w:type="gramEnd"/>
      <w:r>
        <w:rPr>
          <w:rFonts w:asciiTheme="minorEastAsia" w:eastAsiaTheme="minorEastAsia" w:hAnsiTheme="minorEastAsia" w:cstheme="minorEastAsia" w:hint="eastAsia"/>
          <w:lang w:eastAsia="zh-CN"/>
        </w:rPr>
        <w:t>现场。</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13.2.2、资料移交的基本要求</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13.2.1、投标方需向招标方提供下列技术文件和图纸（包括电气图、说明书、二次接线图）：</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13.2.2、</w:t>
      </w:r>
      <w:proofErr w:type="gramStart"/>
      <w:r>
        <w:rPr>
          <w:rFonts w:asciiTheme="minorEastAsia" w:eastAsiaTheme="minorEastAsia" w:hAnsiTheme="minorEastAsia" w:cstheme="minorEastAsia" w:hint="eastAsia"/>
        </w:rPr>
        <w:t>承揽商</w:t>
      </w:r>
      <w:proofErr w:type="gramEnd"/>
      <w:r>
        <w:rPr>
          <w:rFonts w:asciiTheme="minorEastAsia" w:eastAsiaTheme="minorEastAsia" w:hAnsiTheme="minorEastAsia" w:cstheme="minorEastAsia" w:hint="eastAsia"/>
        </w:rPr>
        <w:t>所提供之材料到场后需通知</w:t>
      </w:r>
      <w:r>
        <w:rPr>
          <w:rFonts w:asciiTheme="minorEastAsia" w:eastAsiaTheme="minorEastAsia" w:hAnsiTheme="minorEastAsia" w:cstheme="minorEastAsia" w:hint="eastAsia"/>
          <w:lang w:eastAsia="zh-CN"/>
        </w:rPr>
        <w:t>甲方</w:t>
      </w:r>
      <w:proofErr w:type="gramStart"/>
      <w:r>
        <w:rPr>
          <w:rFonts w:asciiTheme="minorEastAsia" w:eastAsiaTheme="minorEastAsia" w:hAnsiTheme="minorEastAsia" w:cstheme="minorEastAsia" w:hint="eastAsia"/>
          <w:lang w:eastAsia="zh-CN"/>
        </w:rPr>
        <w:t>设备员</w:t>
      </w:r>
      <w:proofErr w:type="gramEnd"/>
      <w:r>
        <w:rPr>
          <w:rFonts w:asciiTheme="minorEastAsia" w:eastAsiaTheme="minorEastAsia" w:hAnsiTheme="minorEastAsia" w:cstheme="minorEastAsia" w:hint="eastAsia"/>
          <w:lang w:eastAsia="zh-CN"/>
        </w:rPr>
        <w:t>及设备部备件组</w:t>
      </w:r>
      <w:r>
        <w:rPr>
          <w:rFonts w:asciiTheme="minorEastAsia" w:eastAsiaTheme="minorEastAsia" w:hAnsiTheme="minorEastAsia" w:cstheme="minorEastAsia" w:hint="eastAsia"/>
        </w:rPr>
        <w:t>进行材料验收</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rPr>
        <w:t>同时需提供相关证明</w:t>
      </w:r>
      <w:r>
        <w:rPr>
          <w:rFonts w:asciiTheme="minorEastAsia" w:eastAsiaTheme="minorEastAsia" w:hAnsiTheme="minorEastAsia" w:cstheme="minorEastAsia" w:hint="eastAsia"/>
          <w:lang w:eastAsia="zh-CN"/>
        </w:rPr>
        <w:t>必须符合国家相关标准或行业标准，并提供产品质量证明书、检验报告、合格证等相关资料需交给甲方备案；</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13.2.3、设备安装试运后，投标方需要派遣技术人员在现场进行为期15天的设备运行监护及培训。</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13.2.4、设备在施工工程中，技术人员需要指导对配电箱、整流控制柜内的所有电源开关进行标注，方便后期运行中出现故障排查使用。</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13.2.5、设备如涉及产品专利，需提供产品专利证书或产品专利授权证明，期间发生关于专利纠纷的、均由乙方处理，我司概不负责。</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13.3、其他事项</w:t>
      </w:r>
    </w:p>
    <w:p w:rsidR="009B1F98" w:rsidRDefault="009B1F98" w:rsidP="009B1F98">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13.3.1、入厂后每</w:t>
      </w:r>
      <w:proofErr w:type="gramStart"/>
      <w:r>
        <w:rPr>
          <w:rFonts w:asciiTheme="minorEastAsia" w:eastAsiaTheme="minorEastAsia" w:hAnsiTheme="minorEastAsia" w:cstheme="minorEastAsia" w:hint="eastAsia"/>
          <w:lang w:eastAsia="zh-CN"/>
        </w:rPr>
        <w:t>日均须</w:t>
      </w:r>
      <w:proofErr w:type="gramEnd"/>
      <w:r>
        <w:rPr>
          <w:rFonts w:asciiTheme="minorEastAsia" w:eastAsiaTheme="minorEastAsia" w:hAnsiTheme="minorEastAsia" w:cstheme="minorEastAsia" w:hint="eastAsia"/>
          <w:lang w:eastAsia="zh-CN"/>
        </w:rPr>
        <w:t>先开各类作业许可证，如：高空作票、动火票、临时用电票、检修作业票等，并经甲方单位确认后，方可施工。</w:t>
      </w:r>
    </w:p>
    <w:p w:rsidR="0091284A" w:rsidRDefault="009B1F98" w:rsidP="009B1F98">
      <w:r>
        <w:rPr>
          <w:rFonts w:asciiTheme="minorEastAsia" w:eastAsiaTheme="minorEastAsia" w:hAnsiTheme="minorEastAsia" w:cstheme="minorEastAsia" w:hint="eastAsia"/>
          <w:lang w:eastAsia="zh-CN"/>
        </w:rPr>
        <w:t>13.3.2、本工程所需临时配电箱、电源线、照明用具等均由承包商自行携带，甲</w:t>
      </w:r>
      <w:r>
        <w:rPr>
          <w:rFonts w:asciiTheme="minorEastAsia" w:eastAsiaTheme="minorEastAsia" w:hAnsiTheme="minorEastAsia" w:cstheme="minorEastAsia" w:hint="eastAsia"/>
          <w:lang w:eastAsia="zh-CN"/>
        </w:rPr>
        <w:lastRenderedPageBreak/>
        <w:t>方指定接入点，由承包商具备低压电工证资质人员</w:t>
      </w:r>
    </w:p>
    <w:sectPr w:rsidR="009128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DD9" w:rsidRDefault="00E91DD9" w:rsidP="009B1F98">
      <w:r>
        <w:separator/>
      </w:r>
    </w:p>
  </w:endnote>
  <w:endnote w:type="continuationSeparator" w:id="0">
    <w:p w:rsidR="00E91DD9" w:rsidRDefault="00E91DD9" w:rsidP="009B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DD9" w:rsidRDefault="00E91DD9" w:rsidP="009B1F98">
      <w:r>
        <w:separator/>
      </w:r>
    </w:p>
  </w:footnote>
  <w:footnote w:type="continuationSeparator" w:id="0">
    <w:p w:rsidR="00E91DD9" w:rsidRDefault="00E91DD9" w:rsidP="009B1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9A473"/>
    <w:multiLevelType w:val="singleLevel"/>
    <w:tmpl w:val="9F89A473"/>
    <w:lvl w:ilvl="0">
      <w:start w:val="8"/>
      <w:numFmt w:val="chineseCounting"/>
      <w:suff w:val="nothing"/>
      <w:lvlText w:val="%1、"/>
      <w:lvlJc w:val="left"/>
      <w:rPr>
        <w:rFonts w:hint="eastAsia"/>
      </w:rPr>
    </w:lvl>
  </w:abstractNum>
  <w:abstractNum w:abstractNumId="1">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DC547A"/>
    <w:multiLevelType w:val="multilevel"/>
    <w:tmpl w:val="53DC547A"/>
    <w:lvl w:ilvl="0">
      <w:start w:val="1"/>
      <w:numFmt w:val="chineseCountingThousand"/>
      <w:pStyle w:val="1"/>
      <w:lvlText w:val="%1、"/>
      <w:lvlJc w:val="left"/>
      <w:pPr>
        <w:ind w:left="845" w:hanging="420"/>
      </w:pPr>
      <w:rPr>
        <w:b w:val="0"/>
        <w:bCs w:val="0"/>
        <w:i w:val="0"/>
        <w:iCs w:val="0"/>
        <w:caps w:val="0"/>
        <w:smallCaps w:val="0"/>
        <w:strike w:val="0"/>
        <w:dstrike w:val="0"/>
        <w:vanish w:val="0"/>
        <w:color w:val="000000"/>
        <w:spacing w:val="0"/>
        <w:position w:val="0"/>
        <w:u w:val="none"/>
        <w:vertAlign w:val="baseline"/>
        <w:lang w:val="en-US"/>
      </w:rPr>
    </w:lvl>
    <w:lvl w:ilvl="1">
      <w:start w:val="1"/>
      <w:numFmt w:val="decimal"/>
      <w:lvlText w:val="%1.%2."/>
      <w:lvlJc w:val="left"/>
      <w:pPr>
        <w:ind w:left="567" w:hanging="567"/>
      </w:pPr>
      <w:rPr>
        <w:rFonts w:hint="eastAsia"/>
      </w:rPr>
    </w:lvl>
    <w:lvl w:ilvl="2">
      <w:start w:val="1"/>
      <w:numFmt w:val="decimal"/>
      <w:lvlText w:val="%1.%2.%3."/>
      <w:lvlJc w:val="left"/>
      <w:pPr>
        <w:ind w:left="7372" w:hanging="709"/>
      </w:pPr>
      <w:rPr>
        <w:rFonts w:hint="eastAsia"/>
        <w:lang w:val="en-U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2D"/>
    <w:rsid w:val="002D672D"/>
    <w:rsid w:val="0091284A"/>
    <w:rsid w:val="009B1F98"/>
    <w:rsid w:val="00B47E92"/>
    <w:rsid w:val="00E6217E"/>
    <w:rsid w:val="00E84211"/>
    <w:rsid w:val="00E91DD9"/>
    <w:rsid w:val="00EB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98"/>
    <w:pPr>
      <w:widowControl w:val="0"/>
    </w:pPr>
    <w:rPr>
      <w:rFonts w:ascii="Times New Roman" w:eastAsia="PMingLiU" w:hAnsi="Times New Roman" w:cs="Times New Roman"/>
      <w:sz w:val="24"/>
      <w:szCs w:val="24"/>
      <w:lang w:eastAsia="zh-TW"/>
    </w:rPr>
  </w:style>
  <w:style w:type="paragraph" w:styleId="1">
    <w:name w:val="heading 1"/>
    <w:basedOn w:val="a"/>
    <w:next w:val="a"/>
    <w:link w:val="1Char"/>
    <w:qFormat/>
    <w:rsid w:val="009B1F98"/>
    <w:pPr>
      <w:keepNext/>
      <w:keepLines/>
      <w:numPr>
        <w:numId w:val="1"/>
      </w:numPr>
      <w:spacing w:before="120" w:after="120"/>
      <w:ind w:firstLine="0"/>
      <w:outlineLvl w:val="0"/>
    </w:pPr>
    <w:rPr>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1F98"/>
    <w:rPr>
      <w:sz w:val="18"/>
      <w:szCs w:val="18"/>
    </w:rPr>
  </w:style>
  <w:style w:type="paragraph" w:styleId="a4">
    <w:name w:val="footer"/>
    <w:basedOn w:val="a"/>
    <w:link w:val="Char0"/>
    <w:uiPriority w:val="99"/>
    <w:unhideWhenUsed/>
    <w:rsid w:val="009B1F98"/>
    <w:pPr>
      <w:tabs>
        <w:tab w:val="center" w:pos="4153"/>
        <w:tab w:val="right" w:pos="8306"/>
      </w:tabs>
      <w:snapToGrid w:val="0"/>
    </w:pPr>
    <w:rPr>
      <w:sz w:val="18"/>
      <w:szCs w:val="18"/>
    </w:rPr>
  </w:style>
  <w:style w:type="character" w:customStyle="1" w:styleId="Char0">
    <w:name w:val="页脚 Char"/>
    <w:basedOn w:val="a0"/>
    <w:link w:val="a4"/>
    <w:uiPriority w:val="99"/>
    <w:rsid w:val="009B1F98"/>
    <w:rPr>
      <w:sz w:val="18"/>
      <w:szCs w:val="18"/>
    </w:rPr>
  </w:style>
  <w:style w:type="character" w:customStyle="1" w:styleId="1Char">
    <w:name w:val="标题 1 Char"/>
    <w:basedOn w:val="a0"/>
    <w:link w:val="1"/>
    <w:rsid w:val="009B1F98"/>
    <w:rPr>
      <w:rFonts w:ascii="Times New Roman" w:eastAsia="PMingLiU" w:hAnsi="Times New Roman" w:cs="Times New Roman"/>
      <w:b/>
      <w:kern w:val="44"/>
      <w:sz w:val="30"/>
      <w:szCs w:val="24"/>
      <w:lang w:eastAsia="zh-TW"/>
    </w:rPr>
  </w:style>
  <w:style w:type="paragraph" w:styleId="a5">
    <w:name w:val="Title"/>
    <w:basedOn w:val="a"/>
    <w:link w:val="Char1"/>
    <w:qFormat/>
    <w:rsid w:val="009B1F98"/>
    <w:pPr>
      <w:jc w:val="center"/>
    </w:pPr>
    <w:rPr>
      <w:sz w:val="32"/>
    </w:rPr>
  </w:style>
  <w:style w:type="character" w:customStyle="1" w:styleId="Char1">
    <w:name w:val="标题 Char"/>
    <w:basedOn w:val="a0"/>
    <w:link w:val="a5"/>
    <w:rsid w:val="009B1F98"/>
    <w:rPr>
      <w:rFonts w:ascii="Times New Roman" w:eastAsia="PMingLiU" w:hAnsi="Times New Roman" w:cs="Times New Roman"/>
      <w:sz w:val="32"/>
      <w:szCs w:val="24"/>
      <w:lang w:eastAsia="zh-TW"/>
    </w:rPr>
  </w:style>
  <w:style w:type="paragraph" w:customStyle="1" w:styleId="10">
    <w:name w:val="1"/>
    <w:basedOn w:val="a"/>
    <w:qFormat/>
    <w:rsid w:val="009B1F98"/>
    <w:pPr>
      <w:spacing w:before="120" w:afterLines="50"/>
      <w:jc w:val="both"/>
    </w:pPr>
    <w:rPr>
      <w:rFonts w:ascii="Arial" w:eastAsia="黑体" w:hAnsi="Arial"/>
      <w:b/>
      <w:sz w:val="28"/>
      <w:szCs w:val="20"/>
      <w:lang w:eastAsia="zh-CN"/>
    </w:rPr>
  </w:style>
  <w:style w:type="paragraph" w:customStyle="1" w:styleId="11">
    <w:name w:val="无间隔11"/>
    <w:uiPriority w:val="1"/>
    <w:qFormat/>
    <w:rsid w:val="009B1F98"/>
    <w:pPr>
      <w:widowControl w:val="0"/>
      <w:jc w:val="both"/>
    </w:pPr>
    <w:rPr>
      <w:rFonts w:ascii="Times New Roman" w:eastAsia="宋体" w:hAnsi="Times New Roman" w:cs="Times New Roman"/>
      <w:szCs w:val="24"/>
    </w:rPr>
  </w:style>
  <w:style w:type="paragraph" w:styleId="a6">
    <w:name w:val="List Paragraph"/>
    <w:basedOn w:val="a"/>
    <w:uiPriority w:val="34"/>
    <w:qFormat/>
    <w:rsid w:val="009B1F98"/>
    <w:pPr>
      <w:ind w:firstLine="420"/>
    </w:pPr>
  </w:style>
  <w:style w:type="paragraph" w:styleId="a7">
    <w:name w:val="Balloon Text"/>
    <w:basedOn w:val="a"/>
    <w:link w:val="Char2"/>
    <w:uiPriority w:val="99"/>
    <w:semiHidden/>
    <w:unhideWhenUsed/>
    <w:rsid w:val="009B1F98"/>
    <w:rPr>
      <w:sz w:val="18"/>
      <w:szCs w:val="18"/>
    </w:rPr>
  </w:style>
  <w:style w:type="character" w:customStyle="1" w:styleId="Char2">
    <w:name w:val="批注框文本 Char"/>
    <w:basedOn w:val="a0"/>
    <w:link w:val="a7"/>
    <w:uiPriority w:val="99"/>
    <w:semiHidden/>
    <w:rsid w:val="009B1F98"/>
    <w:rPr>
      <w:rFonts w:ascii="Times New Roman" w:eastAsia="PMingLiU" w:hAnsi="Times New Roman" w:cs="Times New Roman"/>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98"/>
    <w:pPr>
      <w:widowControl w:val="0"/>
    </w:pPr>
    <w:rPr>
      <w:rFonts w:ascii="Times New Roman" w:eastAsia="PMingLiU" w:hAnsi="Times New Roman" w:cs="Times New Roman"/>
      <w:sz w:val="24"/>
      <w:szCs w:val="24"/>
      <w:lang w:eastAsia="zh-TW"/>
    </w:rPr>
  </w:style>
  <w:style w:type="paragraph" w:styleId="1">
    <w:name w:val="heading 1"/>
    <w:basedOn w:val="a"/>
    <w:next w:val="a"/>
    <w:link w:val="1Char"/>
    <w:qFormat/>
    <w:rsid w:val="009B1F98"/>
    <w:pPr>
      <w:keepNext/>
      <w:keepLines/>
      <w:numPr>
        <w:numId w:val="1"/>
      </w:numPr>
      <w:spacing w:before="120" w:after="120"/>
      <w:ind w:firstLine="0"/>
      <w:outlineLvl w:val="0"/>
    </w:pPr>
    <w:rPr>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1F98"/>
    <w:rPr>
      <w:sz w:val="18"/>
      <w:szCs w:val="18"/>
    </w:rPr>
  </w:style>
  <w:style w:type="paragraph" w:styleId="a4">
    <w:name w:val="footer"/>
    <w:basedOn w:val="a"/>
    <w:link w:val="Char0"/>
    <w:uiPriority w:val="99"/>
    <w:unhideWhenUsed/>
    <w:rsid w:val="009B1F98"/>
    <w:pPr>
      <w:tabs>
        <w:tab w:val="center" w:pos="4153"/>
        <w:tab w:val="right" w:pos="8306"/>
      </w:tabs>
      <w:snapToGrid w:val="0"/>
    </w:pPr>
    <w:rPr>
      <w:sz w:val="18"/>
      <w:szCs w:val="18"/>
    </w:rPr>
  </w:style>
  <w:style w:type="character" w:customStyle="1" w:styleId="Char0">
    <w:name w:val="页脚 Char"/>
    <w:basedOn w:val="a0"/>
    <w:link w:val="a4"/>
    <w:uiPriority w:val="99"/>
    <w:rsid w:val="009B1F98"/>
    <w:rPr>
      <w:sz w:val="18"/>
      <w:szCs w:val="18"/>
    </w:rPr>
  </w:style>
  <w:style w:type="character" w:customStyle="1" w:styleId="1Char">
    <w:name w:val="标题 1 Char"/>
    <w:basedOn w:val="a0"/>
    <w:link w:val="1"/>
    <w:rsid w:val="009B1F98"/>
    <w:rPr>
      <w:rFonts w:ascii="Times New Roman" w:eastAsia="PMingLiU" w:hAnsi="Times New Roman" w:cs="Times New Roman"/>
      <w:b/>
      <w:kern w:val="44"/>
      <w:sz w:val="30"/>
      <w:szCs w:val="24"/>
      <w:lang w:eastAsia="zh-TW"/>
    </w:rPr>
  </w:style>
  <w:style w:type="paragraph" w:styleId="a5">
    <w:name w:val="Title"/>
    <w:basedOn w:val="a"/>
    <w:link w:val="Char1"/>
    <w:qFormat/>
    <w:rsid w:val="009B1F98"/>
    <w:pPr>
      <w:jc w:val="center"/>
    </w:pPr>
    <w:rPr>
      <w:sz w:val="32"/>
    </w:rPr>
  </w:style>
  <w:style w:type="character" w:customStyle="1" w:styleId="Char1">
    <w:name w:val="标题 Char"/>
    <w:basedOn w:val="a0"/>
    <w:link w:val="a5"/>
    <w:rsid w:val="009B1F98"/>
    <w:rPr>
      <w:rFonts w:ascii="Times New Roman" w:eastAsia="PMingLiU" w:hAnsi="Times New Roman" w:cs="Times New Roman"/>
      <w:sz w:val="32"/>
      <w:szCs w:val="24"/>
      <w:lang w:eastAsia="zh-TW"/>
    </w:rPr>
  </w:style>
  <w:style w:type="paragraph" w:customStyle="1" w:styleId="10">
    <w:name w:val="1"/>
    <w:basedOn w:val="a"/>
    <w:qFormat/>
    <w:rsid w:val="009B1F98"/>
    <w:pPr>
      <w:spacing w:before="120" w:afterLines="50"/>
      <w:jc w:val="both"/>
    </w:pPr>
    <w:rPr>
      <w:rFonts w:ascii="Arial" w:eastAsia="黑体" w:hAnsi="Arial"/>
      <w:b/>
      <w:sz w:val="28"/>
      <w:szCs w:val="20"/>
      <w:lang w:eastAsia="zh-CN"/>
    </w:rPr>
  </w:style>
  <w:style w:type="paragraph" w:customStyle="1" w:styleId="11">
    <w:name w:val="无间隔11"/>
    <w:uiPriority w:val="1"/>
    <w:qFormat/>
    <w:rsid w:val="009B1F98"/>
    <w:pPr>
      <w:widowControl w:val="0"/>
      <w:jc w:val="both"/>
    </w:pPr>
    <w:rPr>
      <w:rFonts w:ascii="Times New Roman" w:eastAsia="宋体" w:hAnsi="Times New Roman" w:cs="Times New Roman"/>
      <w:szCs w:val="24"/>
    </w:rPr>
  </w:style>
  <w:style w:type="paragraph" w:styleId="a6">
    <w:name w:val="List Paragraph"/>
    <w:basedOn w:val="a"/>
    <w:uiPriority w:val="34"/>
    <w:qFormat/>
    <w:rsid w:val="009B1F98"/>
    <w:pPr>
      <w:ind w:firstLine="420"/>
    </w:pPr>
  </w:style>
  <w:style w:type="paragraph" w:styleId="a7">
    <w:name w:val="Balloon Text"/>
    <w:basedOn w:val="a"/>
    <w:link w:val="Char2"/>
    <w:uiPriority w:val="99"/>
    <w:semiHidden/>
    <w:unhideWhenUsed/>
    <w:rsid w:val="009B1F98"/>
    <w:rPr>
      <w:sz w:val="18"/>
      <w:szCs w:val="18"/>
    </w:rPr>
  </w:style>
  <w:style w:type="character" w:customStyle="1" w:styleId="Char2">
    <w:name w:val="批注框文本 Char"/>
    <w:basedOn w:val="a0"/>
    <w:link w:val="a7"/>
    <w:uiPriority w:val="99"/>
    <w:semiHidden/>
    <w:rsid w:val="009B1F98"/>
    <w:rPr>
      <w:rFonts w:ascii="Times New Roman" w:eastAsia="PMingLiU"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yxq</dc:creator>
  <cp:keywords/>
  <dc:description/>
  <cp:lastModifiedBy>yxq</cp:lastModifiedBy>
  <cp:revision>6</cp:revision>
  <dcterms:created xsi:type="dcterms:W3CDTF">2025-05-26T05:41:00Z</dcterms:created>
  <dcterms:modified xsi:type="dcterms:W3CDTF">2025-05-27T02:29:00Z</dcterms:modified>
</cp:coreProperties>
</file>