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3F02E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 w:eastAsia="宋体"/>
          <w:sz w:val="52"/>
          <w:szCs w:val="52"/>
          <w:lang w:val="en-US" w:eastAsia="zh-CN"/>
        </w:rPr>
        <w:t>附件1、</w:t>
      </w:r>
    </w:p>
    <w:p w14:paraId="201F06D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839" w:firstLineChars="200"/>
        <w:textAlignment w:val="baseline"/>
        <w:outlineLvl w:val="0"/>
        <w:rPr>
          <w:rFonts w:ascii="仿宋" w:hAnsi="仿宋" w:eastAsia="仿宋" w:cs="仿宋"/>
          <w:b/>
          <w:bCs/>
          <w:spacing w:val="-11"/>
          <w:sz w:val="44"/>
          <w:szCs w:val="44"/>
        </w:rPr>
      </w:pPr>
    </w:p>
    <w:p w14:paraId="6BBD421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839" w:firstLineChars="200"/>
        <w:textAlignment w:val="baseline"/>
        <w:outlineLvl w:val="0"/>
        <w:rPr>
          <w:rFonts w:ascii="仿宋" w:hAnsi="仿宋" w:eastAsia="仿宋" w:cs="仿宋"/>
          <w:b/>
          <w:bCs/>
          <w:spacing w:val="-11"/>
          <w:sz w:val="44"/>
          <w:szCs w:val="44"/>
        </w:rPr>
      </w:pPr>
    </w:p>
    <w:p w14:paraId="12F7613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839" w:firstLineChars="200"/>
        <w:jc w:val="center"/>
        <w:textAlignment w:val="baseline"/>
        <w:outlineLvl w:val="0"/>
        <w:rPr>
          <w:lang w:eastAsia="zh-CN"/>
        </w:rPr>
      </w:pPr>
      <w:r>
        <w:rPr>
          <w:rFonts w:hint="eastAsia" w:ascii="仿宋" w:hAnsi="仿宋" w:eastAsia="仿宋" w:cs="仿宋"/>
          <w:b/>
          <w:bCs/>
          <w:spacing w:val="-11"/>
          <w:sz w:val="44"/>
          <w:szCs w:val="44"/>
          <w:lang w:eastAsia="zh-CN"/>
        </w:rPr>
        <w:t>福建福海创石油化工</w:t>
      </w:r>
      <w:r>
        <w:rPr>
          <w:rFonts w:ascii="仿宋" w:hAnsi="仿宋" w:eastAsia="仿宋" w:cs="仿宋"/>
          <w:b/>
          <w:bCs/>
          <w:spacing w:val="-11"/>
          <w:sz w:val="44"/>
          <w:szCs w:val="44"/>
          <w:lang w:eastAsia="zh-CN"/>
        </w:rPr>
        <w:t>有限公司</w:t>
      </w:r>
    </w:p>
    <w:p w14:paraId="4B20BAEF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320EC38F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163C482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83" w:firstLineChars="200"/>
        <w:jc w:val="center"/>
        <w:textAlignment w:val="baseline"/>
        <w:outlineLvl w:val="1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36"/>
          <w:szCs w:val="36"/>
          <w:lang w:eastAsia="zh-CN"/>
        </w:rPr>
        <w:t>HYD液力放大器</w:t>
      </w:r>
      <w:r>
        <w:rPr>
          <w:rFonts w:ascii="宋体" w:hAnsi="宋体" w:eastAsia="宋体" w:cs="宋体"/>
          <w:b/>
          <w:bCs/>
          <w:spacing w:val="-10"/>
          <w:sz w:val="36"/>
          <w:szCs w:val="36"/>
          <w:lang w:eastAsia="zh-CN"/>
        </w:rPr>
        <w:t>外委维修项目</w:t>
      </w:r>
      <w:r>
        <w:rPr>
          <w:rFonts w:hint="eastAsia" w:ascii="宋体" w:hAnsi="宋体" w:eastAsia="宋体" w:cs="宋体"/>
          <w:b/>
          <w:bCs/>
          <w:spacing w:val="-10"/>
          <w:sz w:val="36"/>
          <w:szCs w:val="36"/>
          <w:lang w:val="en-US" w:eastAsia="zh-CN"/>
        </w:rPr>
        <w:t>发包说明</w:t>
      </w:r>
    </w:p>
    <w:p w14:paraId="2A554813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611365E0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66E08468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052F5597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729491A2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49A1412F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3E4D51C9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67CA6AAC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7549C219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07C2A536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195563E6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626094C3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5FA777B3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07C78D16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4517F1A6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11261B1B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4558439D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textAlignment w:val="baseline"/>
        <w:rPr>
          <w:lang w:eastAsia="zh-CN"/>
        </w:rPr>
      </w:pPr>
    </w:p>
    <w:p w14:paraId="65B78235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63C5EDA0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7C9DC51E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baseline"/>
        <w:rPr>
          <w:lang w:eastAsia="zh-CN"/>
        </w:rPr>
      </w:pPr>
    </w:p>
    <w:p w14:paraId="5AEF705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720" w:firstLineChars="200"/>
        <w:textAlignment w:val="baseline"/>
        <w:rPr>
          <w:rFonts w:ascii="宋体" w:hAnsi="宋体" w:eastAsia="宋体" w:cs="宋体"/>
          <w:sz w:val="36"/>
          <w:szCs w:val="36"/>
          <w:lang w:eastAsia="zh-CN"/>
        </w:rPr>
        <w:sectPr>
          <w:footerReference r:id="rId3" w:type="default"/>
          <w:pgSz w:w="11910" w:h="16835"/>
          <w:pgMar w:top="1440" w:right="1800" w:bottom="1440" w:left="1800" w:header="0" w:footer="1116" w:gutter="0"/>
          <w:cols w:space="720" w:num="1"/>
        </w:sect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 xml:space="preserve">            2025年3月</w:t>
      </w:r>
    </w:p>
    <w:p w14:paraId="71A13960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baseline"/>
        <w:rPr>
          <w:rFonts w:eastAsia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eastAsia="宋体"/>
          <w:sz w:val="24"/>
          <w:szCs w:val="24"/>
          <w:lang w:eastAsia="zh-CN"/>
        </w:rPr>
        <w:t>一、项目概述</w:t>
      </w:r>
    </w:p>
    <w:p w14:paraId="0B461B7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福建福海创石油化工有限公司将HYD液力放大器外委维修，HYD液力放大器是用来调整透平机蒸汽阀门开度的执行机构，由ITCC控制系统发送40—320mA直流电流信号通过执行器对蒸汽阀门进行全量程控制。</w:t>
      </w:r>
      <w:r>
        <w:rPr>
          <w:rFonts w:hint="eastAsia" w:ascii="宋体" w:hAnsi="宋体" w:cs="宋体" w:eastAsiaTheme="minorEastAsia"/>
          <w:spacing w:val="-3"/>
          <w:sz w:val="24"/>
          <w:szCs w:val="24"/>
          <w:lang w:eastAsia="zh-CN"/>
        </w:rPr>
        <w:t>5台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HYD液力放大器已连续使用6年，拟</w:t>
      </w:r>
      <w:r>
        <w:rPr>
          <w:rFonts w:hint="eastAsia" w:ascii="宋体" w:hAnsi="宋体" w:cs="宋体" w:eastAsiaTheme="minorEastAsia"/>
          <w:spacing w:val="-3"/>
          <w:sz w:val="24"/>
          <w:szCs w:val="24"/>
          <w:lang w:eastAsia="zh-CN"/>
        </w:rPr>
        <w:t>于2025年6月下旬外委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检修。需要由专业技术人员对HYD液力放大器进行完全解体大修，要求所有活动部件完全拆解。对内部油路壳体和所有备件进行清洗和吹扫，除去杂质，更换损坏和磨损超限的备件以及修理包，对修复后的HYD液力放大器按照原厂试验报告参数进行调试，确保全量程范围内可调进行重新调整，满足ITCC系统对执行器实现全量程控制的要求。</w:t>
      </w:r>
    </w:p>
    <w:p w14:paraId="0BB95BAD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资质、业绩要求</w:t>
      </w:r>
    </w:p>
    <w:p w14:paraId="7D81B6B8">
      <w:pPr>
        <w:keepNext w:val="0"/>
        <w:keepLines w:val="0"/>
        <w:pageBreakBefore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76" w:firstLineChars="200"/>
        <w:textAlignment w:val="baseline"/>
        <w:rPr>
          <w:rFonts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参选人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具有合法有效的企业法人营业执照、税务登记证及组织机构代码证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或证照合一的营业执照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 w14:paraId="66406A7D">
      <w:pPr>
        <w:keepNext w:val="0"/>
        <w:keepLines w:val="0"/>
        <w:pageBreakBefore w:val="0"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44" w:firstLineChars="200"/>
        <w:textAlignment w:val="baseline"/>
        <w:rPr>
          <w:rFonts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参选人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必须具有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相关液力放大器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维修</w:t>
      </w:r>
      <w:r>
        <w:rPr>
          <w:rFonts w:ascii="宋体" w:hAnsi="宋体" w:eastAsia="宋体" w:cs="宋体"/>
          <w:spacing w:val="-9"/>
          <w:sz w:val="24"/>
          <w:szCs w:val="24"/>
          <w:lang w:eastAsia="zh-CN"/>
        </w:rPr>
        <w:t>业绩。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3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1 日至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报价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截止日（以合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同签署时间为准）三年内，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参选人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>应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具有至少</w:t>
      </w:r>
      <w:r>
        <w:rPr>
          <w:rFonts w:ascii="宋体" w:hAnsi="宋体" w:eastAsia="宋体" w:cs="宋体"/>
          <w:spacing w:val="-2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pacing w:val="-4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-4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HYD液力放大器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维修业绩证明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并且维修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台套数在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台及以上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 w14:paraId="6AE0935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76" w:firstLineChars="200"/>
        <w:textAlignment w:val="baseline"/>
        <w:rPr>
          <w:rFonts w:ascii="宋体" w:hAnsi="宋体" w:eastAsia="宋体" w:cs="宋体"/>
          <w:spacing w:val="-9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3、参选人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须按规定格式提交业绩表，并提交相关业绩证明文件。业绩证明文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件包括但不限于：合同复印件（含相关技术附件）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参选人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所提交的业绩证明文件必须至少体现以下内容：合同签署时间、项目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名称、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HYD液力放大器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维修技术要求。未提交业绩证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明文件，或所提供的业绩证明文件无法体现合同签署时间、项</w:t>
      </w:r>
      <w:r>
        <w:rPr>
          <w:rFonts w:ascii="宋体" w:hAnsi="宋体" w:eastAsia="宋体" w:cs="宋体"/>
          <w:spacing w:val="-6"/>
          <w:sz w:val="24"/>
          <w:szCs w:val="24"/>
          <w:lang w:eastAsia="zh-CN"/>
        </w:rPr>
        <w:t>目名称、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HYD液力放大器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维修技术要求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，均视为无效业绩。</w:t>
      </w:r>
    </w:p>
    <w:p w14:paraId="487C5E84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维修流程</w:t>
      </w:r>
    </w:p>
    <w:p w14:paraId="7721CD28"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对待检修设备进行外部确认，检查是否有损坏部件，外部情况是否正常。</w:t>
      </w:r>
    </w:p>
    <w:p w14:paraId="35D772E0"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对待检修设备进行拆解，包括HYD液力放大器内部EG-3P执行器，检查所有部件磨损情况，制定维修方案。</w:t>
      </w:r>
    </w:p>
    <w:p w14:paraId="5FEF7D10"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清洗所有零部件，清洗油路，除去杂质油膜，清洗滤器。</w:t>
      </w:r>
    </w:p>
    <w:p w14:paraId="2BDAD449"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更换所有密封备件，保证使用过程中无跑冒滴漏现象出现。如发现有损坏件，需甲方确认后更换。</w:t>
      </w:r>
    </w:p>
    <w:p w14:paraId="045F0A23"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按设备原厂出厂标准进行组装，测量组装间隙。</w:t>
      </w:r>
    </w:p>
    <w:p w14:paraId="18ADEA54">
      <w:pPr>
        <w:keepNext w:val="0"/>
        <w:keepLines w:val="0"/>
        <w:pageBreakBefore w:val="0"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对设备按照原厂出厂标准分别对EG-3P执行器和HYD液力放大器进行测试。测试标准如下：</w:t>
      </w:r>
    </w:p>
    <w:p w14:paraId="3CC5BF70">
      <w:pPr>
        <w:keepNext w:val="0"/>
        <w:keepLines w:val="0"/>
        <w:pageBreakBefore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EG-3P执行器对中检测，确定输出位置。</w:t>
      </w:r>
    </w:p>
    <w:p w14:paraId="716A154D">
      <w:pPr>
        <w:keepNext w:val="0"/>
        <w:keepLines w:val="0"/>
        <w:pageBreakBefore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EG-3P执行器突加突减测试并查看输出位置，保证执行器输出反应灵敏，输出稳定。</w:t>
      </w:r>
    </w:p>
    <w:p w14:paraId="46365DDB">
      <w:pPr>
        <w:keepNext w:val="0"/>
        <w:keepLines w:val="0"/>
        <w:pageBreakBefore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HYD液力放大器行程测试，检查各给定控制信号的行程对应数据是否正常，输出是否成线性。</w:t>
      </w:r>
    </w:p>
    <w:p w14:paraId="1195FB7A">
      <w:pPr>
        <w:keepNext w:val="0"/>
        <w:keepLines w:val="0"/>
        <w:pageBreakBefore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HYD液力放大器突加突减测试并查看输出位置，保证HYD液力放大器输出反应灵敏，输出稳定。</w:t>
      </w:r>
    </w:p>
    <w:p w14:paraId="04A8457C">
      <w:pPr>
        <w:keepNext w:val="0"/>
        <w:keepLines w:val="0"/>
        <w:pageBreakBefore w:val="0"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根据原厂数据调整测试环境为设备所能承受的极端运行环境，测试HYD液力放大器运行情况。</w:t>
      </w:r>
    </w:p>
    <w:p w14:paraId="53607C61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参选人供货要求</w:t>
      </w:r>
    </w:p>
    <w:p w14:paraId="4F3B8E02"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参选人所提供的维修配件，必须使用WOODWARD原厂配件，并保证配件与原型号相同。</w:t>
      </w:r>
    </w:p>
    <w:p w14:paraId="552B3885"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参选人按清单要求提供五套修理包及一套全新的易损配件（见配件清单明细），如有损坏件更换，换下的损坏件及其他易损新备件与维修并调试好的HYD液力放大器一起提供甲方。</w:t>
      </w:r>
    </w:p>
    <w:p w14:paraId="1FA5B582"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提供出具包括但不限于检修设备检修过程中的照片、更换备件清单、调试视频、完工检测报告（检测程序及内容、电压参数、电流参数、实际油压数值，实验检测结果说明）、原厂配件证明文件等。</w:t>
      </w:r>
    </w:p>
    <w:p w14:paraId="3645E157"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保证检修设备各项参数满足</w:t>
      </w:r>
      <w:r>
        <w:rPr>
          <w:rFonts w:hint="eastAsia" w:ascii="宋体" w:hAnsi="宋体" w:cs="宋体" w:eastAsiaTheme="minorEastAsia"/>
          <w:spacing w:val="-3"/>
          <w:sz w:val="24"/>
          <w:szCs w:val="24"/>
          <w:lang w:eastAsia="zh-CN"/>
        </w:rPr>
        <w:t>询比人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生产要求。</w:t>
      </w:r>
    </w:p>
    <w:p w14:paraId="04D4D740"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交货时间：暂定2025年7月10日，最终时间以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询比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方通知为准</w:t>
      </w:r>
    </w:p>
    <w:p w14:paraId="4DD1D846">
      <w:pPr>
        <w:keepNext w:val="0"/>
        <w:keepLines w:val="0"/>
        <w:pageBreakBefore w:val="0"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交货地点：福建福海创石油化工有限公司</w:t>
      </w:r>
      <w:r>
        <w:rPr>
          <w:rFonts w:hint="eastAsia" w:ascii="宋体" w:hAnsi="宋体" w:cs="宋体" w:eastAsiaTheme="minorEastAsia"/>
          <w:spacing w:val="-3"/>
          <w:sz w:val="24"/>
          <w:szCs w:val="24"/>
          <w:lang w:eastAsia="zh-CN"/>
        </w:rPr>
        <w:t>PX厂区</w:t>
      </w:r>
    </w:p>
    <w:p w14:paraId="753E6DF0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询比人提供范围</w:t>
      </w:r>
    </w:p>
    <w:p w14:paraId="5B9D581E">
      <w:pPr>
        <w:keepNext w:val="0"/>
        <w:keepLines w:val="0"/>
        <w:pageBreakBefore w:val="0"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负责配合乙方做HYD液力放大器检修前准备工作，包括将待检修设备机组上拆下、包装,安排专车接送运输，不请允许走第三方物流（因调速器为精密液压设备）。</w:t>
      </w:r>
    </w:p>
    <w:p w14:paraId="73259A6F">
      <w:pPr>
        <w:keepNext w:val="0"/>
        <w:keepLines w:val="0"/>
        <w:pageBreakBefore w:val="0"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负责与参选人对维修后的HYD液力放大器进行验收。</w:t>
      </w:r>
    </w:p>
    <w:p w14:paraId="05C6C408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参选人售后服务及质量承诺：</w:t>
      </w:r>
    </w:p>
    <w:p w14:paraId="76B0A389">
      <w:pPr>
        <w:pStyle w:val="10"/>
        <w:keepNext w:val="0"/>
        <w:keepLines w:val="0"/>
        <w:pageBreakBefore w:val="0"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设备投运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十二个月或设备交付后十八个月，以先到为准（“质保期”）</w:t>
      </w:r>
    </w:p>
    <w:p w14:paraId="051945EB">
      <w:pPr>
        <w:pStyle w:val="10"/>
        <w:keepNext w:val="0"/>
        <w:keepLines w:val="0"/>
        <w:pageBreakBefore w:val="0"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在保修期内，设备出现故障，参选人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负责无偿维修或更换</w:t>
      </w:r>
    </w:p>
    <w:p w14:paraId="7198212C">
      <w:pPr>
        <w:pStyle w:val="10"/>
        <w:keepNext w:val="0"/>
        <w:keepLines w:val="0"/>
        <w:pageBreakBefore w:val="0"/>
        <w:numPr>
          <w:ilvl w:val="0"/>
          <w:numId w:val="7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在开工期间，因质量出现问题，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参选人</w:t>
      </w: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承诺免费及时更换；因施工或非产品本质原因出现问题，卖方承诺接到通知24小时内到现场协助解决问题。</w:t>
      </w:r>
    </w:p>
    <w:p w14:paraId="517883E2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偏差表</w:t>
      </w:r>
    </w:p>
    <w:p w14:paraId="71751F3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维修设备及备易损备件清单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290"/>
        <w:gridCol w:w="1464"/>
        <w:gridCol w:w="1958"/>
      </w:tblGrid>
      <w:tr w14:paraId="0F23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</w:tcPr>
          <w:p w14:paraId="52AC198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维修明细</w:t>
            </w:r>
          </w:p>
        </w:tc>
        <w:tc>
          <w:tcPr>
            <w:tcW w:w="3290" w:type="dxa"/>
          </w:tcPr>
          <w:p w14:paraId="76B848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64" w:type="dxa"/>
          </w:tcPr>
          <w:p w14:paraId="345740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958" w:type="dxa"/>
          </w:tcPr>
          <w:p w14:paraId="4C179C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备注</w:t>
            </w:r>
          </w:p>
        </w:tc>
      </w:tr>
      <w:tr w14:paraId="4644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</w:tcPr>
          <w:p w14:paraId="222A09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center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维修设备</w:t>
            </w:r>
          </w:p>
        </w:tc>
        <w:tc>
          <w:tcPr>
            <w:tcW w:w="3290" w:type="dxa"/>
          </w:tcPr>
          <w:p w14:paraId="6E4AA2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AMPLIFIER-7.250" ELEC INPUT HYDRAULIC</w:t>
            </w:r>
          </w:p>
          <w:p w14:paraId="56C7F5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HYD液力放大器</w:t>
            </w:r>
          </w:p>
        </w:tc>
        <w:tc>
          <w:tcPr>
            <w:tcW w:w="1464" w:type="dxa"/>
          </w:tcPr>
          <w:p w14:paraId="760579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5台</w:t>
            </w:r>
          </w:p>
        </w:tc>
        <w:tc>
          <w:tcPr>
            <w:tcW w:w="1958" w:type="dxa"/>
          </w:tcPr>
          <w:p w14:paraId="6C0AFA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7F27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</w:tcPr>
          <w:p w14:paraId="0C47AE8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修理包</w:t>
            </w:r>
          </w:p>
        </w:tc>
        <w:tc>
          <w:tcPr>
            <w:tcW w:w="3290" w:type="dxa"/>
          </w:tcPr>
          <w:p w14:paraId="3BF42EC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KIT-7 1/4 HYD. AMP (W/EG3P) SPARES</w:t>
            </w:r>
          </w:p>
          <w:p w14:paraId="27901A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HYD+EG3P修理包</w:t>
            </w:r>
          </w:p>
        </w:tc>
        <w:tc>
          <w:tcPr>
            <w:tcW w:w="1464" w:type="dxa"/>
          </w:tcPr>
          <w:p w14:paraId="0FC366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5套</w:t>
            </w:r>
          </w:p>
        </w:tc>
        <w:tc>
          <w:tcPr>
            <w:tcW w:w="1958" w:type="dxa"/>
          </w:tcPr>
          <w:p w14:paraId="3DC0634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7592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restart"/>
          </w:tcPr>
          <w:p w14:paraId="7C504AAD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79DAB33C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6F935847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14AF0ECC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5D02DF24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50612A6F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易损配件</w:t>
            </w:r>
          </w:p>
        </w:tc>
        <w:tc>
          <w:tcPr>
            <w:tcW w:w="3290" w:type="dxa"/>
          </w:tcPr>
          <w:p w14:paraId="563932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TRANSDUCER-RADIATION</w:t>
            </w:r>
          </w:p>
          <w:p w14:paraId="7E196A8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RESISTANT</w:t>
            </w:r>
          </w:p>
          <w:p w14:paraId="3F1D1B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EG3P 线圈</w:t>
            </w:r>
          </w:p>
        </w:tc>
        <w:tc>
          <w:tcPr>
            <w:tcW w:w="1464" w:type="dxa"/>
          </w:tcPr>
          <w:p w14:paraId="16FEA817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00EBF04E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10A7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</w:tcPr>
          <w:p w14:paraId="498CDA8A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</w:tcPr>
          <w:p w14:paraId="4D19AE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PLUNGER-P.V.</w:t>
            </w:r>
          </w:p>
          <w:p w14:paraId="76A4E2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EG-3P导阀芯</w:t>
            </w:r>
          </w:p>
        </w:tc>
        <w:tc>
          <w:tcPr>
            <w:tcW w:w="1464" w:type="dxa"/>
          </w:tcPr>
          <w:p w14:paraId="3A451855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7923464B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0711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</w:tcPr>
          <w:p w14:paraId="617A9371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</w:tcPr>
          <w:p w14:paraId="16D13C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BUSHING-P.V. W/O ORIFICE</w:t>
            </w:r>
          </w:p>
          <w:p w14:paraId="0B1E3C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EG-3P导阀套</w:t>
            </w:r>
          </w:p>
        </w:tc>
        <w:tc>
          <w:tcPr>
            <w:tcW w:w="1464" w:type="dxa"/>
          </w:tcPr>
          <w:p w14:paraId="58D58647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11BF053C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0279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</w:tcPr>
          <w:p w14:paraId="3564BF71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</w:tcPr>
          <w:p w14:paraId="59E4EB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PISTON-5.250" HYD AMP SERVO (COMMERCIAL)</w:t>
            </w:r>
          </w:p>
          <w:p w14:paraId="3DBA39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HYD大活塞</w:t>
            </w:r>
          </w:p>
        </w:tc>
        <w:tc>
          <w:tcPr>
            <w:tcW w:w="1464" w:type="dxa"/>
          </w:tcPr>
          <w:p w14:paraId="43BEF980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3A4A6B91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2D1E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</w:tcPr>
          <w:p w14:paraId="74CE1FE1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</w:tcPr>
          <w:p w14:paraId="165257B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SPRING-EG BUFFER(25 LB)</w:t>
            </w:r>
          </w:p>
          <w:p w14:paraId="20FBDD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EG-3P补偿弹簧</w:t>
            </w:r>
          </w:p>
        </w:tc>
        <w:tc>
          <w:tcPr>
            <w:tcW w:w="1464" w:type="dxa"/>
          </w:tcPr>
          <w:p w14:paraId="582C514C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04DC2CF9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7CDA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</w:tcPr>
          <w:p w14:paraId="34B567CA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</w:tcPr>
          <w:p w14:paraId="7B120A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SHAFT-EG3 DBL. SERR. TERMINAL</w:t>
            </w:r>
          </w:p>
          <w:p w14:paraId="3F7D96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EG-3P输出轴</w:t>
            </w:r>
          </w:p>
        </w:tc>
        <w:tc>
          <w:tcPr>
            <w:tcW w:w="1464" w:type="dxa"/>
          </w:tcPr>
          <w:p w14:paraId="4570D597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355D3F7D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 w14:paraId="1151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</w:tcPr>
          <w:p w14:paraId="46D20BB4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</w:tcPr>
          <w:p w14:paraId="325ACB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GEAR-IDLER</w:t>
            </w:r>
          </w:p>
          <w:p w14:paraId="26C9BBB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EG-3P怠速齿轮</w:t>
            </w:r>
          </w:p>
        </w:tc>
        <w:tc>
          <w:tcPr>
            <w:tcW w:w="1464" w:type="dxa"/>
          </w:tcPr>
          <w:p w14:paraId="3404AFF3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1件</w:t>
            </w:r>
          </w:p>
        </w:tc>
        <w:tc>
          <w:tcPr>
            <w:tcW w:w="1958" w:type="dxa"/>
          </w:tcPr>
          <w:p w14:paraId="553AA003"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baseline"/>
              <w:rPr>
                <w:rFonts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</w:tbl>
    <w:p w14:paraId="22FA4F0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  <w:lang w:eastAsia="zh-CN"/>
        </w:rPr>
      </w:pPr>
    </w:p>
    <w:p w14:paraId="249EED4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08" w:firstLineChars="200"/>
        <w:textAlignment w:val="baseline"/>
        <w:rPr>
          <w:rFonts w:ascii="宋体" w:hAnsi="宋体" w:eastAsia="宋体" w:cs="宋体"/>
          <w:spacing w:val="-3"/>
          <w:lang w:eastAsia="zh-CN"/>
        </w:rPr>
      </w:pPr>
    </w:p>
    <w:p w14:paraId="5C55F05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textAlignment w:val="baseline"/>
        <w:rPr>
          <w:rFonts w:ascii="宋体" w:hAnsi="宋体" w:cs="宋体" w:eastAsiaTheme="minorEastAsia"/>
          <w:sz w:val="24"/>
          <w:szCs w:val="24"/>
          <w:lang w:eastAsia="zh-CN"/>
        </w:rPr>
      </w:pPr>
    </w:p>
    <w:p w14:paraId="62EEF11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textAlignment w:val="baseline"/>
        <w:rPr>
          <w:rFonts w:ascii="宋体" w:hAnsi="宋体" w:cs="宋体" w:eastAsiaTheme="minorEastAsia"/>
          <w:sz w:val="30"/>
          <w:szCs w:val="30"/>
          <w:lang w:eastAsia="zh-CN"/>
        </w:rPr>
      </w:pPr>
    </w:p>
    <w:p w14:paraId="3CD4286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textAlignment w:val="baseline"/>
        <w:rPr>
          <w:rFonts w:ascii="宋体" w:hAnsi="宋体" w:cs="宋体" w:eastAsiaTheme="minorEastAsia"/>
          <w:sz w:val="30"/>
          <w:szCs w:val="30"/>
          <w:lang w:eastAsia="zh-CN"/>
        </w:rPr>
      </w:pPr>
    </w:p>
    <w:sectPr>
      <w:headerReference r:id="rId4" w:type="default"/>
      <w:pgSz w:w="11910" w:h="16835"/>
      <w:pgMar w:top="1440" w:right="1800" w:bottom="1440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8F3E7">
    <w:pPr>
      <w:spacing w:line="214" w:lineRule="auto"/>
      <w:jc w:val="center"/>
      <w:rPr>
        <w:rFonts w:ascii="宋体" w:hAnsi="宋体" w:cs="宋体" w:eastAsiaTheme="minorEastAsia"/>
        <w:b/>
        <w:bCs/>
        <w:spacing w:val="-12"/>
        <w:sz w:val="36"/>
        <w:szCs w:val="36"/>
        <w:lang w:eastAsia="zh-CN"/>
      </w:rPr>
    </w:pPr>
    <w:r>
      <w:rPr>
        <w:sz w:val="36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4124716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ABA0D">
    <w:pPr>
      <w:pStyle w:val="2"/>
      <w:spacing w:line="14" w:lineRule="auto"/>
      <w:ind w:left="210" w:right="210" w:firstLine="48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87B1B"/>
    <w:multiLevelType w:val="singleLevel"/>
    <w:tmpl w:val="DEC87B1B"/>
    <w:lvl w:ilvl="0" w:tentative="0">
      <w:start w:val="1"/>
      <w:numFmt w:val="decimal"/>
      <w:suff w:val="nothing"/>
      <w:lvlText w:val="%1、"/>
      <w:lvlJc w:val="left"/>
      <w:pPr>
        <w:ind w:left="408" w:firstLine="0"/>
      </w:pPr>
    </w:lvl>
  </w:abstractNum>
  <w:abstractNum w:abstractNumId="1">
    <w:nsid w:val="F2F50C5A"/>
    <w:multiLevelType w:val="singleLevel"/>
    <w:tmpl w:val="F2F50C5A"/>
    <w:lvl w:ilvl="0" w:tentative="0">
      <w:start w:val="1"/>
      <w:numFmt w:val="decimal"/>
      <w:suff w:val="nothing"/>
      <w:lvlText w:val="%1、"/>
      <w:lvlJc w:val="left"/>
      <w:pPr>
        <w:ind w:left="468" w:firstLine="0"/>
      </w:pPr>
    </w:lvl>
  </w:abstractNum>
  <w:abstractNum w:abstractNumId="2">
    <w:nsid w:val="FA5EA84C"/>
    <w:multiLevelType w:val="singleLevel"/>
    <w:tmpl w:val="FA5EA84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2DB2EE3"/>
    <w:multiLevelType w:val="multilevel"/>
    <w:tmpl w:val="02DB2EE3"/>
    <w:lvl w:ilvl="0" w:tentative="0">
      <w:start w:val="1"/>
      <w:numFmt w:val="decimal"/>
      <w:lvlText w:val="%1、"/>
      <w:lvlJc w:val="left"/>
      <w:pPr>
        <w:ind w:left="18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310" w:hanging="420"/>
      </w:pPr>
    </w:lvl>
    <w:lvl w:ilvl="2" w:tentative="0">
      <w:start w:val="1"/>
      <w:numFmt w:val="lowerRoman"/>
      <w:lvlText w:val="%3."/>
      <w:lvlJc w:val="right"/>
      <w:pPr>
        <w:ind w:left="2730" w:hanging="420"/>
      </w:pPr>
    </w:lvl>
    <w:lvl w:ilvl="3" w:tentative="0">
      <w:start w:val="1"/>
      <w:numFmt w:val="decimal"/>
      <w:lvlText w:val="%4."/>
      <w:lvlJc w:val="left"/>
      <w:pPr>
        <w:ind w:left="3150" w:hanging="420"/>
      </w:pPr>
    </w:lvl>
    <w:lvl w:ilvl="4" w:tentative="0">
      <w:start w:val="1"/>
      <w:numFmt w:val="lowerLetter"/>
      <w:lvlText w:val="%5)"/>
      <w:lvlJc w:val="left"/>
      <w:pPr>
        <w:ind w:left="3570" w:hanging="420"/>
      </w:pPr>
    </w:lvl>
    <w:lvl w:ilvl="5" w:tentative="0">
      <w:start w:val="1"/>
      <w:numFmt w:val="lowerRoman"/>
      <w:lvlText w:val="%6."/>
      <w:lvlJc w:val="right"/>
      <w:pPr>
        <w:ind w:left="3990" w:hanging="420"/>
      </w:pPr>
    </w:lvl>
    <w:lvl w:ilvl="6" w:tentative="0">
      <w:start w:val="1"/>
      <w:numFmt w:val="decimal"/>
      <w:lvlText w:val="%7."/>
      <w:lvlJc w:val="left"/>
      <w:pPr>
        <w:ind w:left="4410" w:hanging="420"/>
      </w:pPr>
    </w:lvl>
    <w:lvl w:ilvl="7" w:tentative="0">
      <w:start w:val="1"/>
      <w:numFmt w:val="lowerLetter"/>
      <w:lvlText w:val="%8)"/>
      <w:lvlJc w:val="left"/>
      <w:pPr>
        <w:ind w:left="4830" w:hanging="420"/>
      </w:pPr>
    </w:lvl>
    <w:lvl w:ilvl="8" w:tentative="0">
      <w:start w:val="1"/>
      <w:numFmt w:val="lowerRoman"/>
      <w:lvlText w:val="%9."/>
      <w:lvlJc w:val="right"/>
      <w:pPr>
        <w:ind w:left="5250" w:hanging="420"/>
      </w:pPr>
    </w:lvl>
  </w:abstractNum>
  <w:abstractNum w:abstractNumId="4">
    <w:nsid w:val="06228754"/>
    <w:multiLevelType w:val="singleLevel"/>
    <w:tmpl w:val="06228754"/>
    <w:lvl w:ilvl="0" w:tentative="0">
      <w:start w:val="1"/>
      <w:numFmt w:val="decimal"/>
      <w:suff w:val="nothing"/>
      <w:lvlText w:val="%1、"/>
      <w:lvlJc w:val="left"/>
      <w:pPr>
        <w:ind w:left="408" w:firstLine="0"/>
      </w:pPr>
    </w:lvl>
  </w:abstractNum>
  <w:abstractNum w:abstractNumId="5">
    <w:nsid w:val="121D2145"/>
    <w:multiLevelType w:val="singleLevel"/>
    <w:tmpl w:val="121D2145"/>
    <w:lvl w:ilvl="0" w:tentative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6">
    <w:nsid w:val="433B7425"/>
    <w:multiLevelType w:val="singleLevel"/>
    <w:tmpl w:val="433B7425"/>
    <w:lvl w:ilvl="0" w:tentative="0">
      <w:start w:val="1"/>
      <w:numFmt w:val="decimal"/>
      <w:suff w:val="nothing"/>
      <w:lvlText w:val="%1、"/>
      <w:lvlJc w:val="left"/>
      <w:pPr>
        <w:ind w:left="408" w:firstLine="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1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MzcyODMxYTE0ZTc0ZGU3Y2QwODc3MzYzN2Q1YmNiM2EifQ=="/>
  </w:docVars>
  <w:rsids>
    <w:rsidRoot w:val="00BF5451"/>
    <w:rsid w:val="00054901"/>
    <w:rsid w:val="00067239"/>
    <w:rsid w:val="000972F7"/>
    <w:rsid w:val="00116FDC"/>
    <w:rsid w:val="001B6E8F"/>
    <w:rsid w:val="001D7221"/>
    <w:rsid w:val="0020511B"/>
    <w:rsid w:val="00233A26"/>
    <w:rsid w:val="00272360"/>
    <w:rsid w:val="00287159"/>
    <w:rsid w:val="002963A6"/>
    <w:rsid w:val="002F7783"/>
    <w:rsid w:val="00340C5F"/>
    <w:rsid w:val="00354B2F"/>
    <w:rsid w:val="003840FE"/>
    <w:rsid w:val="004174E6"/>
    <w:rsid w:val="004670A0"/>
    <w:rsid w:val="004901EF"/>
    <w:rsid w:val="004C7624"/>
    <w:rsid w:val="005A2400"/>
    <w:rsid w:val="005A7F7F"/>
    <w:rsid w:val="005F0047"/>
    <w:rsid w:val="00622BDB"/>
    <w:rsid w:val="0071068A"/>
    <w:rsid w:val="007336E8"/>
    <w:rsid w:val="00770D06"/>
    <w:rsid w:val="007C73D8"/>
    <w:rsid w:val="007F7726"/>
    <w:rsid w:val="00841B0B"/>
    <w:rsid w:val="00865E48"/>
    <w:rsid w:val="008A3D2B"/>
    <w:rsid w:val="009457A1"/>
    <w:rsid w:val="00961E10"/>
    <w:rsid w:val="00A7040D"/>
    <w:rsid w:val="00A872A0"/>
    <w:rsid w:val="00A87868"/>
    <w:rsid w:val="00B12A85"/>
    <w:rsid w:val="00B47EBE"/>
    <w:rsid w:val="00B76C7E"/>
    <w:rsid w:val="00B77AE0"/>
    <w:rsid w:val="00BB4374"/>
    <w:rsid w:val="00BE20F6"/>
    <w:rsid w:val="00BF5451"/>
    <w:rsid w:val="00C162E1"/>
    <w:rsid w:val="00C240CD"/>
    <w:rsid w:val="00CC1BB2"/>
    <w:rsid w:val="00CD2557"/>
    <w:rsid w:val="00D201BE"/>
    <w:rsid w:val="00D220EF"/>
    <w:rsid w:val="00D927C3"/>
    <w:rsid w:val="00DD2274"/>
    <w:rsid w:val="00DE0948"/>
    <w:rsid w:val="00DF29B7"/>
    <w:rsid w:val="00E00197"/>
    <w:rsid w:val="00E16F84"/>
    <w:rsid w:val="00E3787E"/>
    <w:rsid w:val="00E421F6"/>
    <w:rsid w:val="00E56665"/>
    <w:rsid w:val="00E95018"/>
    <w:rsid w:val="00EB49BF"/>
    <w:rsid w:val="00EC175F"/>
    <w:rsid w:val="00F030E8"/>
    <w:rsid w:val="00F05987"/>
    <w:rsid w:val="00F24555"/>
    <w:rsid w:val="00F434EA"/>
    <w:rsid w:val="00F626E7"/>
    <w:rsid w:val="00F744F8"/>
    <w:rsid w:val="00F746E5"/>
    <w:rsid w:val="087E6F41"/>
    <w:rsid w:val="09540CB0"/>
    <w:rsid w:val="1C4A7CD9"/>
    <w:rsid w:val="233F73D8"/>
    <w:rsid w:val="25E425FA"/>
    <w:rsid w:val="2839468C"/>
    <w:rsid w:val="2BD05CA7"/>
    <w:rsid w:val="3345642D"/>
    <w:rsid w:val="34AD4323"/>
    <w:rsid w:val="5521089E"/>
    <w:rsid w:val="5A2E6584"/>
    <w:rsid w:val="68B55EB9"/>
    <w:rsid w:val="6BF4328A"/>
    <w:rsid w:val="736F64DC"/>
    <w:rsid w:val="7CB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1604</Words>
  <Characters>1914</Characters>
  <Lines>15</Lines>
  <Paragraphs>4</Paragraphs>
  <TotalTime>1039</TotalTime>
  <ScaleCrop>false</ScaleCrop>
  <LinksUpToDate>false</LinksUpToDate>
  <CharactersWithSpaces>1954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2025-03-15T09:25:00Z</dcterms:created>
  <dc:creator>user</dc:creator>
  <cp:lastModifiedBy>GM10</cp:lastModifiedBy>
  <cp:lastPrinted>2025-03-20T02:29:00Z</cp:lastPrinted>
  <dcterms:modified xsi:type="dcterms:W3CDTF">2025-04-28T07:36:30Z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2024-07-24T09:58:28Z</vt:filetime>
  </property>
  <property fmtid="{D5CDD505-2E9C-101B-9397-08002B2CF9AE}" pid="4" name="KSOProductBuildVer">
    <vt:lpwstr>2052-12.1.0.20784</vt:lpwstr>
  </property>
  <property fmtid="{D5CDD505-2E9C-101B-9397-08002B2CF9AE}" pid="5" name="ICV">
    <vt:lpwstr>4CA21702D3B74AA58D9F232B5A438AAD_13</vt:lpwstr>
  </property>
  <property fmtid="{D5CDD505-2E9C-101B-9397-08002B2CF9AE}" pid="6" name="KSOTemplateDocerSaveRecord">
    <vt:lpwstr>eyJoZGlkIjoiNDVmN2Y1MjE1NTBkYzg5MDJlMTQ1YzAwM2IyOTRkYzgifQ==</vt:lpwstr>
  </property>
</Properties>
</file>