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19"/>
        <w:rPr>
          <w:rFonts w:ascii="Times New Roman"/>
          <w:sz w:val="20"/>
          <w:lang w:eastAsia="zh-CN"/>
        </w:rPr>
      </w:pPr>
    </w:p>
    <w:p w14:paraId="71ACEBD5">
      <w:pPr>
        <w:pStyle w:val="19"/>
        <w:rPr>
          <w:rFonts w:ascii="Times New Roman"/>
          <w:sz w:val="20"/>
        </w:rPr>
      </w:pPr>
    </w:p>
    <w:p w14:paraId="11E04291">
      <w:pPr>
        <w:pStyle w:val="19"/>
        <w:rPr>
          <w:rFonts w:ascii="Times New Roman"/>
          <w:sz w:val="20"/>
        </w:rPr>
      </w:pPr>
    </w:p>
    <w:p w14:paraId="636675A3">
      <w:pPr>
        <w:pStyle w:val="19"/>
        <w:rPr>
          <w:rFonts w:ascii="Times New Roman"/>
          <w:sz w:val="20"/>
        </w:rPr>
      </w:pPr>
    </w:p>
    <w:p w14:paraId="6CBBDA8F">
      <w:pPr>
        <w:pStyle w:val="19"/>
        <w:rPr>
          <w:rFonts w:ascii="Times New Roman"/>
          <w:sz w:val="20"/>
        </w:rPr>
      </w:pPr>
    </w:p>
    <w:p w14:paraId="7DBC92D0">
      <w:pPr>
        <w:pStyle w:val="19"/>
        <w:spacing w:before="5"/>
        <w:rPr>
          <w:rFonts w:ascii="Times New Roman"/>
          <w:sz w:val="20"/>
        </w:rPr>
      </w:pPr>
    </w:p>
    <w:p w14:paraId="465920EF">
      <w:pPr>
        <w:pStyle w:val="19"/>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291FF932">
      <w:pPr>
        <w:pStyle w:val="19"/>
        <w:jc w:val="center"/>
        <w:rPr>
          <w:rFonts w:hint="eastAsia" w:ascii="微软雅黑" w:eastAsia="微软雅黑"/>
          <w:b/>
          <w:color w:val="auto"/>
          <w:sz w:val="52"/>
          <w:szCs w:val="22"/>
          <w:u w:val="single"/>
          <w:lang w:eastAsia="zh-CN"/>
        </w:rPr>
      </w:pPr>
      <w:r>
        <w:rPr>
          <w:rFonts w:hint="eastAsia" w:ascii="微软雅黑" w:eastAsia="微软雅黑"/>
          <w:b/>
          <w:color w:val="auto"/>
          <w:sz w:val="52"/>
          <w:szCs w:val="22"/>
          <w:u w:val="single"/>
          <w:lang w:eastAsia="zh-CN"/>
        </w:rPr>
        <w:t>PTA装置先进控制（APC）软件包采购及工程服务</w:t>
      </w:r>
    </w:p>
    <w:p w14:paraId="1F595A08">
      <w:pPr>
        <w:pStyle w:val="19"/>
        <w:jc w:val="center"/>
        <w:rPr>
          <w:rFonts w:ascii="微软雅黑" w:eastAsia="微软雅黑"/>
          <w:b/>
          <w:color w:val="auto"/>
          <w:sz w:val="72"/>
          <w:szCs w:val="72"/>
          <w:u w:val="single"/>
          <w:lang w:eastAsia="zh-CN"/>
        </w:rPr>
      </w:pPr>
      <w:r>
        <w:rPr>
          <w:rFonts w:hint="eastAsia" w:ascii="微软雅黑" w:eastAsia="微软雅黑"/>
          <w:b/>
          <w:color w:val="auto"/>
          <w:sz w:val="72"/>
          <w:szCs w:val="72"/>
          <w:u w:val="single"/>
          <w:lang w:eastAsia="zh-CN"/>
        </w:rPr>
        <w:t>询比文件</w:t>
      </w:r>
    </w:p>
    <w:p w14:paraId="41DFB9F3">
      <w:pPr>
        <w:pStyle w:val="55"/>
        <w:jc w:val="center"/>
        <w:rPr>
          <w:color w:val="auto"/>
          <w:sz w:val="28"/>
          <w:szCs w:val="28"/>
        </w:rPr>
      </w:pPr>
      <w:r>
        <w:rPr>
          <w:rFonts w:hint="eastAsia"/>
          <w:color w:val="auto"/>
          <w:sz w:val="28"/>
          <w:szCs w:val="28"/>
        </w:rPr>
        <w:t>（文件编号：</w:t>
      </w:r>
      <w:r>
        <w:rPr>
          <w:rFonts w:hint="eastAsia"/>
          <w:color w:val="auto"/>
          <w:sz w:val="28"/>
          <w:szCs w:val="28"/>
          <w:u w:val="single"/>
        </w:rPr>
        <w:t>FAP1-CGSQ-202511-003</w:t>
      </w:r>
      <w:r>
        <w:rPr>
          <w:color w:val="auto"/>
          <w:sz w:val="28"/>
          <w:szCs w:val="28"/>
          <w:u w:val="single"/>
        </w:rPr>
        <w:t xml:space="preserve"> </w:t>
      </w:r>
      <w:r>
        <w:rPr>
          <w:rFonts w:hint="eastAsia"/>
          <w:color w:val="auto"/>
          <w:sz w:val="28"/>
          <w:szCs w:val="28"/>
        </w:rPr>
        <w:t xml:space="preserve"> ）</w:t>
      </w:r>
    </w:p>
    <w:p w14:paraId="3EED7F56">
      <w:pPr>
        <w:pStyle w:val="19"/>
        <w:rPr>
          <w:rFonts w:ascii="微软雅黑"/>
          <w:b/>
          <w:sz w:val="94"/>
          <w:lang w:eastAsia="zh-CN"/>
        </w:rPr>
      </w:pPr>
    </w:p>
    <w:p w14:paraId="383ADAD6">
      <w:pPr>
        <w:pStyle w:val="19"/>
        <w:rPr>
          <w:rFonts w:ascii="微软雅黑"/>
          <w:b/>
          <w:sz w:val="94"/>
          <w:lang w:eastAsia="zh-CN"/>
        </w:rPr>
      </w:pPr>
    </w:p>
    <w:p w14:paraId="44EA205B">
      <w:pPr>
        <w:pStyle w:val="19"/>
        <w:rPr>
          <w:rFonts w:ascii="微软雅黑"/>
          <w:b/>
          <w:sz w:val="32"/>
          <w:szCs w:val="32"/>
          <w:lang w:eastAsia="zh-CN"/>
        </w:rPr>
      </w:pPr>
    </w:p>
    <w:p w14:paraId="64E80A04">
      <w:pPr>
        <w:pStyle w:val="19"/>
        <w:rPr>
          <w:rFonts w:ascii="微软雅黑"/>
          <w:b/>
          <w:sz w:val="32"/>
          <w:szCs w:val="32"/>
          <w:lang w:eastAsia="zh-CN"/>
        </w:rPr>
      </w:pPr>
    </w:p>
    <w:p w14:paraId="34D515D1">
      <w:pPr>
        <w:pStyle w:val="19"/>
        <w:rPr>
          <w:rFonts w:ascii="微软雅黑"/>
          <w:b/>
          <w:sz w:val="32"/>
          <w:szCs w:val="32"/>
          <w:lang w:eastAsia="zh-CN"/>
        </w:rPr>
      </w:pPr>
    </w:p>
    <w:p w14:paraId="6DB2CF03">
      <w:pPr>
        <w:pStyle w:val="19"/>
        <w:rPr>
          <w:rFonts w:ascii="微软雅黑"/>
          <w:b/>
          <w:sz w:val="32"/>
          <w:szCs w:val="32"/>
          <w:lang w:eastAsia="zh-CN"/>
        </w:rPr>
      </w:pPr>
    </w:p>
    <w:p w14:paraId="7FBC88FE">
      <w:pPr>
        <w:pStyle w:val="19"/>
        <w:rPr>
          <w:rFonts w:ascii="微软雅黑"/>
          <w:b/>
          <w:sz w:val="32"/>
          <w:szCs w:val="32"/>
          <w:lang w:eastAsia="zh-CN"/>
        </w:rPr>
      </w:pPr>
    </w:p>
    <w:p w14:paraId="7EE06F7B">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FF0000"/>
          <w:sz w:val="32"/>
          <w:lang w:eastAsia="zh-CN"/>
        </w:rPr>
      </w:pPr>
      <w:r>
        <w:rPr>
          <w:rFonts w:hint="eastAsia" w:ascii="微软雅黑" w:eastAsia="微软雅黑"/>
          <w:b/>
          <w:w w:val="95"/>
          <w:sz w:val="32"/>
          <w:lang w:eastAsia="zh-CN"/>
        </w:rPr>
        <w:t xml:space="preserve">                               </w:t>
      </w:r>
      <w:r>
        <w:rPr>
          <w:rFonts w:hint="eastAsia" w:ascii="微软雅黑" w:eastAsia="微软雅黑"/>
          <w:b/>
          <w:color w:val="auto"/>
          <w:w w:val="95"/>
          <w:sz w:val="32"/>
          <w:lang w:eastAsia="zh-CN"/>
        </w:rPr>
        <w:t xml:space="preserve">    二〇二五年</w:t>
      </w:r>
      <w:r>
        <w:rPr>
          <w:rFonts w:hint="eastAsia" w:ascii="微软雅黑" w:eastAsia="微软雅黑"/>
          <w:b/>
          <w:color w:val="auto"/>
          <w:w w:val="95"/>
          <w:sz w:val="32"/>
          <w:lang w:val="en-US" w:eastAsia="zh-CN"/>
        </w:rPr>
        <w:t>十</w:t>
      </w:r>
      <w:r>
        <w:rPr>
          <w:rFonts w:hint="eastAsia" w:ascii="微软雅黑" w:eastAsia="微软雅黑"/>
          <w:b/>
          <w:color w:val="auto"/>
          <w:w w:val="95"/>
          <w:sz w:val="32"/>
          <w:lang w:eastAsia="zh-CN"/>
        </w:rPr>
        <w:t>二月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19"/>
        <w:rPr>
          <w:rFonts w:ascii="黑体"/>
          <w:sz w:val="20"/>
          <w:lang w:eastAsia="zh-CN"/>
        </w:rPr>
      </w:pPr>
    </w:p>
    <w:p w14:paraId="2601590C">
      <w:pPr>
        <w:pStyle w:val="19"/>
        <w:rPr>
          <w:rFonts w:ascii="黑体"/>
          <w:sz w:val="20"/>
          <w:lang w:eastAsia="zh-CN"/>
        </w:rPr>
      </w:pPr>
    </w:p>
    <w:p w14:paraId="1CC1F056">
      <w:pPr>
        <w:pStyle w:val="19"/>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1"/>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5"/>
      </w:pPr>
    </w:p>
    <w:p w14:paraId="4EE8D05A">
      <w:pPr>
        <w:jc w:val="center"/>
        <w:rPr>
          <w:rFonts w:hint="eastAsia"/>
          <w:b/>
          <w:bCs/>
          <w:sz w:val="32"/>
          <w:lang w:eastAsia="zh-CN"/>
        </w:rPr>
      </w:pPr>
      <w:r>
        <w:rPr>
          <w:rFonts w:hint="eastAsia"/>
          <w:b/>
          <w:bCs/>
          <w:sz w:val="32"/>
          <w:lang w:eastAsia="zh-CN"/>
        </w:rPr>
        <w:t>福建福海创石油化工有限公司</w:t>
      </w:r>
    </w:p>
    <w:p w14:paraId="448318D1">
      <w:pPr>
        <w:jc w:val="center"/>
        <w:rPr>
          <w:b/>
          <w:bCs/>
          <w:sz w:val="32"/>
          <w:lang w:eastAsia="zh-CN"/>
        </w:rPr>
      </w:pPr>
      <w:r>
        <w:rPr>
          <w:rFonts w:hint="eastAsia"/>
          <w:b/>
          <w:bCs/>
          <w:sz w:val="32"/>
          <w:lang w:eastAsia="zh-CN"/>
        </w:rPr>
        <w:t>PTA装置先进控制（APC）软件包采购及工程服务询比公告</w:t>
      </w:r>
    </w:p>
    <w:p w14:paraId="745BDD3E">
      <w:pPr>
        <w:pStyle w:val="19"/>
        <w:rPr>
          <w:b/>
          <w:sz w:val="28"/>
          <w:lang w:eastAsia="zh-CN"/>
        </w:rPr>
      </w:pPr>
    </w:p>
    <w:p w14:paraId="03439321">
      <w:pPr>
        <w:pStyle w:val="19"/>
        <w:spacing w:before="26" w:line="360" w:lineRule="auto"/>
        <w:ind w:right="121"/>
        <w:jc w:val="both"/>
        <w:rPr>
          <w:lang w:eastAsia="zh-CN"/>
        </w:rPr>
      </w:pPr>
      <w:r>
        <w:rPr>
          <w:rFonts w:hint="eastAsia"/>
          <w:lang w:eastAsia="zh-CN"/>
        </w:rPr>
        <w:t xml:space="preserve">    福建福海创石油化工有限公司就“</w:t>
      </w:r>
      <w:r>
        <w:rPr>
          <w:rFonts w:hint="eastAsia"/>
          <w:color w:val="auto"/>
          <w:u w:val="single"/>
          <w:lang w:eastAsia="zh-CN"/>
        </w:rPr>
        <w:t>福建福海创石油化工有限公司PTA装置先进控制（APC）软件包采购及工程服务（项目编号：FAP1-CGSQ-202511-003）</w:t>
      </w:r>
      <w:r>
        <w:rPr>
          <w:rFonts w:hint="eastAsia"/>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1896CA9">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项目名称：福建福海创石油化工有限公司PTA装置先进控制（APC）软件包采购及工程服务</w:t>
      </w:r>
    </w:p>
    <w:p w14:paraId="79336106">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2.采购项目简要说明：</w:t>
      </w:r>
      <w:r>
        <w:rPr>
          <w:rFonts w:hint="eastAsia"/>
          <w:sz w:val="24"/>
          <w:szCs w:val="24"/>
          <w:lang w:val="en-US" w:eastAsia="zh-CN"/>
        </w:rPr>
        <w:t>福建福海创石油化工有限公司</w:t>
      </w:r>
      <w:r>
        <w:rPr>
          <w:rFonts w:hint="default"/>
          <w:sz w:val="24"/>
          <w:szCs w:val="24"/>
          <w:lang w:val="en-US" w:eastAsia="zh-CN"/>
        </w:rPr>
        <w:t>450万吨/年PTA装置先进控制（APC）软件包和工程服务</w:t>
      </w:r>
      <w:r>
        <w:rPr>
          <w:rFonts w:hint="eastAsia"/>
          <w:sz w:val="24"/>
          <w:szCs w:val="24"/>
          <w:lang w:val="en-US" w:eastAsia="zh-CN"/>
        </w:rPr>
        <w:t>采购</w:t>
      </w:r>
      <w:r>
        <w:rPr>
          <w:rFonts w:hint="default"/>
          <w:sz w:val="24"/>
          <w:szCs w:val="24"/>
          <w:lang w:val="en-US" w:eastAsia="zh-CN"/>
        </w:rPr>
        <w:t>的先进控制软件</w:t>
      </w:r>
      <w:r>
        <w:rPr>
          <w:rFonts w:hint="eastAsia"/>
          <w:sz w:val="24"/>
          <w:szCs w:val="24"/>
          <w:lang w:val="en-US" w:eastAsia="zh-CN"/>
        </w:rPr>
        <w:t>；</w:t>
      </w:r>
    </w:p>
    <w:p w14:paraId="673C8B21">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提供</w:t>
      </w:r>
      <w:r>
        <w:rPr>
          <w:rFonts w:hint="default"/>
          <w:sz w:val="24"/>
          <w:szCs w:val="24"/>
          <w:lang w:val="en-US" w:eastAsia="zh-CN"/>
        </w:rPr>
        <w:t>450万吨/年PTA装置先进控制（APC）软件包和工程服务</w:t>
      </w:r>
      <w:r>
        <w:rPr>
          <w:rFonts w:hint="eastAsia"/>
          <w:sz w:val="24"/>
          <w:szCs w:val="24"/>
          <w:lang w:val="en-US" w:eastAsia="zh-CN"/>
        </w:rPr>
        <w:t>采购</w:t>
      </w:r>
      <w:r>
        <w:rPr>
          <w:rFonts w:hint="default"/>
          <w:sz w:val="24"/>
          <w:szCs w:val="24"/>
          <w:lang w:val="en-US" w:eastAsia="zh-CN"/>
        </w:rPr>
        <w:t>的先进控制系统和现场实施，负责用户培训，提供售后服务；</w:t>
      </w:r>
    </w:p>
    <w:p w14:paraId="4C469E64">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本项目费用包含软件和工程服务费用（包含满足</w:t>
      </w:r>
      <w:r>
        <w:rPr>
          <w:rFonts w:hint="default"/>
          <w:sz w:val="24"/>
          <w:szCs w:val="24"/>
          <w:lang w:val="en-US" w:eastAsia="zh-CN"/>
        </w:rPr>
        <w:t>APC系统上线的一切费用）。</w:t>
      </w:r>
    </w:p>
    <w:p w14:paraId="10E7CD1A">
      <w:pPr>
        <w:tabs>
          <w:tab w:val="left" w:pos="709"/>
        </w:tabs>
        <w:spacing w:line="360" w:lineRule="auto"/>
        <w:ind w:firstLine="480" w:firstLineChars="200"/>
        <w:rPr>
          <w:rFonts w:hint="default"/>
          <w:sz w:val="24"/>
          <w:szCs w:val="24"/>
          <w:lang w:val="en-US" w:eastAsia="zh-CN"/>
        </w:rPr>
      </w:pPr>
      <w:r>
        <w:rPr>
          <w:sz w:val="24"/>
          <w:szCs w:val="24"/>
          <w:lang w:eastAsia="zh-CN"/>
        </w:rPr>
        <w:t>3.</w:t>
      </w:r>
      <w:r>
        <w:rPr>
          <w:rFonts w:hint="eastAsia"/>
          <w:sz w:val="24"/>
          <w:szCs w:val="24"/>
          <w:lang w:eastAsia="zh-CN"/>
        </w:rPr>
        <w:t>采购控制价：</w:t>
      </w:r>
      <w:r>
        <w:rPr>
          <w:rFonts w:hint="eastAsia"/>
          <w:sz w:val="24"/>
          <w:szCs w:val="24"/>
          <w:lang w:val="en-US" w:eastAsia="zh-CN"/>
        </w:rPr>
        <w:t>165万元（含税）</w:t>
      </w:r>
    </w:p>
    <w:p w14:paraId="32CD49BE">
      <w:pPr>
        <w:tabs>
          <w:tab w:val="left" w:pos="709"/>
        </w:tabs>
        <w:spacing w:line="360" w:lineRule="auto"/>
        <w:ind w:firstLine="480" w:firstLineChars="200"/>
        <w:rPr>
          <w:rFonts w:hint="eastAsia"/>
          <w:sz w:val="24"/>
          <w:szCs w:val="24"/>
          <w:lang w:val="en-US" w:eastAsia="zh-CN"/>
        </w:rPr>
      </w:pPr>
      <w:r>
        <w:rPr>
          <w:rFonts w:hint="eastAsia"/>
          <w:sz w:val="24"/>
          <w:szCs w:val="24"/>
          <w:lang w:eastAsia="zh-CN"/>
        </w:rPr>
        <w:t>4</w:t>
      </w:r>
      <w:r>
        <w:rPr>
          <w:sz w:val="24"/>
          <w:szCs w:val="24"/>
          <w:lang w:eastAsia="zh-CN"/>
        </w:rPr>
        <w:t>.工期要求</w:t>
      </w:r>
      <w:r>
        <w:rPr>
          <w:rFonts w:hint="eastAsia"/>
          <w:sz w:val="24"/>
          <w:szCs w:val="24"/>
          <w:lang w:val="en-US" w:eastAsia="zh-CN"/>
        </w:rPr>
        <w:t>：</w:t>
      </w:r>
    </w:p>
    <w:p w14:paraId="71E583D8">
      <w:pPr>
        <w:tabs>
          <w:tab w:val="left" w:pos="709"/>
        </w:tabs>
        <w:spacing w:line="360" w:lineRule="auto"/>
        <w:ind w:firstLine="480" w:firstLineChars="200"/>
        <w:rPr>
          <w:sz w:val="24"/>
          <w:szCs w:val="24"/>
          <w:highlight w:val="none"/>
          <w:lang w:eastAsia="zh-CN"/>
        </w:rPr>
      </w:pPr>
      <w:r>
        <w:rPr>
          <w:rFonts w:hint="eastAsia"/>
          <w:sz w:val="24"/>
          <w:szCs w:val="24"/>
          <w:highlight w:val="none"/>
          <w:lang w:eastAsia="zh-CN"/>
        </w:rPr>
        <w:t>①</w:t>
      </w:r>
      <w:r>
        <w:rPr>
          <w:sz w:val="24"/>
          <w:szCs w:val="24"/>
          <w:highlight w:val="none"/>
          <w:lang w:eastAsia="zh-CN"/>
        </w:rPr>
        <w:t>合同生效之日起3个月内，完成软件交付（含系统软件及OPC等正式授权），并</w:t>
      </w:r>
      <w:r>
        <w:rPr>
          <w:rFonts w:hint="eastAsia"/>
          <w:sz w:val="24"/>
          <w:szCs w:val="24"/>
          <w:highlight w:val="none"/>
          <w:lang w:eastAsia="zh-CN"/>
        </w:rPr>
        <w:t>完成</w:t>
      </w:r>
      <w:r>
        <w:rPr>
          <w:sz w:val="24"/>
          <w:szCs w:val="24"/>
          <w:highlight w:val="none"/>
          <w:lang w:eastAsia="zh-CN"/>
        </w:rPr>
        <w:t>服务器等硬件设施</w:t>
      </w:r>
      <w:r>
        <w:rPr>
          <w:rFonts w:hint="eastAsia"/>
          <w:sz w:val="24"/>
          <w:szCs w:val="24"/>
          <w:highlight w:val="none"/>
          <w:lang w:eastAsia="zh-CN"/>
        </w:rPr>
        <w:t>安装</w:t>
      </w:r>
      <w:r>
        <w:rPr>
          <w:sz w:val="24"/>
          <w:szCs w:val="24"/>
          <w:highlight w:val="none"/>
          <w:lang w:eastAsia="zh-CN"/>
        </w:rPr>
        <w:t>，</w:t>
      </w:r>
      <w:r>
        <w:rPr>
          <w:rFonts w:hint="eastAsia"/>
          <w:sz w:val="24"/>
          <w:szCs w:val="24"/>
          <w:highlight w:val="none"/>
          <w:lang w:eastAsia="zh-CN"/>
        </w:rPr>
        <w:t>及</w:t>
      </w:r>
      <w:r>
        <w:rPr>
          <w:sz w:val="24"/>
          <w:szCs w:val="24"/>
          <w:highlight w:val="none"/>
          <w:lang w:eastAsia="zh-CN"/>
        </w:rPr>
        <w:t>完成DCS功能组态的初步设计与系统安装。</w:t>
      </w:r>
    </w:p>
    <w:p w14:paraId="41D49E57">
      <w:pPr>
        <w:tabs>
          <w:tab w:val="left" w:pos="709"/>
        </w:tabs>
        <w:spacing w:line="360" w:lineRule="auto"/>
        <w:ind w:firstLine="480" w:firstLineChars="200"/>
        <w:rPr>
          <w:rFonts w:hint="eastAsia"/>
          <w:sz w:val="24"/>
          <w:szCs w:val="24"/>
          <w:highlight w:val="none"/>
          <w:lang w:eastAsia="zh-CN"/>
        </w:rPr>
      </w:pPr>
      <w:r>
        <w:rPr>
          <w:rFonts w:hint="eastAsia"/>
          <w:sz w:val="24"/>
          <w:szCs w:val="24"/>
          <w:highlight w:val="none"/>
          <w:lang w:eastAsia="zh-CN"/>
        </w:rPr>
        <w:t>②</w:t>
      </w:r>
      <w:r>
        <w:rPr>
          <w:sz w:val="24"/>
          <w:szCs w:val="24"/>
          <w:highlight w:val="none"/>
          <w:lang w:eastAsia="zh-CN"/>
        </w:rPr>
        <w:t>合同生效之日起12个月内，完成实时先进控制系统的全部实施、联调与上线投运。</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5E2DFB8">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.参</w:t>
      </w:r>
      <w:r>
        <w:rPr>
          <w:rFonts w:hint="eastAsia"/>
          <w:sz w:val="24"/>
          <w:szCs w:val="24"/>
          <w:lang w:eastAsia="zh-CN"/>
        </w:rPr>
        <w:t>比</w:t>
      </w:r>
      <w:r>
        <w:rPr>
          <w:sz w:val="24"/>
          <w:szCs w:val="24"/>
          <w:lang w:eastAsia="zh-CN"/>
        </w:rPr>
        <w:t>人</w:t>
      </w:r>
      <w:r>
        <w:rPr>
          <w:rFonts w:hint="eastAsia"/>
          <w:sz w:val="24"/>
          <w:szCs w:val="24"/>
          <w:lang w:eastAsia="zh-CN"/>
        </w:rPr>
        <w:t>具有APC产品的自主产品权（</w:t>
      </w:r>
      <w:r>
        <w:rPr>
          <w:rFonts w:hint="eastAsia"/>
          <w:sz w:val="24"/>
          <w:szCs w:val="24"/>
          <w:lang w:val="en-US" w:eastAsia="zh-CN"/>
        </w:rPr>
        <w:t>提供软件著作权证书等证明文件</w:t>
      </w:r>
      <w:r>
        <w:rPr>
          <w:rFonts w:hint="eastAsia"/>
          <w:sz w:val="24"/>
          <w:szCs w:val="24"/>
          <w:lang w:eastAsia="zh-CN"/>
        </w:rPr>
        <w:t>），并须提供近五年（自2020年1月1日起至投标截止日）内至少两项在石化</w:t>
      </w:r>
      <w:r>
        <w:rPr>
          <w:rFonts w:hint="eastAsia"/>
          <w:sz w:val="24"/>
          <w:szCs w:val="24"/>
          <w:lang w:val="en-US" w:eastAsia="zh-CN"/>
        </w:rPr>
        <w:t>行业</w:t>
      </w:r>
      <w:r>
        <w:rPr>
          <w:rFonts w:hint="eastAsia"/>
          <w:sz w:val="24"/>
          <w:szCs w:val="24"/>
          <w:lang w:eastAsia="zh-CN"/>
        </w:rPr>
        <w:t>实施的APC先进控制系统成功应用案例的证明材料（包括项目合同及验收文件）。</w:t>
      </w:r>
    </w:p>
    <w:p w14:paraId="213C6AB9">
      <w:pPr>
        <w:tabs>
          <w:tab w:val="left" w:pos="709"/>
        </w:tabs>
        <w:spacing w:line="360" w:lineRule="auto"/>
        <w:ind w:firstLine="480" w:firstLineChars="200"/>
        <w:rPr>
          <w:rFonts w:hint="eastAsia"/>
          <w:sz w:val="24"/>
          <w:szCs w:val="24"/>
          <w:lang w:val="en-US" w:eastAsia="zh-CN"/>
        </w:rPr>
      </w:pPr>
      <w:r>
        <w:rPr>
          <w:sz w:val="24"/>
          <w:szCs w:val="24"/>
          <w:lang w:eastAsia="zh-CN"/>
        </w:rPr>
        <w:t>3.参</w:t>
      </w:r>
      <w:r>
        <w:rPr>
          <w:rFonts w:hint="eastAsia"/>
          <w:sz w:val="24"/>
          <w:szCs w:val="24"/>
          <w:lang w:eastAsia="zh-CN"/>
        </w:rPr>
        <w:t>比</w:t>
      </w:r>
      <w:r>
        <w:rPr>
          <w:sz w:val="24"/>
          <w:szCs w:val="24"/>
          <w:lang w:eastAsia="zh-CN"/>
        </w:rPr>
        <w:t>人</w:t>
      </w:r>
      <w:r>
        <w:rPr>
          <w:rFonts w:hint="eastAsia"/>
          <w:sz w:val="24"/>
          <w:szCs w:val="24"/>
          <w:lang w:val="en-US" w:eastAsia="zh-CN"/>
        </w:rPr>
        <w:t>项目经理需具备以下基本条件：</w:t>
      </w:r>
    </w:p>
    <w:p w14:paraId="6F06D8A5">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①具有至少承担过5套大型石油化工企业先进控制相关项目的实施经验；</w:t>
      </w:r>
    </w:p>
    <w:p w14:paraId="7BAD8542">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②在投标人公司在职5年以上，项目管理经验10年以上。</w:t>
      </w:r>
    </w:p>
    <w:p w14:paraId="489CB1E3">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备注：需要提供项目经理履历，社保缴费证明以及业绩证明材料，业绩证明材料未明确项目经理的，应补充提交业主出具的证明扫描件或行政主管部门颁发的能证明项目经理的相关证书扫描件，上述扫描件应加盖投标人单位公章，否则其项目经理的业绩无效。</w:t>
      </w:r>
    </w:p>
    <w:p w14:paraId="560B8A2E">
      <w:pPr>
        <w:tabs>
          <w:tab w:val="left" w:pos="709"/>
        </w:tabs>
        <w:spacing w:line="360" w:lineRule="auto"/>
        <w:ind w:firstLine="480" w:firstLineChars="200"/>
        <w:rPr>
          <w:color w:val="auto"/>
          <w:sz w:val="24"/>
          <w:szCs w:val="24"/>
          <w:lang w:eastAsia="zh-CN"/>
        </w:rPr>
      </w:pPr>
      <w:r>
        <w:rPr>
          <w:color w:val="auto"/>
          <w:sz w:val="24"/>
          <w:szCs w:val="24"/>
          <w:lang w:eastAsia="zh-CN"/>
        </w:rPr>
        <w:t>4</w:t>
      </w:r>
      <w:r>
        <w:rPr>
          <w:rFonts w:hint="eastAsia"/>
          <w:color w:val="auto"/>
          <w:sz w:val="24"/>
          <w:szCs w:val="24"/>
          <w:lang w:eastAsia="zh-CN"/>
        </w:rPr>
        <w:t>.</w:t>
      </w:r>
      <w:r>
        <w:rPr>
          <w:color w:val="auto"/>
          <w:sz w:val="24"/>
          <w:szCs w:val="24"/>
          <w:lang w:eastAsia="zh-CN"/>
        </w:rPr>
        <w:t>参</w:t>
      </w:r>
      <w:r>
        <w:rPr>
          <w:rFonts w:hint="eastAsia"/>
          <w:color w:val="auto"/>
          <w:sz w:val="24"/>
          <w:szCs w:val="24"/>
          <w:lang w:eastAsia="zh-CN"/>
        </w:rPr>
        <w:t>比</w:t>
      </w:r>
      <w:r>
        <w:rPr>
          <w:color w:val="auto"/>
          <w:sz w:val="24"/>
          <w:szCs w:val="24"/>
          <w:lang w:eastAsia="zh-CN"/>
        </w:rPr>
        <w:t>人没有失信黑名单记录（以最高院失信被执行人系统发布信息为准）</w:t>
      </w:r>
      <w:r>
        <w:rPr>
          <w:rFonts w:hint="eastAsia"/>
          <w:color w:val="auto"/>
          <w:sz w:val="24"/>
          <w:szCs w:val="24"/>
          <w:lang w:eastAsia="zh-CN"/>
        </w:rPr>
        <w:t>。</w:t>
      </w:r>
    </w:p>
    <w:p w14:paraId="4ADE3900">
      <w:pPr>
        <w:tabs>
          <w:tab w:val="left" w:pos="709"/>
        </w:tabs>
        <w:spacing w:line="360" w:lineRule="auto"/>
        <w:ind w:firstLine="480" w:firstLineChars="200"/>
        <w:rPr>
          <w:color w:val="auto"/>
          <w:sz w:val="24"/>
          <w:szCs w:val="24"/>
          <w:lang w:eastAsia="zh-CN"/>
        </w:rPr>
      </w:pPr>
      <w:r>
        <w:rPr>
          <w:rFonts w:hint="eastAsia"/>
          <w:color w:val="auto"/>
          <w:sz w:val="24"/>
          <w:szCs w:val="24"/>
          <w:lang w:eastAsia="zh-CN"/>
        </w:rPr>
        <w:t>5</w:t>
      </w:r>
      <w:r>
        <w:rPr>
          <w:color w:val="auto"/>
          <w:sz w:val="24"/>
          <w:szCs w:val="24"/>
          <w:lang w:eastAsia="zh-CN"/>
        </w:rPr>
        <w:t>.与</w:t>
      </w:r>
      <w:r>
        <w:rPr>
          <w:rFonts w:hint="eastAsia"/>
          <w:color w:val="auto"/>
          <w:sz w:val="24"/>
          <w:szCs w:val="24"/>
          <w:lang w:eastAsia="zh-CN"/>
        </w:rPr>
        <w:t>采购人</w:t>
      </w:r>
      <w:r>
        <w:rPr>
          <w:color w:val="auto"/>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00DFCF90">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1</w:t>
      </w:r>
      <w:r>
        <w:rPr>
          <w:color w:val="auto"/>
          <w:sz w:val="24"/>
          <w:szCs w:val="24"/>
          <w:lang w:eastAsia="zh-CN"/>
        </w:rPr>
        <w:t>.</w:t>
      </w:r>
      <w:r>
        <w:rPr>
          <w:rFonts w:hint="eastAsia"/>
          <w:color w:val="auto"/>
          <w:sz w:val="24"/>
          <w:szCs w:val="24"/>
          <w:lang w:eastAsia="zh-CN"/>
        </w:rPr>
        <w:t>报名时间：202</w:t>
      </w:r>
      <w:r>
        <w:rPr>
          <w:rFonts w:hint="eastAsia"/>
          <w:color w:val="auto"/>
          <w:sz w:val="24"/>
          <w:szCs w:val="24"/>
          <w:lang w:val="en-US" w:eastAsia="zh-CN"/>
        </w:rPr>
        <w:t>5</w:t>
      </w:r>
      <w:r>
        <w:rPr>
          <w:rFonts w:hint="eastAsia"/>
          <w:color w:val="auto"/>
          <w:sz w:val="24"/>
          <w:szCs w:val="24"/>
          <w:lang w:eastAsia="zh-CN"/>
        </w:rPr>
        <w:t>年</w:t>
      </w:r>
      <w:r>
        <w:rPr>
          <w:rFonts w:hint="eastAsia"/>
          <w:color w:val="auto"/>
          <w:sz w:val="24"/>
          <w:szCs w:val="24"/>
          <w:lang w:val="en-US" w:eastAsia="zh-CN"/>
        </w:rPr>
        <w:t>12</w:t>
      </w:r>
      <w:r>
        <w:rPr>
          <w:rFonts w:hint="eastAsia"/>
          <w:color w:val="auto"/>
          <w:sz w:val="24"/>
          <w:szCs w:val="24"/>
          <w:lang w:eastAsia="zh-CN"/>
        </w:rPr>
        <w:t>月</w:t>
      </w:r>
      <w:r>
        <w:rPr>
          <w:rFonts w:hint="eastAsia"/>
          <w:color w:val="auto"/>
          <w:sz w:val="24"/>
          <w:szCs w:val="24"/>
          <w:lang w:val="en-US" w:eastAsia="zh-CN"/>
        </w:rPr>
        <w:t>19</w:t>
      </w:r>
      <w:r>
        <w:rPr>
          <w:rFonts w:hint="eastAsia"/>
          <w:color w:val="auto"/>
          <w:sz w:val="24"/>
          <w:szCs w:val="24"/>
          <w:lang w:eastAsia="zh-CN"/>
        </w:rPr>
        <w:t>日至202</w:t>
      </w:r>
      <w:r>
        <w:rPr>
          <w:rFonts w:hint="eastAsia"/>
          <w:color w:val="auto"/>
          <w:sz w:val="24"/>
          <w:szCs w:val="24"/>
          <w:lang w:val="en-US" w:eastAsia="zh-CN"/>
        </w:rPr>
        <w:t>6</w:t>
      </w:r>
      <w:r>
        <w:rPr>
          <w:rFonts w:hint="eastAsia"/>
          <w:color w:val="auto"/>
          <w:sz w:val="24"/>
          <w:szCs w:val="24"/>
          <w:lang w:eastAsia="zh-CN"/>
        </w:rPr>
        <w:t>年</w:t>
      </w:r>
      <w:r>
        <w:rPr>
          <w:rFonts w:hint="eastAsia"/>
          <w:color w:val="auto"/>
          <w:sz w:val="24"/>
          <w:szCs w:val="24"/>
          <w:lang w:val="en-US" w:eastAsia="zh-CN"/>
        </w:rPr>
        <w:t>1</w:t>
      </w:r>
      <w:r>
        <w:rPr>
          <w:rFonts w:hint="eastAsia"/>
          <w:color w:val="auto"/>
          <w:sz w:val="24"/>
          <w:szCs w:val="24"/>
          <w:lang w:eastAsia="zh-CN"/>
        </w:rPr>
        <w:t>月</w:t>
      </w:r>
      <w:r>
        <w:rPr>
          <w:rFonts w:hint="eastAsia"/>
          <w:color w:val="auto"/>
          <w:sz w:val="24"/>
          <w:szCs w:val="24"/>
          <w:lang w:val="en-US" w:eastAsia="zh-CN"/>
        </w:rPr>
        <w:t>18</w:t>
      </w:r>
      <w:r>
        <w:rPr>
          <w:rFonts w:hint="eastAsia"/>
          <w:color w:val="auto"/>
          <w:sz w:val="24"/>
          <w:szCs w:val="24"/>
          <w:lang w:eastAsia="zh-CN"/>
        </w:rPr>
        <w:t>日</w:t>
      </w:r>
    </w:p>
    <w:p w14:paraId="04898949">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2.报名方式：报名方式：参比人在报名时间内将报名文件发送至邮箱hjzhang@fhcpec.com.cn，报名文件包含：</w:t>
      </w:r>
    </w:p>
    <w:p w14:paraId="61889987">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（1）法定代表人授权委托书（扫描件，格式详见“附件：法定代表人授权委托书”）；</w:t>
      </w:r>
    </w:p>
    <w:p w14:paraId="52EC7CAA">
      <w:pPr>
        <w:tabs>
          <w:tab w:val="left" w:pos="709"/>
        </w:tabs>
        <w:spacing w:line="360" w:lineRule="auto"/>
        <w:ind w:firstLine="480" w:firstLineChars="200"/>
        <w:rPr>
          <w:rFonts w:hint="eastAsia"/>
          <w:color w:val="auto"/>
          <w:lang w:eastAsia="zh-CN"/>
        </w:rPr>
      </w:pPr>
      <w:r>
        <w:rPr>
          <w:rFonts w:hint="eastAsia"/>
          <w:color w:val="auto"/>
          <w:sz w:val="24"/>
          <w:szCs w:val="24"/>
          <w:lang w:eastAsia="zh-CN"/>
        </w:rPr>
        <w:t>（2）营业执照（加盖单位公章的扫描件）。</w:t>
      </w:r>
    </w:p>
    <w:p w14:paraId="4168296C">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3.获取采购文件：本项目采购文件请有意向参比人自行下载，不收取费用。（特别声明：未进行登记报名的参比人，其递交的参比文件将被拒收。）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w:t>
      </w:r>
      <w:r>
        <w:rPr>
          <w:rFonts w:hint="eastAsia"/>
          <w:color w:val="auto"/>
          <w:sz w:val="24"/>
          <w:szCs w:val="24"/>
          <w:lang w:eastAsia="zh-CN"/>
        </w:rPr>
        <w:t>送达时间为准）：202</w:t>
      </w:r>
      <w:r>
        <w:rPr>
          <w:rFonts w:hint="eastAsia"/>
          <w:color w:val="auto"/>
          <w:sz w:val="24"/>
          <w:szCs w:val="24"/>
          <w:lang w:val="en-US" w:eastAsia="zh-CN"/>
        </w:rPr>
        <w:t>6</w:t>
      </w:r>
      <w:r>
        <w:rPr>
          <w:rFonts w:hint="eastAsia"/>
          <w:color w:val="auto"/>
          <w:sz w:val="24"/>
          <w:szCs w:val="24"/>
          <w:lang w:eastAsia="zh-CN"/>
        </w:rPr>
        <w:t>年</w:t>
      </w:r>
      <w:r>
        <w:rPr>
          <w:rFonts w:hint="eastAsia"/>
          <w:color w:val="auto"/>
          <w:sz w:val="24"/>
          <w:szCs w:val="24"/>
          <w:lang w:val="en-US" w:eastAsia="zh-CN"/>
        </w:rPr>
        <w:t>1</w:t>
      </w:r>
      <w:r>
        <w:rPr>
          <w:rFonts w:hint="eastAsia"/>
          <w:color w:val="auto"/>
          <w:sz w:val="24"/>
          <w:szCs w:val="24"/>
          <w:lang w:eastAsia="zh-CN"/>
        </w:rPr>
        <w:t>月</w:t>
      </w:r>
      <w:r>
        <w:rPr>
          <w:rFonts w:hint="eastAsia"/>
          <w:color w:val="auto"/>
          <w:sz w:val="24"/>
          <w:szCs w:val="24"/>
          <w:lang w:val="en-US" w:eastAsia="zh-CN"/>
        </w:rPr>
        <w:t>19</w:t>
      </w:r>
      <w:r>
        <w:rPr>
          <w:rFonts w:hint="eastAsia"/>
          <w:color w:val="auto"/>
          <w:sz w:val="24"/>
          <w:szCs w:val="24"/>
          <w:lang w:eastAsia="zh-CN"/>
        </w:rPr>
        <w:t>日14时0分。</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/3921639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w:t>
      </w:r>
      <w:r>
        <w:rPr>
          <w:rFonts w:hint="eastAsia"/>
          <w:color w:val="000000" w:themeColor="text1"/>
          <w:sz w:val="24"/>
          <w:szCs w:val="24"/>
          <w:lang w:val="en-US" w:eastAsia="zh-CN"/>
        </w:rPr>
        <w:t>组</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color w:val="auto"/>
          <w:sz w:val="24"/>
          <w:szCs w:val="24"/>
          <w:lang w:eastAsia="zh-CN"/>
        </w:rPr>
      </w:pPr>
      <w:r>
        <w:rPr>
          <w:rFonts w:hint="eastAsia"/>
          <w:sz w:val="24"/>
          <w:szCs w:val="24"/>
          <w:lang w:eastAsia="zh-CN"/>
        </w:rPr>
        <w:t xml:space="preserve">                                          </w:t>
      </w:r>
      <w:r>
        <w:rPr>
          <w:rFonts w:hint="eastAsia"/>
          <w:color w:val="auto"/>
          <w:sz w:val="24"/>
          <w:szCs w:val="24"/>
          <w:lang w:eastAsia="zh-CN"/>
        </w:rPr>
        <w:t xml:space="preserve"> 福建福海创石油化工有限公司 </w:t>
      </w:r>
    </w:p>
    <w:p w14:paraId="1BB433C0">
      <w:pPr>
        <w:spacing w:line="360" w:lineRule="auto"/>
        <w:ind w:firstLine="480" w:firstLineChars="200"/>
        <w:rPr>
          <w:color w:val="auto"/>
          <w:sz w:val="24"/>
          <w:szCs w:val="24"/>
          <w:lang w:eastAsia="zh-CN"/>
        </w:rPr>
      </w:pPr>
      <w:r>
        <w:rPr>
          <w:rFonts w:hint="eastAsia"/>
          <w:color w:val="auto"/>
          <w:sz w:val="24"/>
          <w:szCs w:val="24"/>
          <w:lang w:eastAsia="zh-CN"/>
        </w:rPr>
        <w:t xml:space="preserve">                                                  </w:t>
      </w:r>
      <w:r>
        <w:rPr>
          <w:color w:val="auto"/>
          <w:sz w:val="24"/>
          <w:szCs w:val="24"/>
          <w:lang w:eastAsia="zh-CN"/>
        </w:rPr>
        <w:t>2025</w:t>
      </w:r>
      <w:r>
        <w:rPr>
          <w:rFonts w:hint="eastAsia"/>
          <w:color w:val="auto"/>
          <w:sz w:val="24"/>
          <w:szCs w:val="24"/>
          <w:lang w:eastAsia="zh-CN"/>
        </w:rPr>
        <w:t>年</w:t>
      </w:r>
      <w:r>
        <w:rPr>
          <w:color w:val="auto"/>
          <w:sz w:val="24"/>
          <w:szCs w:val="24"/>
          <w:lang w:eastAsia="zh-CN"/>
        </w:rPr>
        <w:t>12</w:t>
      </w:r>
      <w:r>
        <w:rPr>
          <w:rFonts w:hint="eastAsia"/>
          <w:color w:val="auto"/>
          <w:sz w:val="24"/>
          <w:szCs w:val="24"/>
          <w:lang w:eastAsia="zh-CN"/>
        </w:rPr>
        <w:t>月</w:t>
      </w:r>
      <w:r>
        <w:rPr>
          <w:rFonts w:hint="eastAsia"/>
          <w:color w:val="auto"/>
          <w:sz w:val="24"/>
          <w:szCs w:val="24"/>
          <w:lang w:val="en-US" w:eastAsia="zh-CN"/>
        </w:rPr>
        <w:t>18</w:t>
      </w:r>
      <w:r>
        <w:rPr>
          <w:rFonts w:hint="eastAsia"/>
          <w:color w:val="auto"/>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5"/>
      </w:pPr>
    </w:p>
    <w:p w14:paraId="0480057A">
      <w:pPr>
        <w:pStyle w:val="55"/>
      </w:pPr>
    </w:p>
    <w:p w14:paraId="3E5EC0CF">
      <w:pPr>
        <w:pStyle w:val="55"/>
      </w:pPr>
    </w:p>
    <w:p w14:paraId="54179479">
      <w:pPr>
        <w:pStyle w:val="55"/>
      </w:pPr>
    </w:p>
    <w:p w14:paraId="27A7C68B">
      <w:pPr>
        <w:pStyle w:val="55"/>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w:t>
      </w:r>
      <w:r>
        <w:rPr>
          <w:rFonts w:hint="eastAsia" w:hAnsi="Calibri" w:cs="黑体"/>
          <w:color w:val="auto"/>
          <w:sz w:val="24"/>
          <w:szCs w:val="24"/>
          <w:lang w:eastAsia="zh-CN"/>
        </w:rPr>
        <w:t>的</w:t>
      </w:r>
      <w:r>
        <w:rPr>
          <w:rFonts w:hint="eastAsia" w:hAnsi="Calibri" w:cs="黑体"/>
          <w:sz w:val="24"/>
          <w:szCs w:val="24"/>
          <w:u w:val="single"/>
          <w:lang w:eastAsia="zh-CN"/>
        </w:rPr>
        <w:t xml:space="preserve"> 福建福海创石油化工有限公司PTA装置先进控制（APC）软件包采购及工程服务（项目编号：FAP1-CGSQ-202511-003）</w:t>
      </w:r>
      <w:r>
        <w:rPr>
          <w:rFonts w:hint="eastAsia" w:hAnsi="Calibri" w:cs="黑体"/>
          <w:sz w:val="24"/>
          <w:szCs w:val="24"/>
          <w:lang w:eastAsia="zh-CN"/>
        </w:rPr>
        <w:t>的询比活动，并代表我方全权处理一切与之有关的具体事务和签署相关文件，我均予以承认。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5"/>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59FC1B">
      <w:pPr>
        <w:pStyle w:val="19"/>
        <w:spacing w:line="360" w:lineRule="auto"/>
        <w:ind w:right="121"/>
        <w:jc w:val="both"/>
        <w:rPr>
          <w:color w:val="auto"/>
          <w:lang w:eastAsia="zh-CN"/>
        </w:rPr>
      </w:pPr>
      <w:r>
        <w:rPr>
          <w:rFonts w:hint="eastAsia"/>
          <w:lang w:eastAsia="zh-CN"/>
        </w:rPr>
        <w:t xml:space="preserve">    1.项目</w:t>
      </w:r>
      <w:r>
        <w:rPr>
          <w:lang w:eastAsia="zh-CN"/>
        </w:rPr>
        <w:t>名称：</w:t>
      </w:r>
      <w:r>
        <w:rPr>
          <w:rFonts w:hint="eastAsia"/>
          <w:color w:val="auto"/>
          <w:lang w:eastAsia="zh-CN"/>
        </w:rPr>
        <w:t>福建福海创石油化工有限公司PTA装置先进控制（APC）软件包采购及工程服务</w:t>
      </w:r>
    </w:p>
    <w:p w14:paraId="48298414">
      <w:pPr>
        <w:pStyle w:val="19"/>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14:paraId="7BBCDF29">
      <w:pPr>
        <w:pStyle w:val="19"/>
        <w:spacing w:line="360" w:lineRule="auto"/>
        <w:ind w:right="121"/>
        <w:jc w:val="both"/>
        <w:rPr>
          <w:lang w:eastAsia="zh-CN"/>
        </w:rPr>
      </w:pPr>
      <w:r>
        <w:rPr>
          <w:rFonts w:hint="eastAsia"/>
          <w:lang w:eastAsia="zh-CN"/>
        </w:rPr>
        <w:t xml:space="preserve">    3.承包方式：</w:t>
      </w:r>
      <w:r>
        <w:rPr>
          <w:rFonts w:hint="eastAsia"/>
          <w:color w:val="auto"/>
          <w:lang w:eastAsia="zh-CN"/>
        </w:rPr>
        <w:t>固定总价包干</w:t>
      </w:r>
    </w:p>
    <w:p w14:paraId="17CA1751">
      <w:pPr>
        <w:pStyle w:val="19"/>
        <w:spacing w:line="360" w:lineRule="auto"/>
        <w:ind w:right="121"/>
        <w:jc w:val="both"/>
        <w:rPr>
          <w:lang w:eastAsia="zh-CN"/>
        </w:rPr>
      </w:pPr>
      <w:r>
        <w:rPr>
          <w:rFonts w:hint="eastAsia"/>
          <w:lang w:eastAsia="zh-CN"/>
        </w:rPr>
        <w:t xml:space="preserve">    4.项目工作范围及技术要求：见附件发包说明</w:t>
      </w:r>
    </w:p>
    <w:p w14:paraId="3EED35CC">
      <w:pPr>
        <w:pStyle w:val="19"/>
        <w:spacing w:line="360" w:lineRule="auto"/>
        <w:ind w:right="121"/>
        <w:jc w:val="both"/>
        <w:rPr>
          <w:lang w:eastAsia="zh-CN"/>
        </w:rPr>
      </w:pPr>
      <w:r>
        <w:rPr>
          <w:rFonts w:hint="eastAsia"/>
          <w:lang w:eastAsia="zh-CN"/>
        </w:rPr>
        <w:t xml:space="preserve">    5.项目联系人</w:t>
      </w:r>
    </w:p>
    <w:p w14:paraId="749F06A7">
      <w:pPr>
        <w:pStyle w:val="19"/>
        <w:spacing w:line="360" w:lineRule="auto"/>
        <w:ind w:right="121"/>
        <w:jc w:val="both"/>
        <w:rPr>
          <w:rFonts w:hint="default"/>
          <w:color w:val="FF0000"/>
          <w:lang w:val="en-US" w:eastAsia="zh-CN"/>
        </w:rPr>
      </w:pPr>
      <w:r>
        <w:rPr>
          <w:rFonts w:hint="eastAsia"/>
          <w:lang w:eastAsia="zh-CN"/>
        </w:rPr>
        <w:t xml:space="preserve"> </w:t>
      </w:r>
      <w:r>
        <w:rPr>
          <w:rFonts w:hint="eastAsia"/>
          <w:color w:val="FF0000"/>
          <w:lang w:eastAsia="zh-CN"/>
        </w:rPr>
        <w:t xml:space="preserve">   </w:t>
      </w:r>
      <w:r>
        <w:rPr>
          <w:rFonts w:hint="eastAsia"/>
          <w:lang w:eastAsia="zh-CN"/>
        </w:rPr>
        <w:t>技术联系人：</w:t>
      </w:r>
      <w:r>
        <w:rPr>
          <w:rFonts w:hint="eastAsia"/>
          <w:lang w:val="en-US" w:eastAsia="zh-CN"/>
        </w:rPr>
        <w:t>彭超群0596-6088422，</w:t>
      </w:r>
      <w:r>
        <w:rPr>
          <w:rFonts w:hint="eastAsia"/>
          <w:lang w:eastAsia="zh-CN"/>
        </w:rPr>
        <w:t>13666017752，cqpeng@fhcpec.com.cn</w:t>
      </w:r>
    </w:p>
    <w:p w14:paraId="008EC890">
      <w:pPr>
        <w:pStyle w:val="19"/>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19"/>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19"/>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19"/>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19"/>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19"/>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19"/>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19"/>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19"/>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19"/>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19"/>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6E609771">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2D4923B9">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.参</w:t>
      </w:r>
      <w:r>
        <w:rPr>
          <w:rFonts w:hint="eastAsia"/>
          <w:sz w:val="24"/>
          <w:szCs w:val="24"/>
          <w:lang w:eastAsia="zh-CN"/>
        </w:rPr>
        <w:t>比</w:t>
      </w:r>
      <w:r>
        <w:rPr>
          <w:sz w:val="24"/>
          <w:szCs w:val="24"/>
          <w:lang w:eastAsia="zh-CN"/>
        </w:rPr>
        <w:t>人</w:t>
      </w:r>
      <w:r>
        <w:rPr>
          <w:rFonts w:hint="eastAsia"/>
          <w:sz w:val="24"/>
          <w:szCs w:val="24"/>
          <w:lang w:eastAsia="zh-CN"/>
        </w:rPr>
        <w:t>具有APC产品的自主产品权（</w:t>
      </w:r>
      <w:r>
        <w:rPr>
          <w:rFonts w:hint="eastAsia"/>
          <w:sz w:val="24"/>
          <w:szCs w:val="24"/>
          <w:lang w:val="en-US" w:eastAsia="zh-CN"/>
        </w:rPr>
        <w:t>提供软件著作权证书等证明文件</w:t>
      </w:r>
      <w:r>
        <w:rPr>
          <w:rFonts w:hint="eastAsia"/>
          <w:sz w:val="24"/>
          <w:szCs w:val="24"/>
          <w:lang w:eastAsia="zh-CN"/>
        </w:rPr>
        <w:t>），并须提供近五年（自2020年1月1日起至投标截止日）内至少两项在石化</w:t>
      </w:r>
      <w:r>
        <w:rPr>
          <w:rFonts w:hint="eastAsia"/>
          <w:sz w:val="24"/>
          <w:szCs w:val="24"/>
          <w:lang w:val="en-US" w:eastAsia="zh-CN"/>
        </w:rPr>
        <w:t>行业</w:t>
      </w:r>
      <w:r>
        <w:rPr>
          <w:rFonts w:hint="eastAsia"/>
          <w:sz w:val="24"/>
          <w:szCs w:val="24"/>
          <w:lang w:eastAsia="zh-CN"/>
        </w:rPr>
        <w:t>实施的APC先进控制系统成功应用案例的证明材料（包括项目合同及验收文件）。</w:t>
      </w:r>
    </w:p>
    <w:p w14:paraId="03E28578">
      <w:pPr>
        <w:tabs>
          <w:tab w:val="left" w:pos="709"/>
        </w:tabs>
        <w:spacing w:line="360" w:lineRule="auto"/>
        <w:ind w:firstLine="480" w:firstLineChars="200"/>
        <w:rPr>
          <w:rFonts w:hint="eastAsia"/>
          <w:sz w:val="24"/>
          <w:szCs w:val="24"/>
          <w:lang w:val="en-US" w:eastAsia="zh-CN"/>
        </w:rPr>
      </w:pPr>
      <w:r>
        <w:rPr>
          <w:sz w:val="24"/>
          <w:szCs w:val="24"/>
          <w:lang w:eastAsia="zh-CN"/>
        </w:rPr>
        <w:t>3.参</w:t>
      </w:r>
      <w:r>
        <w:rPr>
          <w:rFonts w:hint="eastAsia"/>
          <w:sz w:val="24"/>
          <w:szCs w:val="24"/>
          <w:lang w:eastAsia="zh-CN"/>
        </w:rPr>
        <w:t>比</w:t>
      </w:r>
      <w:r>
        <w:rPr>
          <w:sz w:val="24"/>
          <w:szCs w:val="24"/>
          <w:lang w:eastAsia="zh-CN"/>
        </w:rPr>
        <w:t>人</w:t>
      </w:r>
      <w:r>
        <w:rPr>
          <w:rFonts w:hint="eastAsia"/>
          <w:sz w:val="24"/>
          <w:szCs w:val="24"/>
          <w:lang w:val="en-US" w:eastAsia="zh-CN"/>
        </w:rPr>
        <w:t>项目经理需具备以下基本条件：</w:t>
      </w:r>
    </w:p>
    <w:p w14:paraId="539C5DF1">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①具有至少承担过5套大型石油化工企业先进控制相关项目的实施经验；</w:t>
      </w:r>
    </w:p>
    <w:p w14:paraId="7E881920">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②在投标人公司在职5年以上，项目管理经验10年以上。</w:t>
      </w:r>
    </w:p>
    <w:p w14:paraId="66C9EF45">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备注：需要提供项目经理履历，社保缴费证明以及业绩证明材料，业绩证明材料未明确项目经理的，应补充提交业主出具的证明扫描件或行政主管部门颁发的能证明项目经理的相关证书扫描件，上述扫描件应加盖投标人单位公章，否则其项目经理的业绩无效。</w:t>
      </w:r>
    </w:p>
    <w:p w14:paraId="621D6892">
      <w:pPr>
        <w:tabs>
          <w:tab w:val="left" w:pos="709"/>
        </w:tabs>
        <w:spacing w:line="360" w:lineRule="auto"/>
        <w:ind w:firstLine="480" w:firstLineChars="200"/>
        <w:rPr>
          <w:color w:val="auto"/>
          <w:sz w:val="24"/>
          <w:szCs w:val="24"/>
          <w:lang w:eastAsia="zh-CN"/>
        </w:rPr>
      </w:pPr>
      <w:r>
        <w:rPr>
          <w:color w:val="auto"/>
          <w:sz w:val="24"/>
          <w:szCs w:val="24"/>
          <w:lang w:eastAsia="zh-CN"/>
        </w:rPr>
        <w:t>4</w:t>
      </w:r>
      <w:r>
        <w:rPr>
          <w:rFonts w:hint="eastAsia"/>
          <w:color w:val="auto"/>
          <w:sz w:val="24"/>
          <w:szCs w:val="24"/>
          <w:lang w:eastAsia="zh-CN"/>
        </w:rPr>
        <w:t>.</w:t>
      </w:r>
      <w:r>
        <w:rPr>
          <w:color w:val="auto"/>
          <w:sz w:val="24"/>
          <w:szCs w:val="24"/>
          <w:lang w:eastAsia="zh-CN"/>
        </w:rPr>
        <w:t>参</w:t>
      </w:r>
      <w:r>
        <w:rPr>
          <w:rFonts w:hint="eastAsia"/>
          <w:color w:val="auto"/>
          <w:sz w:val="24"/>
          <w:szCs w:val="24"/>
          <w:lang w:eastAsia="zh-CN"/>
        </w:rPr>
        <w:t>比</w:t>
      </w:r>
      <w:r>
        <w:rPr>
          <w:color w:val="auto"/>
          <w:sz w:val="24"/>
          <w:szCs w:val="24"/>
          <w:lang w:eastAsia="zh-CN"/>
        </w:rPr>
        <w:t>人没有失信黑名单记录（以最高院失信被执行人系统发布信息为准）</w:t>
      </w:r>
      <w:r>
        <w:rPr>
          <w:rFonts w:hint="eastAsia"/>
          <w:color w:val="auto"/>
          <w:sz w:val="24"/>
          <w:szCs w:val="24"/>
          <w:lang w:eastAsia="zh-CN"/>
        </w:rPr>
        <w:t>。</w:t>
      </w:r>
    </w:p>
    <w:p w14:paraId="55EA117F">
      <w:pPr>
        <w:tabs>
          <w:tab w:val="left" w:pos="709"/>
        </w:tabs>
        <w:spacing w:line="360" w:lineRule="auto"/>
        <w:ind w:firstLine="480" w:firstLineChars="200"/>
        <w:rPr>
          <w:color w:val="000000" w:themeColor="text1"/>
          <w:sz w:val="24"/>
          <w:szCs w:val="24"/>
          <w:lang w:eastAsia="zh-CN"/>
        </w:rPr>
      </w:pPr>
      <w:r>
        <w:rPr>
          <w:rFonts w:hint="eastAsia"/>
          <w:color w:val="auto"/>
          <w:sz w:val="24"/>
          <w:szCs w:val="24"/>
          <w:lang w:eastAsia="zh-CN"/>
        </w:rPr>
        <w:t>5</w:t>
      </w:r>
      <w:r>
        <w:rPr>
          <w:color w:val="auto"/>
          <w:sz w:val="24"/>
          <w:szCs w:val="24"/>
          <w:lang w:eastAsia="zh-CN"/>
        </w:rPr>
        <w:t>.与</w:t>
      </w:r>
      <w:r>
        <w:rPr>
          <w:rFonts w:hint="eastAsia"/>
          <w:color w:val="auto"/>
          <w:sz w:val="24"/>
          <w:szCs w:val="24"/>
          <w:lang w:eastAsia="zh-CN"/>
        </w:rPr>
        <w:t>采购人</w:t>
      </w:r>
      <w:r>
        <w:rPr>
          <w:color w:val="auto"/>
          <w:sz w:val="24"/>
          <w:szCs w:val="24"/>
          <w:lang w:eastAsia="zh-CN"/>
        </w:rPr>
        <w:t>无诉讼纠纷。</w:t>
      </w:r>
    </w:p>
    <w:p w14:paraId="584E60F4">
      <w:pPr>
        <w:pStyle w:val="19"/>
        <w:spacing w:line="360" w:lineRule="auto"/>
        <w:ind w:right="121"/>
        <w:jc w:val="both"/>
        <w:rPr>
          <w:b/>
          <w:color w:val="auto"/>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51EA630E">
      <w:pPr>
        <w:pStyle w:val="19"/>
        <w:spacing w:line="360" w:lineRule="auto"/>
        <w:ind w:right="121"/>
        <w:jc w:val="both"/>
        <w:rPr>
          <w:color w:val="auto"/>
          <w:lang w:eastAsia="zh-CN"/>
        </w:rPr>
      </w:pPr>
      <w:r>
        <w:rPr>
          <w:rFonts w:hint="eastAsia"/>
          <w:color w:val="auto"/>
          <w:lang w:eastAsia="zh-CN"/>
        </w:rPr>
        <w:t xml:space="preserve">    1.参比单位应缴纳参比保证金，保证金金额</w:t>
      </w:r>
      <w:r>
        <w:rPr>
          <w:rFonts w:hint="eastAsia"/>
          <w:color w:val="auto"/>
          <w:lang w:val="en-US" w:eastAsia="zh-CN"/>
        </w:rPr>
        <w:t>30000</w:t>
      </w:r>
      <w:r>
        <w:rPr>
          <w:rFonts w:hint="eastAsia"/>
          <w:color w:val="auto"/>
          <w:lang w:eastAsia="zh-CN"/>
        </w:rPr>
        <w:t>元整，参比单位应按照要求从参比单位基本账户转入采购单位的账户，比选单位账户信息如下：</w:t>
      </w:r>
    </w:p>
    <w:p w14:paraId="27E6F7F0">
      <w:pPr>
        <w:pStyle w:val="19"/>
        <w:spacing w:line="360" w:lineRule="auto"/>
        <w:ind w:right="121"/>
        <w:jc w:val="both"/>
        <w:rPr>
          <w:color w:val="auto"/>
          <w:lang w:eastAsia="zh-CN"/>
        </w:rPr>
      </w:pPr>
      <w:r>
        <w:rPr>
          <w:rFonts w:hint="eastAsia"/>
          <w:color w:val="auto"/>
          <w:lang w:eastAsia="zh-CN"/>
        </w:rPr>
        <w:t xml:space="preserve">    开户名称：福建福海创石油化工有限公司</w:t>
      </w:r>
    </w:p>
    <w:p w14:paraId="62C28295">
      <w:pPr>
        <w:pStyle w:val="19"/>
        <w:spacing w:line="360" w:lineRule="auto"/>
        <w:ind w:right="121"/>
        <w:jc w:val="both"/>
        <w:rPr>
          <w:color w:val="auto"/>
          <w:lang w:eastAsia="zh-CN"/>
        </w:rPr>
      </w:pPr>
      <w:r>
        <w:rPr>
          <w:rFonts w:hint="eastAsia"/>
          <w:color w:val="auto"/>
          <w:lang w:eastAsia="zh-CN"/>
        </w:rPr>
        <w:t xml:space="preserve">    开户银行：中国银行漳州古雷经济开发区支行</w:t>
      </w:r>
    </w:p>
    <w:p w14:paraId="5B188A82">
      <w:pPr>
        <w:pStyle w:val="19"/>
        <w:spacing w:line="360" w:lineRule="auto"/>
        <w:ind w:right="121"/>
        <w:jc w:val="both"/>
        <w:rPr>
          <w:color w:val="auto"/>
          <w:lang w:eastAsia="zh-CN"/>
        </w:rPr>
      </w:pPr>
      <w:r>
        <w:rPr>
          <w:rFonts w:hint="eastAsia"/>
          <w:color w:val="auto"/>
          <w:lang w:eastAsia="zh-CN"/>
        </w:rPr>
        <w:t xml:space="preserve">    帐  号：</w:t>
      </w:r>
      <w:r>
        <w:rPr>
          <w:color w:val="auto"/>
          <w:lang w:eastAsia="zh-CN"/>
        </w:rPr>
        <w:t>406574816628</w:t>
      </w:r>
    </w:p>
    <w:p w14:paraId="57868B25">
      <w:pPr>
        <w:pStyle w:val="19"/>
        <w:spacing w:line="360" w:lineRule="auto"/>
        <w:ind w:right="121"/>
        <w:jc w:val="both"/>
        <w:rPr>
          <w:color w:val="auto"/>
          <w:lang w:eastAsia="zh-CN"/>
        </w:rPr>
      </w:pPr>
      <w:r>
        <w:rPr>
          <w:rFonts w:hint="eastAsia"/>
          <w:color w:val="auto"/>
          <w:lang w:eastAsia="zh-CN"/>
        </w:rPr>
        <w:t xml:space="preserve">    注明用途：PTA装置先进控制（APC）软件包采购及工程服务参比</w:t>
      </w:r>
      <w:r>
        <w:rPr>
          <w:color w:val="auto"/>
          <w:lang w:eastAsia="zh-CN"/>
        </w:rPr>
        <w:t>保证金</w:t>
      </w:r>
    </w:p>
    <w:p w14:paraId="5F94F630">
      <w:pPr>
        <w:pStyle w:val="19"/>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19"/>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19"/>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19"/>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19"/>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19"/>
        <w:spacing w:line="360" w:lineRule="auto"/>
        <w:ind w:right="121"/>
        <w:jc w:val="both"/>
        <w:rPr>
          <w:lang w:eastAsia="zh-CN"/>
        </w:rPr>
      </w:pPr>
      <w:r>
        <w:rPr>
          <w:rFonts w:hint="eastAsia"/>
          <w:lang w:eastAsia="zh-CN"/>
        </w:rPr>
        <w:t xml:space="preserve">    5.如有下列情况发生，将被没收参比保证金：</w:t>
      </w:r>
    </w:p>
    <w:p w14:paraId="4AE5A215">
      <w:pPr>
        <w:pStyle w:val="19"/>
        <w:spacing w:line="360" w:lineRule="auto"/>
        <w:ind w:right="121"/>
        <w:jc w:val="both"/>
        <w:rPr>
          <w:lang w:eastAsia="zh-CN"/>
        </w:rPr>
      </w:pPr>
      <w:r>
        <w:rPr>
          <w:rFonts w:hint="eastAsia"/>
          <w:lang w:eastAsia="zh-CN"/>
        </w:rPr>
        <w:t xml:space="preserve">    （1）参比单位在参选有效期内撤回询比文件；</w:t>
      </w:r>
    </w:p>
    <w:p w14:paraId="6687E022">
      <w:pPr>
        <w:pStyle w:val="19"/>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110EB45D">
      <w:pPr>
        <w:pStyle w:val="19"/>
        <w:spacing w:line="360" w:lineRule="auto"/>
        <w:ind w:right="121"/>
        <w:jc w:val="both"/>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auto"/>
          <w:lang w:eastAsia="zh-CN"/>
        </w:rPr>
        <w:t>时间</w:t>
      </w:r>
      <w:r>
        <w:rPr>
          <w:rFonts w:hint="eastAsia"/>
          <w:color w:val="auto"/>
          <w:lang w:eastAsia="zh-CN"/>
        </w:rPr>
        <w:t>：20</w:t>
      </w:r>
      <w:r>
        <w:rPr>
          <w:rFonts w:hint="eastAsia"/>
          <w:color w:val="auto"/>
          <w:lang w:val="en-US" w:eastAsia="zh-CN"/>
        </w:rPr>
        <w:t>26</w:t>
      </w:r>
      <w:r>
        <w:rPr>
          <w:rFonts w:hint="eastAsia"/>
          <w:color w:val="auto"/>
          <w:lang w:eastAsia="zh-CN"/>
        </w:rPr>
        <w:t>年</w:t>
      </w:r>
      <w:r>
        <w:rPr>
          <w:rFonts w:hint="eastAsia"/>
          <w:color w:val="auto"/>
          <w:lang w:val="en-US" w:eastAsia="zh-CN"/>
        </w:rPr>
        <w:t>1</w:t>
      </w:r>
      <w:r>
        <w:rPr>
          <w:rFonts w:hint="eastAsia"/>
          <w:color w:val="auto"/>
          <w:lang w:eastAsia="zh-CN"/>
        </w:rPr>
        <w:t>月</w:t>
      </w:r>
      <w:r>
        <w:rPr>
          <w:rFonts w:hint="eastAsia"/>
          <w:color w:val="auto"/>
          <w:lang w:val="en-US" w:eastAsia="zh-CN"/>
        </w:rPr>
        <w:t>19</w:t>
      </w:r>
      <w:bookmarkStart w:id="2" w:name="_GoBack"/>
      <w:bookmarkEnd w:id="2"/>
      <w:r>
        <w:rPr>
          <w:rFonts w:hint="eastAsia"/>
          <w:color w:val="auto"/>
          <w:lang w:eastAsia="zh-CN"/>
        </w:rPr>
        <w:t>日14时0分。</w:t>
      </w:r>
    </w:p>
    <w:p w14:paraId="7C2A1CFD">
      <w:pPr>
        <w:pStyle w:val="19"/>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color w:val="000000" w:themeColor="text1"/>
          <w:lang w:eastAsia="zh-CN"/>
        </w:rPr>
        <w:t>/3921639</w:t>
      </w:r>
      <w:r>
        <w:rPr>
          <w:rFonts w:hint="eastAsia"/>
          <w:lang w:eastAsia="zh-CN"/>
        </w:rPr>
        <w:t xml:space="preserve"> 。</w:t>
      </w:r>
    </w:p>
    <w:p w14:paraId="76A70181">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19"/>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19"/>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19"/>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19"/>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4888CBF9">
      <w:pPr>
        <w:pStyle w:val="19"/>
        <w:spacing w:line="360" w:lineRule="auto"/>
        <w:ind w:right="121" w:firstLine="360" w:firstLineChars="150"/>
        <w:jc w:val="both"/>
        <w:rPr>
          <w:color w:val="auto"/>
          <w:lang w:eastAsia="zh-CN"/>
        </w:rPr>
      </w:pPr>
      <w:r>
        <w:rPr>
          <w:rFonts w:hint="eastAsia"/>
          <w:color w:val="auto"/>
          <w:lang w:eastAsia="zh-CN"/>
        </w:rPr>
        <w:t>（1）</w:t>
      </w:r>
      <w:r>
        <w:rPr>
          <w:color w:val="auto"/>
          <w:lang w:eastAsia="zh-CN"/>
        </w:rPr>
        <w:t>参</w:t>
      </w:r>
      <w:r>
        <w:rPr>
          <w:rFonts w:hint="eastAsia"/>
          <w:color w:val="auto"/>
          <w:lang w:eastAsia="zh-CN"/>
        </w:rPr>
        <w:t>比</w:t>
      </w:r>
      <w:r>
        <w:rPr>
          <w:color w:val="auto"/>
          <w:lang w:eastAsia="zh-CN"/>
        </w:rPr>
        <w:t>单位企业概况（企业简介、经营状况、近5年业绩）、营业执照</w:t>
      </w:r>
      <w:r>
        <w:rPr>
          <w:rFonts w:hint="eastAsia"/>
          <w:color w:val="auto"/>
          <w:lang w:eastAsia="zh-CN"/>
        </w:rPr>
        <w:t>、</w:t>
      </w:r>
      <w:r>
        <w:rPr>
          <w:rFonts w:hint="eastAsia"/>
          <w:color w:val="auto"/>
          <w:lang w:val="en-US" w:eastAsia="zh-CN"/>
        </w:rPr>
        <w:t>自主产品权证明文件（</w:t>
      </w:r>
      <w:r>
        <w:rPr>
          <w:rFonts w:hint="eastAsia"/>
          <w:color w:val="auto"/>
          <w:sz w:val="24"/>
          <w:szCs w:val="24"/>
          <w:lang w:val="en-US" w:eastAsia="zh-CN"/>
        </w:rPr>
        <w:t>提供软件著作权证书等证明文件</w:t>
      </w:r>
      <w:r>
        <w:rPr>
          <w:rFonts w:hint="eastAsia"/>
          <w:color w:val="auto"/>
          <w:lang w:val="en-US" w:eastAsia="zh-CN"/>
        </w:rPr>
        <w:t>）</w:t>
      </w:r>
      <w:r>
        <w:rPr>
          <w:color w:val="auto"/>
          <w:lang w:eastAsia="zh-CN"/>
        </w:rPr>
        <w:t>等。</w:t>
      </w:r>
    </w:p>
    <w:p w14:paraId="244A8E69">
      <w:pPr>
        <w:pStyle w:val="19"/>
        <w:spacing w:line="360" w:lineRule="auto"/>
        <w:ind w:right="121" w:firstLine="360" w:firstLineChars="150"/>
        <w:jc w:val="both"/>
        <w:rPr>
          <w:rFonts w:hint="eastAsia"/>
          <w:color w:val="auto"/>
          <w:lang w:eastAsia="zh-CN"/>
        </w:rPr>
      </w:pPr>
      <w:r>
        <w:rPr>
          <w:rFonts w:hint="eastAsia"/>
          <w:color w:val="auto"/>
          <w:lang w:eastAsia="zh-CN"/>
        </w:rPr>
        <w:t>（2）项目</w:t>
      </w:r>
      <w:r>
        <w:rPr>
          <w:rFonts w:hint="eastAsia"/>
          <w:color w:val="auto"/>
          <w:lang w:val="en-US" w:eastAsia="zh-CN"/>
        </w:rPr>
        <w:t>经理、项目实施负责人</w:t>
      </w:r>
      <w:r>
        <w:rPr>
          <w:rFonts w:hint="eastAsia"/>
          <w:color w:val="auto"/>
          <w:lang w:eastAsia="zh-CN"/>
        </w:rPr>
        <w:t>简历及</w:t>
      </w:r>
      <w:r>
        <w:rPr>
          <w:rFonts w:hint="eastAsia"/>
          <w:color w:val="auto"/>
          <w:lang w:val="en-US" w:eastAsia="zh-CN"/>
        </w:rPr>
        <w:t>业绩证明文件</w:t>
      </w:r>
      <w:r>
        <w:rPr>
          <w:rFonts w:hint="eastAsia"/>
          <w:color w:val="auto"/>
          <w:lang w:eastAsia="zh-CN"/>
        </w:rPr>
        <w:t>。</w:t>
      </w:r>
    </w:p>
    <w:p w14:paraId="5C0D494F">
      <w:pPr>
        <w:pStyle w:val="19"/>
        <w:spacing w:line="360" w:lineRule="auto"/>
        <w:ind w:right="121" w:firstLine="360" w:firstLineChars="150"/>
        <w:jc w:val="both"/>
        <w:rPr>
          <w:rFonts w:hint="eastAsia"/>
          <w:color w:val="auto"/>
          <w:lang w:eastAsia="zh-CN"/>
        </w:rPr>
      </w:pPr>
      <w:r>
        <w:rPr>
          <w:rFonts w:hint="eastAsia"/>
          <w:color w:val="auto"/>
          <w:lang w:eastAsia="zh-CN"/>
        </w:rPr>
        <w:t>备注：需要提供项目经理履历，社保缴费证明以及业绩证明材料，业绩证明材料未明确项目经理的，应补充提交业主出具的证明扫描件或行政主管部门颁发的能证明项目经理的相关证书扫描件，上述扫描件应加盖投标人单位公章，否则其项目经理的业绩无效。</w:t>
      </w:r>
    </w:p>
    <w:p w14:paraId="6B1D0F7E">
      <w:pPr>
        <w:pStyle w:val="19"/>
        <w:spacing w:line="360" w:lineRule="auto"/>
        <w:ind w:right="121" w:firstLine="360" w:firstLineChars="150"/>
        <w:jc w:val="both"/>
        <w:rPr>
          <w:rFonts w:hint="eastAsia"/>
          <w:color w:val="auto"/>
          <w:lang w:eastAsia="zh-CN"/>
        </w:rPr>
      </w:pPr>
      <w:r>
        <w:rPr>
          <w:rFonts w:hint="eastAsia"/>
          <w:color w:val="auto"/>
          <w:lang w:eastAsia="zh-CN"/>
        </w:rPr>
        <w:t>需要提供项目实施负责人履历，业绩证明材料，业绩证明材料未明确项目实施负责人的，应补充提交业主出具的证明扫描件或行政主管部门颁发的能证明项目实施负责人的相关证书扫描件，上述扫描件应加盖投标人单位公章，否则其项目实施负责人的业绩无效。</w:t>
      </w:r>
    </w:p>
    <w:p w14:paraId="716E9ACD">
      <w:pPr>
        <w:pStyle w:val="19"/>
        <w:spacing w:line="360" w:lineRule="auto"/>
        <w:ind w:right="121" w:firstLine="360" w:firstLineChars="150"/>
        <w:jc w:val="both"/>
        <w:rPr>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）技术方案。</w:t>
      </w:r>
    </w:p>
    <w:p w14:paraId="381A12AA">
      <w:pPr>
        <w:pStyle w:val="19"/>
        <w:spacing w:line="360" w:lineRule="auto"/>
        <w:ind w:right="121" w:firstLine="360" w:firstLineChars="150"/>
        <w:jc w:val="both"/>
        <w:rPr>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）项目组织及实施方案。</w:t>
      </w:r>
    </w:p>
    <w:p w14:paraId="5B4AE6E3">
      <w:pPr>
        <w:pStyle w:val="19"/>
        <w:spacing w:line="360" w:lineRule="auto"/>
        <w:ind w:right="121" w:firstLine="360" w:firstLineChars="150"/>
        <w:jc w:val="both"/>
        <w:rPr>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sz w:val="24"/>
          <w:szCs w:val="24"/>
          <w:lang w:eastAsia="zh-CN"/>
        </w:rPr>
        <w:t>近五年（自2020年1月1日起至投标截止日）内至少两项在石化</w:t>
      </w:r>
      <w:r>
        <w:rPr>
          <w:rFonts w:hint="eastAsia"/>
          <w:color w:val="auto"/>
          <w:sz w:val="24"/>
          <w:szCs w:val="24"/>
          <w:lang w:val="en-US" w:eastAsia="zh-CN"/>
        </w:rPr>
        <w:t>行业</w:t>
      </w:r>
      <w:r>
        <w:rPr>
          <w:rFonts w:hint="eastAsia"/>
          <w:color w:val="auto"/>
          <w:sz w:val="24"/>
          <w:szCs w:val="24"/>
          <w:lang w:eastAsia="zh-CN"/>
        </w:rPr>
        <w:t>实施的APC先进控制系统成功应用案例的证明材料（包括项目合同及验收文件）</w:t>
      </w:r>
      <w:r>
        <w:rPr>
          <w:rFonts w:hint="eastAsia"/>
          <w:color w:val="auto"/>
          <w:lang w:eastAsia="zh-CN"/>
        </w:rPr>
        <w:t>，</w:t>
      </w:r>
      <w:r>
        <w:rPr>
          <w:color w:val="auto"/>
          <w:lang w:eastAsia="zh-CN"/>
        </w:rPr>
        <w:t>其他可以证明</w:t>
      </w:r>
      <w:r>
        <w:rPr>
          <w:rFonts w:hint="eastAsia"/>
          <w:color w:val="auto"/>
          <w:lang w:eastAsia="zh-CN"/>
        </w:rPr>
        <w:t>参比</w:t>
      </w:r>
      <w:r>
        <w:rPr>
          <w:color w:val="auto"/>
          <w:lang w:eastAsia="zh-CN"/>
        </w:rPr>
        <w:t>单位具有类似良好业绩的相关材料；凡弄虚作假的，一经查实，</w:t>
      </w:r>
      <w:r>
        <w:rPr>
          <w:rFonts w:hint="eastAsia"/>
          <w:color w:val="auto"/>
          <w:lang w:eastAsia="zh-CN"/>
        </w:rPr>
        <w:t>采购</w:t>
      </w:r>
      <w:r>
        <w:rPr>
          <w:color w:val="auto"/>
          <w:lang w:eastAsia="zh-CN"/>
        </w:rPr>
        <w:t>人有权取消其中选资格。</w:t>
      </w:r>
    </w:p>
    <w:p w14:paraId="0578C973">
      <w:pPr>
        <w:pStyle w:val="19"/>
        <w:spacing w:line="360" w:lineRule="auto"/>
        <w:ind w:right="121" w:firstLine="480" w:firstLineChars="200"/>
        <w:jc w:val="both"/>
        <w:rPr>
          <w:lang w:eastAsia="zh-CN"/>
        </w:rPr>
      </w:pPr>
      <w:r>
        <w:rPr>
          <w:rFonts w:hint="eastAsia"/>
          <w:lang w:eastAsia="zh-CN"/>
        </w:rPr>
        <w:t>（</w:t>
      </w:r>
      <w:r>
        <w:rPr>
          <w:rFonts w:hint="eastAsia"/>
          <w:lang w:val="en-US" w:eastAsia="zh-CN"/>
        </w:rPr>
        <w:t>6</w:t>
      </w: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19"/>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19"/>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19"/>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19"/>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19"/>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19"/>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19"/>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19"/>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19"/>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19"/>
        <w:spacing w:line="360" w:lineRule="auto"/>
        <w:ind w:right="121" w:firstLine="482" w:firstLineChars="200"/>
        <w:jc w:val="both"/>
        <w:rPr>
          <w:lang w:eastAsia="zh-CN"/>
        </w:rPr>
      </w:pPr>
      <w:r>
        <w:rPr>
          <w:rFonts w:hint="eastAsia"/>
          <w:b/>
          <w:color w:val="auto"/>
          <w:lang w:eastAsia="zh-CN"/>
        </w:rPr>
        <w:t>本项目设置最高控制价</w:t>
      </w:r>
      <w:r>
        <w:rPr>
          <w:rFonts w:hint="eastAsia"/>
          <w:b/>
          <w:color w:val="auto"/>
          <w:lang w:val="en-US" w:eastAsia="zh-CN"/>
        </w:rPr>
        <w:t>165</w:t>
      </w:r>
      <w:r>
        <w:rPr>
          <w:rFonts w:hint="eastAsia"/>
          <w:b/>
          <w:color w:val="auto"/>
          <w:lang w:eastAsia="zh-CN"/>
        </w:rPr>
        <w:t>万元整（含税包干总价）</w:t>
      </w:r>
      <w:r>
        <w:rPr>
          <w:rFonts w:hint="eastAsia"/>
          <w:color w:val="auto"/>
          <w:lang w:eastAsia="zh-CN"/>
        </w:rPr>
        <w:t>。参</w:t>
      </w:r>
      <w:r>
        <w:rPr>
          <w:rFonts w:hint="eastAsia"/>
          <w:lang w:eastAsia="zh-CN"/>
        </w:rPr>
        <w:t>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17E40361">
      <w:pPr>
        <w:pStyle w:val="19"/>
        <w:spacing w:line="360" w:lineRule="auto"/>
        <w:ind w:right="121" w:firstLine="480" w:firstLineChars="200"/>
        <w:jc w:val="both"/>
        <w:rPr>
          <w:lang w:eastAsia="zh-CN"/>
        </w:rPr>
      </w:pPr>
      <w:r>
        <w:rPr>
          <w:rFonts w:hint="eastAsia"/>
          <w:lang w:eastAsia="zh-CN"/>
        </w:rPr>
        <w:t>采用综合评审的方式，从商务和技术两部分进行综合评价。</w:t>
      </w:r>
      <w:r>
        <w:rPr>
          <w:rFonts w:hint="eastAsia"/>
          <w:lang w:val="en-US" w:eastAsia="zh-CN"/>
        </w:rPr>
        <w:t>商务报价</w:t>
      </w:r>
      <w:r>
        <w:rPr>
          <w:rFonts w:hint="eastAsia"/>
          <w:lang w:eastAsia="zh-CN"/>
        </w:rPr>
        <w:t>分与技术分的比例为</w:t>
      </w:r>
      <w:r>
        <w:rPr>
          <w:rFonts w:hint="eastAsia"/>
          <w:lang w:val="en-US" w:eastAsia="zh-CN"/>
        </w:rPr>
        <w:t>60</w:t>
      </w:r>
      <w:r>
        <w:rPr>
          <w:rFonts w:hint="eastAsia"/>
          <w:lang w:eastAsia="zh-CN"/>
        </w:rPr>
        <w:t>：</w:t>
      </w:r>
      <w:r>
        <w:rPr>
          <w:rFonts w:hint="eastAsia"/>
          <w:lang w:val="en-US" w:eastAsia="zh-CN"/>
        </w:rPr>
        <w:t>40</w:t>
      </w:r>
      <w:r>
        <w:rPr>
          <w:rFonts w:hint="eastAsia"/>
          <w:lang w:eastAsia="zh-CN"/>
        </w:rPr>
        <w:t>。综合得分最高者作为第一中选人。</w:t>
      </w:r>
    </w:p>
    <w:p w14:paraId="2162713D">
      <w:pPr>
        <w:pStyle w:val="19"/>
        <w:spacing w:line="360" w:lineRule="auto"/>
        <w:ind w:right="121" w:firstLine="480" w:firstLineChars="200"/>
        <w:jc w:val="both"/>
        <w:rPr>
          <w:lang w:eastAsia="zh-CN"/>
        </w:rPr>
      </w:pPr>
      <w:r>
        <w:rPr>
          <w:rFonts w:hint="eastAsia"/>
          <w:lang w:eastAsia="zh-CN"/>
        </w:rPr>
        <w:t>评分细则如下：</w:t>
      </w:r>
    </w:p>
    <w:tbl>
      <w:tblPr>
        <w:tblStyle w:val="46"/>
        <w:tblW w:w="0" w:type="auto"/>
        <w:tblInd w:w="108" w:type="dxa"/>
        <w:tblLayout w:type="autofit"/>
        <w:tblCellMar>
          <w:top w:w="0" w:type="dxa"/>
          <w:left w:w="108" w:type="dxa"/>
          <w:bottom w:w="0" w:type="dxa"/>
          <w:right w:w="108" w:type="dxa"/>
        </w:tblCellMar>
      </w:tblPr>
      <w:tblGrid>
        <w:gridCol w:w="638"/>
        <w:gridCol w:w="1235"/>
        <w:gridCol w:w="5791"/>
        <w:gridCol w:w="638"/>
        <w:gridCol w:w="638"/>
        <w:gridCol w:w="638"/>
      </w:tblGrid>
      <w:tr w14:paraId="0DBD1204">
        <w:tblPrEx>
          <w:tblCellMar>
            <w:top w:w="0" w:type="dxa"/>
            <w:left w:w="108" w:type="dxa"/>
            <w:bottom w:w="0" w:type="dxa"/>
            <w:right w:w="108" w:type="dxa"/>
          </w:tblCellMar>
        </w:tblPrEx>
        <w:trPr>
          <w:trHeight w:val="5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9EF232">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NO</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4BE5B7A">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项目</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5C8461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评分细项</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F34BF7D">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分值</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5A2D2A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得分</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27781D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备注</w:t>
            </w:r>
          </w:p>
        </w:tc>
      </w:tr>
      <w:tr w14:paraId="0314462B">
        <w:tblPrEx>
          <w:tblCellMar>
            <w:top w:w="0" w:type="dxa"/>
            <w:left w:w="108" w:type="dxa"/>
            <w:bottom w:w="0" w:type="dxa"/>
            <w:right w:w="108" w:type="dxa"/>
          </w:tblCellMar>
        </w:tblPrEx>
        <w:trPr>
          <w:trHeight w:val="69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68CF1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一、</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34DC67B7">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val="en-US" w:eastAsia="zh-CN"/>
              </w:rPr>
              <w:t>报价</w:t>
            </w:r>
            <w:r>
              <w:rPr>
                <w:rFonts w:hint="eastAsia" w:asciiTheme="minorEastAsia" w:hAnsiTheme="minorEastAsia" w:eastAsiaTheme="minorEastAsia"/>
                <w:b/>
                <w:bCs/>
                <w:color w:val="000000"/>
                <w:sz w:val="21"/>
                <w:szCs w:val="21"/>
                <w:lang w:eastAsia="zh-CN"/>
              </w:rPr>
              <w:t>评分</w:t>
            </w:r>
          </w:p>
        </w:tc>
        <w:tc>
          <w:tcPr>
            <w:tcW w:w="0" w:type="auto"/>
            <w:tcBorders>
              <w:top w:val="nil"/>
              <w:left w:val="nil"/>
              <w:bottom w:val="single" w:color="auto" w:sz="4" w:space="0"/>
              <w:right w:val="single" w:color="auto" w:sz="4" w:space="0"/>
            </w:tcBorders>
            <w:shd w:val="clear" w:color="auto" w:fill="auto"/>
            <w:noWrap/>
            <w:vAlign w:val="center"/>
          </w:tcPr>
          <w:p w14:paraId="0683953A">
            <w:pPr>
              <w:widowControl/>
              <w:autoSpaceDE/>
              <w:autoSpaceDN/>
              <w:jc w:val="center"/>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color w:val="000000"/>
                <w:sz w:val="21"/>
                <w:szCs w:val="21"/>
                <w:lang w:val="en-US" w:eastAsia="zh-CN"/>
              </w:rPr>
              <w:t>60</w:t>
            </w:r>
          </w:p>
        </w:tc>
        <w:tc>
          <w:tcPr>
            <w:tcW w:w="0" w:type="auto"/>
            <w:tcBorders>
              <w:top w:val="nil"/>
              <w:left w:val="nil"/>
              <w:bottom w:val="single" w:color="auto" w:sz="4" w:space="0"/>
              <w:right w:val="single" w:color="auto" w:sz="4" w:space="0"/>
            </w:tcBorders>
            <w:shd w:val="clear" w:color="auto" w:fill="auto"/>
            <w:noWrap/>
            <w:vAlign w:val="center"/>
          </w:tcPr>
          <w:p w14:paraId="010078F6">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A2D334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5A60D6BF">
        <w:tblPrEx>
          <w:tblCellMar>
            <w:top w:w="0" w:type="dxa"/>
            <w:left w:w="108" w:type="dxa"/>
            <w:bottom w:w="0" w:type="dxa"/>
            <w:right w:w="108" w:type="dxa"/>
          </w:tblCellMar>
        </w:tblPrEx>
        <w:trPr>
          <w:trHeight w:val="28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D4A0C6">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67289027">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商务报价</w:t>
            </w:r>
          </w:p>
        </w:tc>
        <w:tc>
          <w:tcPr>
            <w:tcW w:w="0" w:type="auto"/>
            <w:tcBorders>
              <w:top w:val="nil"/>
              <w:left w:val="nil"/>
              <w:bottom w:val="single" w:color="auto" w:sz="4" w:space="0"/>
              <w:right w:val="single" w:color="auto" w:sz="4" w:space="0"/>
            </w:tcBorders>
            <w:shd w:val="clear" w:color="auto" w:fill="auto"/>
            <w:vAlign w:val="center"/>
          </w:tcPr>
          <w:p w14:paraId="1A2F1484">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1.设置最高控制价</w:t>
            </w:r>
            <w:r>
              <w:rPr>
                <w:rFonts w:hint="eastAsia" w:asciiTheme="minorEastAsia" w:hAnsiTheme="minorEastAsia" w:eastAsiaTheme="minorEastAsia"/>
                <w:color w:val="000000"/>
                <w:sz w:val="21"/>
                <w:szCs w:val="21"/>
                <w:lang w:val="en-US" w:eastAsia="zh-CN"/>
              </w:rPr>
              <w:t>165</w:t>
            </w:r>
            <w:r>
              <w:rPr>
                <w:rFonts w:hint="eastAsia" w:asciiTheme="minorEastAsia" w:hAnsiTheme="minorEastAsia" w:eastAsiaTheme="minorEastAsia"/>
                <w:color w:val="000000"/>
                <w:sz w:val="21"/>
                <w:szCs w:val="21"/>
                <w:lang w:eastAsia="zh-CN"/>
              </w:rPr>
              <w:t>万元整。如超过则为无效报价，不参与投标基准价的计算。</w:t>
            </w:r>
            <w:r>
              <w:rPr>
                <w:rFonts w:hint="eastAsia" w:asciiTheme="minorEastAsia" w:hAnsiTheme="minorEastAsia" w:eastAsiaTheme="minorEastAsia"/>
                <w:color w:val="000000"/>
                <w:sz w:val="21"/>
                <w:szCs w:val="21"/>
                <w:lang w:eastAsia="zh-CN"/>
              </w:rPr>
              <w:br w:type="textWrapping"/>
            </w:r>
            <w:r>
              <w:rPr>
                <w:rFonts w:hint="eastAsia" w:asciiTheme="minorEastAsia" w:hAnsiTheme="minorEastAsia" w:eastAsiaTheme="minorEastAsia"/>
                <w:color w:val="000000"/>
                <w:sz w:val="21"/>
                <w:szCs w:val="21"/>
                <w:lang w:eastAsia="zh-CN"/>
              </w:rPr>
              <w:t>2.商务</w:t>
            </w:r>
            <w:r>
              <w:rPr>
                <w:rFonts w:hint="eastAsia" w:asciiTheme="minorEastAsia" w:hAnsiTheme="minorEastAsia" w:eastAsiaTheme="minorEastAsia"/>
                <w:color w:val="000000"/>
                <w:sz w:val="21"/>
                <w:szCs w:val="21"/>
                <w:lang w:val="en-US" w:eastAsia="zh-CN"/>
              </w:rPr>
              <w:t>报价</w:t>
            </w:r>
            <w:r>
              <w:rPr>
                <w:rFonts w:hint="eastAsia" w:asciiTheme="minorEastAsia" w:hAnsiTheme="minorEastAsia" w:eastAsiaTheme="minorEastAsia"/>
                <w:color w:val="000000"/>
                <w:sz w:val="21"/>
                <w:szCs w:val="21"/>
                <w:lang w:eastAsia="zh-CN"/>
              </w:rPr>
              <w:t>评审总分值</w:t>
            </w:r>
            <w:r>
              <w:rPr>
                <w:rFonts w:hint="eastAsia" w:asciiTheme="minorEastAsia" w:hAnsiTheme="minorEastAsia" w:eastAsiaTheme="minorEastAsia"/>
                <w:color w:val="000000"/>
                <w:sz w:val="21"/>
                <w:szCs w:val="21"/>
                <w:lang w:val="en-US" w:eastAsia="zh-CN"/>
              </w:rPr>
              <w:t>60</w:t>
            </w:r>
            <w:r>
              <w:rPr>
                <w:rFonts w:hint="eastAsia" w:asciiTheme="minorEastAsia" w:hAnsiTheme="minorEastAsia" w:eastAsiaTheme="minorEastAsia"/>
                <w:color w:val="000000"/>
                <w:sz w:val="21"/>
                <w:szCs w:val="21"/>
                <w:lang w:eastAsia="zh-CN"/>
              </w:rPr>
              <w:t>分。</w:t>
            </w:r>
            <w:r>
              <w:rPr>
                <w:rFonts w:hint="eastAsia" w:asciiTheme="minorEastAsia" w:hAnsiTheme="minorEastAsia" w:eastAsiaTheme="minorEastAsia"/>
                <w:color w:val="000000"/>
                <w:sz w:val="21"/>
                <w:szCs w:val="21"/>
                <w:lang w:eastAsia="zh-CN"/>
              </w:rPr>
              <w:br w:type="textWrapping"/>
            </w:r>
            <w:r>
              <w:rPr>
                <w:rFonts w:hint="eastAsia" w:asciiTheme="minorEastAsia" w:hAnsiTheme="minorEastAsia" w:eastAsiaTheme="minorEastAsia"/>
                <w:color w:val="000000"/>
                <w:sz w:val="21"/>
                <w:szCs w:val="21"/>
                <w:lang w:eastAsia="zh-CN"/>
              </w:rPr>
              <w:t>3.投标报价得分=</w:t>
            </w:r>
            <w:r>
              <w:rPr>
                <w:rFonts w:hint="eastAsia" w:asciiTheme="minorEastAsia" w:hAnsiTheme="minorEastAsia" w:eastAsiaTheme="minorEastAsia"/>
                <w:color w:val="000000"/>
                <w:sz w:val="21"/>
                <w:szCs w:val="21"/>
                <w:lang w:val="en-US" w:eastAsia="zh-CN"/>
              </w:rPr>
              <w:t>60</w:t>
            </w:r>
            <w:r>
              <w:rPr>
                <w:rFonts w:hint="eastAsia" w:asciiTheme="minorEastAsia" w:hAnsiTheme="minorEastAsia" w:eastAsiaTheme="minorEastAsia"/>
                <w:color w:val="000000"/>
                <w:sz w:val="21"/>
                <w:szCs w:val="21"/>
                <w:lang w:eastAsia="zh-CN"/>
              </w:rPr>
              <w:t>-（|Ai-评标基准价|÷评标基准价）×100×Q</w:t>
            </w:r>
            <w:r>
              <w:rPr>
                <w:rFonts w:hint="eastAsia" w:asciiTheme="minorEastAsia" w:hAnsiTheme="minorEastAsia" w:eastAsiaTheme="minorEastAsia"/>
                <w:color w:val="000000"/>
                <w:sz w:val="21"/>
                <w:szCs w:val="21"/>
                <w:lang w:eastAsia="zh-CN"/>
              </w:rPr>
              <w:br w:type="textWrapping"/>
            </w:r>
            <w:r>
              <w:rPr>
                <w:rFonts w:hint="eastAsia" w:asciiTheme="minorEastAsia" w:hAnsiTheme="minorEastAsia" w:eastAsiaTheme="minorEastAsia"/>
                <w:color w:val="000000"/>
                <w:sz w:val="21"/>
                <w:szCs w:val="21"/>
                <w:lang w:eastAsia="zh-CN"/>
              </w:rPr>
              <w:t>其中，Ai 为各合格投标人的有效报价；</w:t>
            </w:r>
          </w:p>
          <w:p w14:paraId="1B32D875">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评标基准价为各合格投标人有效报价</w:t>
            </w:r>
            <w:r>
              <w:rPr>
                <w:rFonts w:hint="eastAsia" w:asciiTheme="minorEastAsia" w:hAnsiTheme="minorEastAsia" w:eastAsiaTheme="minorEastAsia"/>
                <w:color w:val="000000"/>
                <w:sz w:val="21"/>
                <w:szCs w:val="21"/>
                <w:lang w:val="en-US" w:eastAsia="zh-CN"/>
              </w:rPr>
              <w:t>平均值的95%</w:t>
            </w:r>
            <w:r>
              <w:rPr>
                <w:rFonts w:hint="eastAsia"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lang w:eastAsia="zh-CN"/>
              </w:rPr>
              <w:br w:type="textWrapping"/>
            </w:r>
            <w:r>
              <w:rPr>
                <w:rFonts w:hint="eastAsia" w:asciiTheme="minorEastAsia" w:hAnsiTheme="minorEastAsia" w:eastAsiaTheme="minorEastAsia"/>
                <w:color w:val="000000"/>
                <w:sz w:val="21"/>
                <w:szCs w:val="21"/>
                <w:lang w:eastAsia="zh-CN"/>
              </w:rPr>
              <w:t>当合格投标人的有效报价&gt;评标基准价时，Q的取值为1.0，当合格投标人的有效报价</w:t>
            </w:r>
            <w:r>
              <w:rPr>
                <w:rFonts w:hint="eastAsia" w:asciiTheme="minorEastAsia" w:hAnsiTheme="minorEastAsia" w:eastAsiaTheme="minorEastAsia"/>
                <w:color w:val="000000"/>
                <w:sz w:val="21"/>
                <w:szCs w:val="21"/>
                <w:lang w:val="en-US" w:eastAsia="zh-CN"/>
              </w:rPr>
              <w:t>≤</w:t>
            </w:r>
            <w:r>
              <w:rPr>
                <w:rFonts w:hint="eastAsia" w:asciiTheme="minorEastAsia" w:hAnsiTheme="minorEastAsia" w:eastAsiaTheme="minorEastAsia"/>
                <w:color w:val="000000"/>
                <w:sz w:val="21"/>
                <w:szCs w:val="21"/>
                <w:lang w:eastAsia="zh-CN"/>
              </w:rPr>
              <w:t>评标基准价时，Q的取值为</w:t>
            </w:r>
            <w:r>
              <w:rPr>
                <w:rFonts w:hint="eastAsia" w:asciiTheme="minorEastAsia" w:hAnsiTheme="minorEastAsia" w:eastAsiaTheme="minorEastAsia"/>
                <w:color w:val="000000"/>
                <w:sz w:val="21"/>
                <w:szCs w:val="21"/>
                <w:lang w:val="en-US" w:eastAsia="zh-CN"/>
              </w:rPr>
              <w:t>0.5</w:t>
            </w:r>
            <w:r>
              <w:rPr>
                <w:rFonts w:hint="eastAsia"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lang w:eastAsia="zh-CN"/>
              </w:rPr>
              <w:br w:type="textWrapping"/>
            </w:r>
            <w:r>
              <w:rPr>
                <w:rFonts w:hint="eastAsia" w:asciiTheme="minorEastAsia" w:hAnsiTheme="minorEastAsia" w:eastAsiaTheme="minorEastAsia"/>
                <w:color w:val="000000"/>
                <w:sz w:val="21"/>
                <w:szCs w:val="21"/>
                <w:lang w:eastAsia="zh-CN"/>
              </w:rPr>
              <w:t>投标报价得分小数点后保留两位，第三位“四舍五入”，第四位及以后不计。</w:t>
            </w:r>
          </w:p>
        </w:tc>
        <w:tc>
          <w:tcPr>
            <w:tcW w:w="0" w:type="auto"/>
            <w:tcBorders>
              <w:top w:val="nil"/>
              <w:left w:val="nil"/>
              <w:bottom w:val="single" w:color="auto" w:sz="4" w:space="0"/>
              <w:right w:val="single" w:color="auto" w:sz="4" w:space="0"/>
            </w:tcBorders>
            <w:shd w:val="clear" w:color="auto" w:fill="auto"/>
            <w:noWrap/>
            <w:vAlign w:val="center"/>
          </w:tcPr>
          <w:p w14:paraId="08A6C571">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0F137BA">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40F38C7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659555C3">
        <w:tblPrEx>
          <w:tblCellMar>
            <w:top w:w="0" w:type="dxa"/>
            <w:left w:w="108" w:type="dxa"/>
            <w:bottom w:w="0" w:type="dxa"/>
            <w:right w:w="108" w:type="dxa"/>
          </w:tblCellMar>
        </w:tblPrEx>
        <w:trPr>
          <w:trHeight w:val="5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1B4C0E">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二</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424199CA">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技术评分</w:t>
            </w:r>
          </w:p>
        </w:tc>
        <w:tc>
          <w:tcPr>
            <w:tcW w:w="0" w:type="auto"/>
            <w:tcBorders>
              <w:top w:val="nil"/>
              <w:left w:val="nil"/>
              <w:bottom w:val="single" w:color="auto" w:sz="4" w:space="0"/>
              <w:right w:val="single" w:color="auto" w:sz="4" w:space="0"/>
            </w:tcBorders>
            <w:shd w:val="clear" w:color="auto" w:fill="auto"/>
            <w:noWrap/>
            <w:vAlign w:val="center"/>
          </w:tcPr>
          <w:p w14:paraId="69B5B904">
            <w:pPr>
              <w:widowControl/>
              <w:autoSpaceDE/>
              <w:autoSpaceDN/>
              <w:jc w:val="center"/>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color w:val="000000"/>
                <w:sz w:val="21"/>
                <w:szCs w:val="21"/>
                <w:lang w:val="en-US" w:eastAsia="zh-CN"/>
              </w:rPr>
              <w:t>40</w:t>
            </w:r>
          </w:p>
        </w:tc>
        <w:tc>
          <w:tcPr>
            <w:tcW w:w="0" w:type="auto"/>
            <w:tcBorders>
              <w:top w:val="nil"/>
              <w:left w:val="nil"/>
              <w:bottom w:val="single" w:color="auto" w:sz="4" w:space="0"/>
              <w:right w:val="single" w:color="auto" w:sz="4" w:space="0"/>
            </w:tcBorders>
            <w:shd w:val="clear" w:color="auto" w:fill="auto"/>
            <w:noWrap/>
            <w:vAlign w:val="center"/>
          </w:tcPr>
          <w:p w14:paraId="7B87B81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0AE9BA2">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408A14E5">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0817B9">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single" w:color="auto" w:sz="4" w:space="0"/>
              <w:bottom w:val="single" w:color="auto" w:sz="4" w:space="0"/>
              <w:right w:val="single" w:color="auto" w:sz="4" w:space="0"/>
            </w:tcBorders>
            <w:shd w:val="clear" w:color="auto" w:fill="auto"/>
            <w:vAlign w:val="center"/>
          </w:tcPr>
          <w:p w14:paraId="2A82CDAE">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业绩</w:t>
            </w:r>
          </w:p>
        </w:tc>
        <w:tc>
          <w:tcPr>
            <w:tcW w:w="0" w:type="auto"/>
            <w:tcBorders>
              <w:top w:val="nil"/>
              <w:left w:val="nil"/>
              <w:bottom w:val="single" w:color="auto" w:sz="4" w:space="0"/>
              <w:right w:val="single" w:color="auto" w:sz="4" w:space="0"/>
            </w:tcBorders>
            <w:shd w:val="clear" w:color="auto" w:fill="auto"/>
            <w:vAlign w:val="center"/>
          </w:tcPr>
          <w:p w14:paraId="44090B1B">
            <w:pPr>
              <w:widowControl/>
              <w:autoSpaceDE/>
              <w:autoSpaceDN/>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投标人须拥有APC产品的自主产品权，并须提供近五年（自2020年1月1日起至投标截止日）内至少两项在石化企业实施的APC先进控制系统成功应用案例的证明材料（包括项目合同及验收文件）。</w:t>
            </w:r>
          </w:p>
          <w:p w14:paraId="5D945554">
            <w:pPr>
              <w:widowControl/>
              <w:autoSpaceDE/>
              <w:autoSpaceDN/>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在满足上述基本业绩要求的基础上，每增加1项符合要求的成功应用案例得1分，本项累计最高得5分。</w:t>
            </w:r>
          </w:p>
          <w:p w14:paraId="20819F88">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注：未满足基本业绩要求的投标人，其投标将被视为无效（或作符合性审查不通过处理）。</w:t>
            </w:r>
          </w:p>
        </w:tc>
        <w:tc>
          <w:tcPr>
            <w:tcW w:w="0" w:type="auto"/>
            <w:tcBorders>
              <w:top w:val="nil"/>
              <w:left w:val="nil"/>
              <w:bottom w:val="single" w:color="auto" w:sz="4" w:space="0"/>
              <w:right w:val="single" w:color="auto" w:sz="4" w:space="0"/>
            </w:tcBorders>
            <w:shd w:val="clear" w:color="auto" w:fill="auto"/>
            <w:noWrap/>
            <w:vAlign w:val="center"/>
          </w:tcPr>
          <w:p w14:paraId="27D1EA51">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3B16EAF6">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940A86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3083AAE9">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50712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p>
        </w:tc>
        <w:tc>
          <w:tcPr>
            <w:tcW w:w="0" w:type="auto"/>
            <w:vMerge w:val="restart"/>
            <w:tcBorders>
              <w:top w:val="single" w:color="auto" w:sz="4" w:space="0"/>
              <w:left w:val="single" w:color="auto" w:sz="4" w:space="0"/>
              <w:right w:val="single" w:color="auto" w:sz="4" w:space="0"/>
            </w:tcBorders>
            <w:vAlign w:val="center"/>
          </w:tcPr>
          <w:p w14:paraId="0510D3F6">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技术方案</w:t>
            </w:r>
          </w:p>
        </w:tc>
        <w:tc>
          <w:tcPr>
            <w:tcW w:w="0" w:type="auto"/>
            <w:tcBorders>
              <w:top w:val="single" w:color="auto" w:sz="4" w:space="0"/>
              <w:left w:val="nil"/>
              <w:bottom w:val="single" w:color="auto" w:sz="4" w:space="0"/>
              <w:right w:val="single" w:color="auto" w:sz="4" w:space="0"/>
            </w:tcBorders>
            <w:shd w:val="clear" w:color="auto" w:fill="auto"/>
            <w:vAlign w:val="center"/>
          </w:tcPr>
          <w:p w14:paraId="77909BCC">
            <w:pPr>
              <w:widowControl/>
              <w:autoSpaceDE/>
              <w:autoSpaceDN/>
              <w:rPr>
                <w:rFonts w:hint="eastAsia"/>
                <w:lang w:val="en-US" w:eastAsia="zh-CN"/>
              </w:rPr>
            </w:pPr>
            <w:r>
              <w:rPr>
                <w:rFonts w:hint="eastAsia"/>
                <w:lang w:val="en-US" w:eastAsia="zh-CN"/>
              </w:rPr>
              <w:t>软件：</w:t>
            </w:r>
          </w:p>
          <w:p w14:paraId="658FEF25">
            <w:pPr>
              <w:widowControl/>
              <w:autoSpaceDE/>
              <w:autoSpaceDN/>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1）投标方提供的软件，授权不限MV数量；满足得1分，不满足得0分。</w:t>
            </w:r>
          </w:p>
          <w:p w14:paraId="2A6E6C6F">
            <w:pPr>
              <w:widowControl/>
              <w:autoSpaceDE/>
              <w:autoSpaceDN/>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备注：提供承诺或者在技术方案明确，否则视为未提供。</w:t>
            </w:r>
          </w:p>
          <w:p w14:paraId="67BACD40">
            <w:pPr>
              <w:widowControl/>
              <w:autoSpaceDE/>
              <w:autoSpaceDN/>
              <w:rPr>
                <w:rFonts w:hint="default" w:asciiTheme="minorEastAsia" w:hAnsiTheme="minorEastAsia" w:eastAsiaTheme="minorEastAsia"/>
                <w:color w:val="000000"/>
                <w:sz w:val="21"/>
                <w:szCs w:val="21"/>
                <w:lang w:val="en-US" w:eastAsia="zh-CN"/>
              </w:rPr>
            </w:pPr>
            <w:r>
              <w:rPr>
                <w:rFonts w:hint="default" w:asciiTheme="minorEastAsia" w:hAnsiTheme="minorEastAsia" w:eastAsiaTheme="minorEastAsia"/>
                <w:color w:val="000000"/>
                <w:sz w:val="21"/>
                <w:szCs w:val="21"/>
                <w:lang w:val="en-US" w:eastAsia="zh-CN"/>
              </w:rPr>
              <w:t>2）软件授权年限不低于20年。满足得1分，不满足得0分。</w:t>
            </w:r>
          </w:p>
          <w:p w14:paraId="1C500463">
            <w:pPr>
              <w:widowControl/>
              <w:autoSpaceDE/>
              <w:autoSpaceDN/>
              <w:rPr>
                <w:rFonts w:hint="default"/>
                <w:lang w:val="en-US" w:eastAsia="zh-CN"/>
              </w:rPr>
            </w:pPr>
            <w:r>
              <w:rPr>
                <w:rFonts w:hint="default" w:asciiTheme="minorEastAsia" w:hAnsiTheme="minorEastAsia" w:eastAsiaTheme="minorEastAsia"/>
                <w:color w:val="000000"/>
                <w:sz w:val="21"/>
                <w:szCs w:val="21"/>
                <w:lang w:val="en-US" w:eastAsia="zh-CN"/>
              </w:rPr>
              <w:t>备注：提供承诺或者在技术方案明确，否则视为未提供。</w:t>
            </w:r>
          </w:p>
        </w:tc>
        <w:tc>
          <w:tcPr>
            <w:tcW w:w="0" w:type="auto"/>
            <w:tcBorders>
              <w:top w:val="nil"/>
              <w:left w:val="nil"/>
              <w:bottom w:val="single" w:color="auto" w:sz="4" w:space="0"/>
              <w:right w:val="single" w:color="auto" w:sz="4" w:space="0"/>
            </w:tcBorders>
            <w:shd w:val="clear" w:color="auto" w:fill="auto"/>
            <w:noWrap/>
            <w:vAlign w:val="center"/>
          </w:tcPr>
          <w:p w14:paraId="6942BA8F">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3FFBF0CB">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F51645A">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7A97EFF2">
        <w:tblPrEx>
          <w:tblCellMar>
            <w:top w:w="0" w:type="dxa"/>
            <w:left w:w="108" w:type="dxa"/>
            <w:bottom w:w="0" w:type="dxa"/>
            <w:right w:w="108" w:type="dxa"/>
          </w:tblCellMar>
        </w:tblPrEx>
        <w:trPr>
          <w:trHeight w:val="127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407AC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w:t>
            </w:r>
          </w:p>
        </w:tc>
        <w:tc>
          <w:tcPr>
            <w:tcW w:w="0" w:type="auto"/>
            <w:vMerge w:val="continue"/>
            <w:tcBorders>
              <w:left w:val="single" w:color="auto" w:sz="4" w:space="0"/>
              <w:right w:val="single" w:color="auto" w:sz="4" w:space="0"/>
            </w:tcBorders>
            <w:vAlign w:val="center"/>
          </w:tcPr>
          <w:p w14:paraId="3163294A">
            <w:pPr>
              <w:widowControl/>
              <w:autoSpaceDE/>
              <w:autoSpaceDN/>
              <w:rPr>
                <w:rFonts w:asciiTheme="minorEastAsia" w:hAnsiTheme="minorEastAsia" w:eastAsiaTheme="minorEastAsia"/>
                <w:color w:val="000000"/>
                <w:sz w:val="21"/>
                <w:szCs w:val="21"/>
                <w:lang w:eastAsia="zh-CN"/>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149AC05F">
            <w:pPr>
              <w:widowControl/>
              <w:autoSpaceDE/>
              <w:autoSpaceDN/>
              <w:rPr>
                <w:rFonts w:hint="eastAsia"/>
                <w:sz w:val="21"/>
                <w:szCs w:val="21"/>
                <w:lang w:eastAsia="zh-CN"/>
              </w:rPr>
            </w:pPr>
            <w:r>
              <w:rPr>
                <w:rFonts w:hint="eastAsia"/>
                <w:sz w:val="21"/>
                <w:szCs w:val="21"/>
                <w:lang w:eastAsia="zh-CN"/>
              </w:rPr>
              <w:t>全面性：</w:t>
            </w:r>
          </w:p>
          <w:p w14:paraId="796D6BBD">
            <w:pPr>
              <w:pStyle w:val="55"/>
              <w:numPr>
                <w:ilvl w:val="0"/>
                <w:numId w:val="8"/>
              </w:numPr>
              <w:rPr>
                <w:rFonts w:hint="eastAsia"/>
                <w:sz w:val="21"/>
                <w:szCs w:val="21"/>
                <w:lang w:eastAsia="zh-CN"/>
              </w:rPr>
            </w:pPr>
            <w:r>
              <w:rPr>
                <w:rFonts w:hint="eastAsia"/>
                <w:sz w:val="21"/>
                <w:szCs w:val="21"/>
                <w:lang w:eastAsia="zh-CN"/>
              </w:rPr>
              <w:t>集数据采集、数据分析、多变量模型辨识、多变量预测控制、智能软测量、PRBS自动阶跃测试、模糊逻辑控制、可拓展开发环境的一体化成熟平台；满足得2分，不满足得0分。</w:t>
            </w:r>
          </w:p>
          <w:p w14:paraId="32566544">
            <w:pPr>
              <w:pStyle w:val="55"/>
              <w:numPr>
                <w:ilvl w:val="0"/>
                <w:numId w:val="8"/>
              </w:numPr>
              <w:rPr>
                <w:rFonts w:hint="eastAsia"/>
                <w:sz w:val="21"/>
                <w:szCs w:val="21"/>
                <w:lang w:eastAsia="zh-CN"/>
              </w:rPr>
            </w:pPr>
            <w:r>
              <w:rPr>
                <w:rFonts w:hint="eastAsia"/>
                <w:sz w:val="21"/>
                <w:szCs w:val="21"/>
                <w:lang w:eastAsia="zh-CN"/>
              </w:rPr>
              <w:t>MPC模型：多变量线性模型预测技术(MPC模型)；满足得1分，不满足得0分。</w:t>
            </w:r>
          </w:p>
          <w:p w14:paraId="7A5311D0">
            <w:pPr>
              <w:pStyle w:val="55"/>
              <w:numPr>
                <w:ilvl w:val="0"/>
                <w:numId w:val="8"/>
              </w:numPr>
              <w:rPr>
                <w:rFonts w:hint="eastAsia"/>
                <w:sz w:val="21"/>
                <w:szCs w:val="21"/>
                <w:lang w:eastAsia="zh-CN"/>
              </w:rPr>
            </w:pPr>
            <w:r>
              <w:rPr>
                <w:rFonts w:hint="eastAsia"/>
                <w:sz w:val="21"/>
                <w:szCs w:val="21"/>
                <w:lang w:eastAsia="zh-CN"/>
              </w:rPr>
              <w:t>LP优化：基于MPC控制器自动生成对应的LP在线优化器；满足得1分，不满足得0分。</w:t>
            </w:r>
          </w:p>
          <w:p w14:paraId="4C16B1DA">
            <w:pPr>
              <w:pStyle w:val="55"/>
              <w:numPr>
                <w:ilvl w:val="0"/>
                <w:numId w:val="8"/>
              </w:numPr>
              <w:rPr>
                <w:rFonts w:hint="eastAsia"/>
                <w:sz w:val="21"/>
                <w:szCs w:val="21"/>
                <w:lang w:eastAsia="zh-CN"/>
              </w:rPr>
            </w:pPr>
            <w:r>
              <w:rPr>
                <w:rFonts w:hint="eastAsia"/>
                <w:sz w:val="21"/>
                <w:szCs w:val="21"/>
                <w:lang w:eastAsia="zh-CN"/>
              </w:rPr>
              <w:t>软仪表功能：支持开发工艺计算或者软仪表；满足得1分，不满足得0分。</w:t>
            </w:r>
          </w:p>
          <w:p w14:paraId="156BFC72">
            <w:pPr>
              <w:pStyle w:val="55"/>
              <w:numPr>
                <w:ilvl w:val="0"/>
                <w:numId w:val="0"/>
              </w:numPr>
              <w:rPr>
                <w:rFonts w:hint="eastAsia"/>
                <w:lang w:eastAsia="zh-CN"/>
              </w:rPr>
            </w:pPr>
            <w:r>
              <w:rPr>
                <w:rFonts w:hint="eastAsia"/>
                <w:sz w:val="21"/>
                <w:szCs w:val="21"/>
                <w:lang w:val="en-US" w:eastAsia="zh-CN"/>
              </w:rPr>
              <w:t>7）</w:t>
            </w:r>
            <w:r>
              <w:rPr>
                <w:rFonts w:hint="eastAsia"/>
                <w:sz w:val="21"/>
                <w:szCs w:val="21"/>
                <w:lang w:eastAsia="zh-CN"/>
              </w:rPr>
              <w:t>模型自适应功能：具备在线自适应功能，可实时监测在线模型对于过程的偏差情况，当工况变化较大时，可进行模型自动在线切换，避免模型与生产工况失配的问题；有经济目标函数优化功能。能够处理线性、任意非线性形式的经济目标函数，且能够处理多目标优化问题；满足得2分，不满足得0分。</w:t>
            </w:r>
          </w:p>
        </w:tc>
        <w:tc>
          <w:tcPr>
            <w:tcW w:w="0" w:type="auto"/>
            <w:tcBorders>
              <w:top w:val="nil"/>
              <w:left w:val="nil"/>
              <w:bottom w:val="single" w:color="auto" w:sz="4" w:space="0"/>
              <w:right w:val="single" w:color="auto" w:sz="4" w:space="0"/>
            </w:tcBorders>
            <w:shd w:val="clear" w:color="auto" w:fill="auto"/>
            <w:noWrap/>
            <w:vAlign w:val="center"/>
          </w:tcPr>
          <w:p w14:paraId="0FD2C066">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14:paraId="232BD24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32E199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7B0A2DD">
        <w:tblPrEx>
          <w:tblCellMar>
            <w:top w:w="0" w:type="dxa"/>
            <w:left w:w="108" w:type="dxa"/>
            <w:bottom w:w="0" w:type="dxa"/>
            <w:right w:w="108" w:type="dxa"/>
          </w:tblCellMar>
        </w:tblPrEx>
        <w:trPr>
          <w:trHeight w:val="91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DD050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w:t>
            </w:r>
          </w:p>
        </w:tc>
        <w:tc>
          <w:tcPr>
            <w:tcW w:w="0" w:type="auto"/>
            <w:vMerge w:val="continue"/>
            <w:tcBorders>
              <w:left w:val="single" w:color="auto" w:sz="4" w:space="0"/>
              <w:right w:val="single" w:color="auto" w:sz="4" w:space="0"/>
            </w:tcBorders>
            <w:vAlign w:val="center"/>
          </w:tcPr>
          <w:p w14:paraId="0717EAE4">
            <w:pPr>
              <w:widowControl/>
              <w:autoSpaceDE/>
              <w:autoSpaceDN/>
              <w:rPr>
                <w:rFonts w:asciiTheme="minorEastAsia" w:hAnsiTheme="minorEastAsia" w:eastAsiaTheme="minorEastAsia"/>
                <w:color w:val="000000"/>
                <w:sz w:val="21"/>
                <w:szCs w:val="21"/>
                <w:lang w:eastAsia="zh-CN"/>
              </w:rPr>
            </w:pPr>
          </w:p>
        </w:tc>
        <w:tc>
          <w:tcPr>
            <w:tcW w:w="0" w:type="auto"/>
            <w:tcBorders>
              <w:top w:val="nil"/>
              <w:left w:val="nil"/>
              <w:bottom w:val="nil"/>
              <w:right w:val="nil"/>
            </w:tcBorders>
            <w:shd w:val="clear" w:color="auto" w:fill="auto"/>
            <w:vAlign w:val="center"/>
          </w:tcPr>
          <w:p w14:paraId="560F20AB">
            <w:pPr>
              <w:pStyle w:val="55"/>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开放性和可拓展性</w:t>
            </w:r>
            <w:r>
              <w:rPr>
                <w:rFonts w:hint="eastAsia" w:cs="宋体" w:asciiTheme="minorEastAsia" w:hAnsiTheme="minorEastAsia" w:eastAsiaTheme="minorEastAsia"/>
                <w:color w:val="000000"/>
                <w:sz w:val="21"/>
                <w:szCs w:val="21"/>
                <w:lang w:eastAsia="zh-CN"/>
              </w:rPr>
              <w:t>：</w:t>
            </w:r>
          </w:p>
          <w:p w14:paraId="53D399A4">
            <w:pPr>
              <w:pStyle w:val="55"/>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8）支持二次开发，支持数据库通讯；在标准多变量模型预估控制之外，须能够支持自由编程。满足得2分，不满足得0分。</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1D651611">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4A0C4AC4">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49D0AB5">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26FF169">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64BB59">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6</w:t>
            </w:r>
          </w:p>
        </w:tc>
        <w:tc>
          <w:tcPr>
            <w:tcW w:w="0" w:type="auto"/>
            <w:vMerge w:val="continue"/>
            <w:tcBorders>
              <w:left w:val="single" w:color="auto" w:sz="4" w:space="0"/>
              <w:right w:val="single" w:color="auto" w:sz="4" w:space="0"/>
            </w:tcBorders>
            <w:shd w:val="clear" w:color="auto" w:fill="auto"/>
            <w:vAlign w:val="center"/>
          </w:tcPr>
          <w:p w14:paraId="39740E9D">
            <w:pPr>
              <w:widowControl/>
              <w:autoSpaceDE/>
              <w:autoSpaceDN/>
              <w:rPr>
                <w:rFonts w:asciiTheme="minorEastAsia" w:hAnsiTheme="minorEastAsia" w:eastAsiaTheme="minorEastAsia"/>
                <w:color w:val="000000"/>
                <w:sz w:val="21"/>
                <w:szCs w:val="21"/>
                <w:lang w:eastAsia="zh-CN"/>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180F1896">
            <w:pPr>
              <w:pStyle w:val="55"/>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安全性</w:t>
            </w:r>
            <w:r>
              <w:rPr>
                <w:rFonts w:hint="eastAsia" w:cs="宋体" w:asciiTheme="minorEastAsia" w:hAnsiTheme="minorEastAsia" w:eastAsiaTheme="minorEastAsia"/>
                <w:color w:val="000000"/>
                <w:sz w:val="21"/>
                <w:szCs w:val="21"/>
                <w:lang w:eastAsia="zh-CN"/>
              </w:rPr>
              <w:t>：</w:t>
            </w:r>
          </w:p>
          <w:p w14:paraId="7D016F84">
            <w:pPr>
              <w:pStyle w:val="55"/>
              <w:numPr>
                <w:ilvl w:val="0"/>
                <w:numId w:val="9"/>
              </w:numPr>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异常工况自动处理：具备异常工况自动切除功能；满足得1分，不满足得0分。</w:t>
            </w:r>
          </w:p>
          <w:p w14:paraId="66F91001">
            <w:pPr>
              <w:pStyle w:val="55"/>
              <w:numPr>
                <w:ilvl w:val="0"/>
                <w:numId w:val="9"/>
              </w:numPr>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无扰切换：在控制器投用或切除时，做到无扰切换；满足得1分，不满足得0分。</w:t>
            </w:r>
          </w:p>
          <w:p w14:paraId="7A82D7A5">
            <w:pPr>
              <w:pStyle w:val="55"/>
              <w:numPr>
                <w:ilvl w:val="0"/>
                <w:numId w:val="9"/>
              </w:numPr>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一键切除功能：具备一键切除/投用功能；满足得1分，不满足得0分。</w:t>
            </w:r>
          </w:p>
          <w:p w14:paraId="62546C79">
            <w:pPr>
              <w:pStyle w:val="55"/>
              <w:numPr>
                <w:ilvl w:val="0"/>
                <w:numId w:val="9"/>
              </w:numPr>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工程文件可加密保护；满足得1分，不满足得0分。</w:t>
            </w:r>
          </w:p>
        </w:tc>
        <w:tc>
          <w:tcPr>
            <w:tcW w:w="0" w:type="auto"/>
            <w:tcBorders>
              <w:top w:val="nil"/>
              <w:left w:val="nil"/>
              <w:bottom w:val="single" w:color="auto" w:sz="4" w:space="0"/>
              <w:right w:val="single" w:color="auto" w:sz="4" w:space="0"/>
            </w:tcBorders>
            <w:shd w:val="clear" w:color="auto" w:fill="auto"/>
            <w:noWrap/>
            <w:vAlign w:val="center"/>
          </w:tcPr>
          <w:p w14:paraId="162EFAA7">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2352891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0615E6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624B3DB0">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8D080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7</w:t>
            </w:r>
          </w:p>
        </w:tc>
        <w:tc>
          <w:tcPr>
            <w:tcW w:w="0" w:type="auto"/>
            <w:vMerge w:val="continue"/>
            <w:tcBorders>
              <w:left w:val="single" w:color="auto" w:sz="4" w:space="0"/>
              <w:right w:val="single" w:color="auto" w:sz="4" w:space="0"/>
            </w:tcBorders>
            <w:vAlign w:val="center"/>
          </w:tcPr>
          <w:p w14:paraId="2C791DC7">
            <w:pPr>
              <w:widowControl/>
              <w:autoSpaceDE/>
              <w:autoSpaceDN/>
              <w:rPr>
                <w:rFonts w:asciiTheme="minorEastAsia" w:hAnsiTheme="minorEastAsia" w:eastAsiaTheme="minorEastAsia"/>
                <w:color w:val="000000"/>
                <w:sz w:val="21"/>
                <w:szCs w:val="21"/>
                <w:lang w:eastAsia="zh-CN"/>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32F26598">
            <w:pPr>
              <w:pStyle w:val="55"/>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易用性</w:t>
            </w:r>
            <w:r>
              <w:rPr>
                <w:rFonts w:hint="eastAsia" w:cs="宋体" w:asciiTheme="minorEastAsia" w:hAnsiTheme="minorEastAsia" w:eastAsiaTheme="minorEastAsia"/>
                <w:color w:val="000000"/>
                <w:sz w:val="21"/>
                <w:szCs w:val="21"/>
                <w:lang w:eastAsia="zh-CN"/>
              </w:rPr>
              <w:t>：</w:t>
            </w:r>
          </w:p>
          <w:p w14:paraId="5726CA29">
            <w:pPr>
              <w:pStyle w:val="55"/>
              <w:numPr>
                <w:ilvl w:val="0"/>
                <w:numId w:val="9"/>
              </w:numPr>
              <w:ind w:left="0" w:leftChars="0" w:firstLine="0" w:firstLineChars="0"/>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系统具有良好的易用性与开放性，人机交互界面友好，功能块清晰可见，操作便捷，易于工艺工程师与APC项目维护人员的查看和使用；满足得1分，不满足得0分。</w:t>
            </w:r>
          </w:p>
          <w:p w14:paraId="2FAC1382">
            <w:pPr>
              <w:pStyle w:val="55"/>
              <w:numPr>
                <w:ilvl w:val="0"/>
                <w:numId w:val="9"/>
              </w:numPr>
              <w:ind w:left="0" w:leftChars="0" w:firstLine="0" w:firstLineChars="0"/>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趋势图查看功能：能够以图形和趋势图查询和展示长、短期历史数据，储存历史数据；满足得1分，不满足得0分。</w:t>
            </w:r>
          </w:p>
          <w:p w14:paraId="06860AF8">
            <w:pPr>
              <w:pStyle w:val="55"/>
              <w:numPr>
                <w:ilvl w:val="0"/>
                <w:numId w:val="9"/>
              </w:numPr>
              <w:ind w:left="0" w:leftChars="0" w:firstLine="0" w:firstLineChars="0"/>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具有中文操作界面，方便甲方人员掌握及后期维护；满足得1分，不满足得0分。</w:t>
            </w:r>
          </w:p>
        </w:tc>
        <w:tc>
          <w:tcPr>
            <w:tcW w:w="0" w:type="auto"/>
            <w:tcBorders>
              <w:top w:val="nil"/>
              <w:left w:val="nil"/>
              <w:bottom w:val="single" w:color="auto" w:sz="4" w:space="0"/>
              <w:right w:val="single" w:color="auto" w:sz="4" w:space="0"/>
            </w:tcBorders>
            <w:shd w:val="clear" w:color="auto" w:fill="auto"/>
            <w:noWrap/>
            <w:vAlign w:val="center"/>
          </w:tcPr>
          <w:p w14:paraId="183051FC">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10C5FB41">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1644A3C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1D5272AC">
        <w:tblPrEx>
          <w:tblCellMar>
            <w:top w:w="0" w:type="dxa"/>
            <w:left w:w="108" w:type="dxa"/>
            <w:bottom w:w="0" w:type="dxa"/>
            <w:right w:w="108" w:type="dxa"/>
          </w:tblCellMar>
        </w:tblPrEx>
        <w:trPr>
          <w:trHeight w:val="7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8A7E9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8</w:t>
            </w:r>
          </w:p>
        </w:tc>
        <w:tc>
          <w:tcPr>
            <w:tcW w:w="0" w:type="auto"/>
            <w:vMerge w:val="continue"/>
            <w:tcBorders>
              <w:left w:val="single" w:color="auto" w:sz="4" w:space="0"/>
              <w:right w:val="single" w:color="auto" w:sz="4" w:space="0"/>
            </w:tcBorders>
            <w:vAlign w:val="center"/>
          </w:tcPr>
          <w:p w14:paraId="0B26ADFD">
            <w:pPr>
              <w:widowControl/>
              <w:autoSpaceDE/>
              <w:autoSpaceDN/>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vAlign w:val="center"/>
          </w:tcPr>
          <w:p w14:paraId="17CB8BF4">
            <w:pPr>
              <w:pStyle w:val="55"/>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成熟性</w:t>
            </w:r>
            <w:r>
              <w:rPr>
                <w:rFonts w:hint="eastAsia" w:cs="宋体" w:asciiTheme="minorEastAsia" w:hAnsiTheme="minorEastAsia" w:eastAsiaTheme="minorEastAsia"/>
                <w:color w:val="000000"/>
                <w:sz w:val="21"/>
                <w:szCs w:val="21"/>
                <w:lang w:eastAsia="zh-CN"/>
              </w:rPr>
              <w:t>：</w:t>
            </w:r>
          </w:p>
          <w:p w14:paraId="6F8DF8F2">
            <w:pPr>
              <w:pStyle w:val="55"/>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16）软件成熟度要求：软件商务化推出年限不低于10年，满足得2分，不满足得0分。</w:t>
            </w:r>
          </w:p>
        </w:tc>
        <w:tc>
          <w:tcPr>
            <w:tcW w:w="0" w:type="auto"/>
            <w:tcBorders>
              <w:top w:val="nil"/>
              <w:left w:val="nil"/>
              <w:bottom w:val="single" w:color="auto" w:sz="4" w:space="0"/>
              <w:right w:val="single" w:color="auto" w:sz="4" w:space="0"/>
            </w:tcBorders>
            <w:shd w:val="clear" w:color="auto" w:fill="auto"/>
            <w:noWrap/>
            <w:vAlign w:val="center"/>
          </w:tcPr>
          <w:p w14:paraId="76C4D1B9">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77AEAE59">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3638E30">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1C903842">
        <w:tblPrEx>
          <w:tblCellMar>
            <w:top w:w="0" w:type="dxa"/>
            <w:left w:w="108" w:type="dxa"/>
            <w:bottom w:w="0" w:type="dxa"/>
            <w:right w:w="108" w:type="dxa"/>
          </w:tblCellMar>
        </w:tblPrEx>
        <w:trPr>
          <w:trHeight w:val="41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0602E7">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9</w:t>
            </w:r>
          </w:p>
        </w:tc>
        <w:tc>
          <w:tcPr>
            <w:tcW w:w="0" w:type="auto"/>
            <w:vMerge w:val="continue"/>
            <w:tcBorders>
              <w:left w:val="single" w:color="auto" w:sz="4" w:space="0"/>
              <w:bottom w:val="single" w:color="000000" w:sz="4" w:space="0"/>
              <w:right w:val="single" w:color="auto" w:sz="4" w:space="0"/>
            </w:tcBorders>
            <w:vAlign w:val="center"/>
          </w:tcPr>
          <w:p w14:paraId="24AA50A1">
            <w:pPr>
              <w:widowControl/>
              <w:autoSpaceDE/>
              <w:autoSpaceDN/>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vAlign w:val="center"/>
          </w:tcPr>
          <w:p w14:paraId="5C5D41D1">
            <w:pPr>
              <w:pStyle w:val="55"/>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方案匹配度</w:t>
            </w:r>
            <w:r>
              <w:rPr>
                <w:rFonts w:hint="eastAsia" w:cs="宋体" w:asciiTheme="minorEastAsia" w:hAnsiTheme="minorEastAsia" w:eastAsiaTheme="minorEastAsia"/>
                <w:color w:val="000000"/>
                <w:sz w:val="21"/>
                <w:szCs w:val="21"/>
                <w:lang w:eastAsia="zh-CN"/>
              </w:rPr>
              <w:t>：</w:t>
            </w:r>
          </w:p>
          <w:p w14:paraId="74F30122">
            <w:pPr>
              <w:pStyle w:val="55"/>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17）根据投标人提供的方案与我方实际需求的契合程度、到厂服务安排的合理性、实施难易度及可行性等方面进行综合评价。方案越贴近我公司实际情况、越易于实施、可行性越高，得分相应越高。本项最高得5分，最低得0分。</w:t>
            </w:r>
          </w:p>
        </w:tc>
        <w:tc>
          <w:tcPr>
            <w:tcW w:w="0" w:type="auto"/>
            <w:tcBorders>
              <w:top w:val="nil"/>
              <w:left w:val="nil"/>
              <w:bottom w:val="single" w:color="auto" w:sz="4" w:space="0"/>
              <w:right w:val="single" w:color="auto" w:sz="4" w:space="0"/>
            </w:tcBorders>
            <w:shd w:val="clear" w:color="auto" w:fill="auto"/>
            <w:noWrap/>
            <w:vAlign w:val="center"/>
          </w:tcPr>
          <w:p w14:paraId="00B2E850">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6A87026D">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87506BC">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562ADCB0">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CB0D46">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w:t>
            </w:r>
          </w:p>
        </w:tc>
        <w:tc>
          <w:tcPr>
            <w:tcW w:w="0" w:type="auto"/>
            <w:vMerge w:val="restart"/>
            <w:tcBorders>
              <w:top w:val="nil"/>
              <w:left w:val="single" w:color="auto" w:sz="4" w:space="0"/>
              <w:right w:val="single" w:color="auto" w:sz="4" w:space="0"/>
            </w:tcBorders>
            <w:shd w:val="clear" w:color="auto" w:fill="auto"/>
            <w:vAlign w:val="center"/>
          </w:tcPr>
          <w:p w14:paraId="7FC91356">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项目组织及实施方案</w:t>
            </w:r>
          </w:p>
        </w:tc>
        <w:tc>
          <w:tcPr>
            <w:tcW w:w="0" w:type="auto"/>
            <w:tcBorders>
              <w:top w:val="nil"/>
              <w:left w:val="nil"/>
              <w:bottom w:val="single" w:color="auto" w:sz="4" w:space="0"/>
              <w:right w:val="single" w:color="auto" w:sz="4" w:space="0"/>
            </w:tcBorders>
            <w:shd w:val="clear" w:color="auto" w:fill="auto"/>
            <w:vAlign w:val="center"/>
          </w:tcPr>
          <w:p w14:paraId="7A2F420C">
            <w:pPr>
              <w:pStyle w:val="55"/>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项目关键人员业绩</w:t>
            </w:r>
            <w:r>
              <w:rPr>
                <w:rFonts w:hint="eastAsia" w:cs="宋体" w:asciiTheme="minorEastAsia" w:hAnsiTheme="minorEastAsia" w:eastAsiaTheme="minorEastAsia"/>
                <w:color w:val="000000"/>
                <w:sz w:val="21"/>
                <w:szCs w:val="21"/>
                <w:lang w:eastAsia="zh-CN"/>
              </w:rPr>
              <w:t>：</w:t>
            </w:r>
          </w:p>
          <w:p w14:paraId="5EFC6152">
            <w:pPr>
              <w:pStyle w:val="55"/>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1）项目经理</w:t>
            </w:r>
          </w:p>
          <w:p w14:paraId="7604F2FF">
            <w:pPr>
              <w:pStyle w:val="55"/>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项目经理需具备以下基本条件：①具有至少承担过5套大型石油化工企业先进控制相关项目的实施经验；②在投标人公司在职5年以上，项目管理经验10年以上。</w:t>
            </w:r>
          </w:p>
          <w:p w14:paraId="13E5B6F6">
            <w:pPr>
              <w:pStyle w:val="55"/>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满足全部上述基本条件得2分，不满足得0分；在此基础上，项目经理每增加1项符合要求的项目实施经验加0.5分，累计不超过3分。</w:t>
            </w:r>
          </w:p>
          <w:p w14:paraId="218BD3A2">
            <w:pPr>
              <w:pStyle w:val="55"/>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备注：需要提供项目经理履历，社保缴费证明以及业绩证明材料，业绩证明材料未明确项目经理的，应补充提交业主出具的证明扫描件或行政主管部门颁发的能证明项目经理的相关证书扫描件，上述扫描件应加盖投标人单位公章，否则其项目经理的业绩无效。</w:t>
            </w:r>
          </w:p>
          <w:p w14:paraId="348878A5">
            <w:pPr>
              <w:pStyle w:val="55"/>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2）项目成员</w:t>
            </w:r>
          </w:p>
          <w:p w14:paraId="799C231D">
            <w:pPr>
              <w:pStyle w:val="55"/>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项目成员相关经验丰富，项目实施负责人，具有10年以上实时优化的工作经验，承担过至少5套大型石油化工企业先进控制、实时优化相关项目的实施经验得2分；具有5年以上先进控制、实时优化的工作经验，承担过至少2套大型石油化工企业先进控制、实时优化相关项目的实施经验得1分；否则得0分。</w:t>
            </w:r>
          </w:p>
          <w:p w14:paraId="7957B361">
            <w:pPr>
              <w:pStyle w:val="55"/>
              <w:jc w:val="left"/>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备注：需要提供项目实施负责人履历，业绩证明材料，业绩证明材料未明确项目实施负责人的，应补充提交业主出具的证明扫描件或行政主管部门颁发的能证明项目实施负责人的相关证书扫描件，上述扫描件应加盖投标人单位公章，否则其项目实施负责人的业绩无效。</w:t>
            </w:r>
          </w:p>
        </w:tc>
        <w:tc>
          <w:tcPr>
            <w:tcW w:w="0" w:type="auto"/>
            <w:tcBorders>
              <w:top w:val="nil"/>
              <w:left w:val="nil"/>
              <w:bottom w:val="single" w:color="auto" w:sz="4" w:space="0"/>
              <w:right w:val="single" w:color="auto" w:sz="4" w:space="0"/>
            </w:tcBorders>
            <w:shd w:val="clear" w:color="auto" w:fill="auto"/>
            <w:noWrap/>
            <w:vAlign w:val="center"/>
          </w:tcPr>
          <w:p w14:paraId="0205B841">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307A4CB0">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EDCC2D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39DC5E93">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612314">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11</w:t>
            </w:r>
          </w:p>
        </w:tc>
        <w:tc>
          <w:tcPr>
            <w:tcW w:w="0" w:type="auto"/>
            <w:vMerge w:val="continue"/>
            <w:tcBorders>
              <w:left w:val="single" w:color="auto" w:sz="4" w:space="0"/>
              <w:right w:val="single" w:color="auto" w:sz="4" w:space="0"/>
            </w:tcBorders>
            <w:vAlign w:val="center"/>
          </w:tcPr>
          <w:p w14:paraId="3A8B999F">
            <w:pPr>
              <w:widowControl/>
              <w:autoSpaceDE/>
              <w:autoSpaceDN/>
              <w:rPr>
                <w:rFonts w:asciiTheme="minorEastAsia" w:hAnsiTheme="minorEastAsia" w:eastAsiaTheme="minorEastAsia"/>
                <w:color w:val="000000"/>
                <w:sz w:val="21"/>
                <w:szCs w:val="21"/>
                <w:lang w:eastAsia="zh-CN"/>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16E02931">
            <w:pPr>
              <w:pStyle w:val="55"/>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项目进度计划及方案</w:t>
            </w:r>
            <w:r>
              <w:rPr>
                <w:rFonts w:hint="eastAsia" w:cs="宋体" w:asciiTheme="minorEastAsia" w:hAnsiTheme="minorEastAsia" w:eastAsiaTheme="minorEastAsia"/>
                <w:color w:val="000000"/>
                <w:sz w:val="21"/>
                <w:szCs w:val="21"/>
                <w:lang w:eastAsia="zh-CN"/>
              </w:rPr>
              <w:t>：</w:t>
            </w:r>
          </w:p>
          <w:p w14:paraId="0DB5B16D">
            <w:pPr>
              <w:pStyle w:val="55"/>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val="en-US" w:eastAsia="zh-CN"/>
              </w:rPr>
              <w:t>3）</w:t>
            </w:r>
            <w:r>
              <w:rPr>
                <w:rFonts w:hint="eastAsia" w:cs="宋体" w:asciiTheme="minorEastAsia" w:hAnsiTheme="minorEastAsia" w:eastAsiaTheme="minorEastAsia"/>
                <w:color w:val="000000"/>
                <w:sz w:val="21"/>
                <w:szCs w:val="21"/>
                <w:lang w:eastAsia="zh-CN"/>
              </w:rPr>
              <w:t>项目组织管理</w:t>
            </w:r>
          </w:p>
          <w:p w14:paraId="4ECBF198">
            <w:pPr>
              <w:pStyle w:val="55"/>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投标人按照项目实施计划要求，制定项目详细可行的具体实施方案和进度控制措施，严格执行实施计划，确保按时间要求完成项目实施工作。实施方案完善得2分， 实施方案良好得1分，实施方案一般得0分。</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098EDE1">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5EAA99A">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679631E">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86F1E42">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24FDB9">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12</w:t>
            </w:r>
          </w:p>
        </w:tc>
        <w:tc>
          <w:tcPr>
            <w:tcW w:w="0" w:type="auto"/>
            <w:vMerge w:val="continue"/>
            <w:tcBorders>
              <w:left w:val="single" w:color="auto" w:sz="4" w:space="0"/>
              <w:bottom w:val="single" w:color="auto" w:sz="4" w:space="0"/>
              <w:right w:val="single" w:color="auto" w:sz="4" w:space="0"/>
            </w:tcBorders>
            <w:vAlign w:val="center"/>
          </w:tcPr>
          <w:p w14:paraId="6426979E">
            <w:pPr>
              <w:widowControl/>
              <w:autoSpaceDE/>
              <w:autoSpaceDN/>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vAlign w:val="center"/>
          </w:tcPr>
          <w:p w14:paraId="2FCD0610">
            <w:pPr>
              <w:pStyle w:val="55"/>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运维及售后服务方案</w:t>
            </w:r>
            <w:r>
              <w:rPr>
                <w:rFonts w:hint="eastAsia" w:cs="宋体" w:asciiTheme="minorEastAsia" w:hAnsiTheme="minorEastAsia" w:eastAsiaTheme="minorEastAsia"/>
                <w:color w:val="000000"/>
                <w:sz w:val="21"/>
                <w:szCs w:val="21"/>
                <w:lang w:eastAsia="zh-CN"/>
              </w:rPr>
              <w:t>：</w:t>
            </w:r>
          </w:p>
          <w:p w14:paraId="0EB3D9D6">
            <w:pPr>
              <w:pStyle w:val="55"/>
              <w:rPr>
                <w:rFonts w:hint="eastAsia"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4）运维服务要求：提供项目验收后3年的运维支持和服务。在软件的许可期内提供软件的升级和软件维护。售后服务方案应涵盖服务内容、服务方式、响应能力、响应时间、技术人员构成等内容。</w:t>
            </w:r>
          </w:p>
          <w:p w14:paraId="3F171D4D">
            <w:pPr>
              <w:pStyle w:val="55"/>
              <w:rPr>
                <w:rFonts w:hint="eastAsia"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满足上述基本要求得1分，不满足得0分；在此基础上，每增加1年的运维支持和服务加0.5分，累计不超过2分。</w:t>
            </w:r>
          </w:p>
          <w:p w14:paraId="6B9AE481">
            <w:pPr>
              <w:pStyle w:val="55"/>
              <w:rPr>
                <w:rFonts w:hint="eastAsia"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5）培训</w:t>
            </w:r>
          </w:p>
          <w:p w14:paraId="3779A656">
            <w:pPr>
              <w:pStyle w:val="55"/>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培训方案和质量保障措施满足投标人的培训和需求要求得1分，不满足得0分。</w:t>
            </w:r>
          </w:p>
        </w:tc>
        <w:tc>
          <w:tcPr>
            <w:tcW w:w="0" w:type="auto"/>
            <w:tcBorders>
              <w:top w:val="nil"/>
              <w:left w:val="nil"/>
              <w:bottom w:val="single" w:color="auto" w:sz="4" w:space="0"/>
              <w:right w:val="single" w:color="auto" w:sz="4" w:space="0"/>
            </w:tcBorders>
            <w:shd w:val="clear" w:color="auto" w:fill="auto"/>
            <w:noWrap/>
            <w:vAlign w:val="center"/>
          </w:tcPr>
          <w:p w14:paraId="676E5273">
            <w:pPr>
              <w:widowControl/>
              <w:autoSpaceDE/>
              <w:autoSpaceDN/>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0E5E004A">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473DC9A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3E12A5E">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F56D38">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三</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166BDB4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合计</w:t>
            </w:r>
          </w:p>
        </w:tc>
        <w:tc>
          <w:tcPr>
            <w:tcW w:w="0" w:type="auto"/>
            <w:tcBorders>
              <w:top w:val="nil"/>
              <w:left w:val="nil"/>
              <w:bottom w:val="single" w:color="auto" w:sz="4" w:space="0"/>
              <w:right w:val="single" w:color="auto" w:sz="4" w:space="0"/>
            </w:tcBorders>
            <w:shd w:val="clear" w:color="auto" w:fill="auto"/>
            <w:noWrap/>
            <w:vAlign w:val="center"/>
          </w:tcPr>
          <w:p w14:paraId="42C910A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100</w:t>
            </w:r>
          </w:p>
        </w:tc>
        <w:tc>
          <w:tcPr>
            <w:tcW w:w="0" w:type="auto"/>
            <w:tcBorders>
              <w:top w:val="nil"/>
              <w:left w:val="nil"/>
              <w:bottom w:val="single" w:color="auto" w:sz="4" w:space="0"/>
              <w:right w:val="single" w:color="auto" w:sz="4" w:space="0"/>
            </w:tcBorders>
            <w:shd w:val="clear" w:color="auto" w:fill="auto"/>
            <w:noWrap/>
            <w:vAlign w:val="center"/>
          </w:tcPr>
          <w:p w14:paraId="368FF3C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4B8762A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bl>
    <w:p w14:paraId="10230F60">
      <w:pPr>
        <w:rPr>
          <w:lang w:eastAsia="zh-CN"/>
        </w:rPr>
      </w:pP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19"/>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19"/>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19"/>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19"/>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19"/>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19"/>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19"/>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19"/>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19"/>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19"/>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19"/>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19"/>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19"/>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19"/>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19"/>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19"/>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19"/>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19"/>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19"/>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5"/>
      </w:pPr>
    </w:p>
    <w:p w14:paraId="00ABAC03">
      <w:pPr>
        <w:pStyle w:val="55"/>
      </w:pPr>
    </w:p>
    <w:p w14:paraId="54F29C7F">
      <w:pPr>
        <w:pStyle w:val="55"/>
      </w:pPr>
    </w:p>
    <w:p w14:paraId="7A6A90D2">
      <w:pPr>
        <w:pStyle w:val="55"/>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19"/>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19"/>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19"/>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19"/>
        <w:spacing w:line="360" w:lineRule="auto"/>
        <w:ind w:left="215"/>
        <w:rPr>
          <w:lang w:eastAsia="zh-CN"/>
        </w:rPr>
      </w:pPr>
      <w:r>
        <w:rPr>
          <w:lang w:eastAsia="zh-CN"/>
        </w:rPr>
        <w:br w:type="page"/>
      </w:r>
    </w:p>
    <w:p w14:paraId="3F4B5FBC">
      <w:pPr>
        <w:pStyle w:val="19"/>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42D812CA">
      <w:pPr>
        <w:pStyle w:val="206"/>
        <w:snapToGrid w:val="0"/>
        <w:spacing w:line="360" w:lineRule="auto"/>
        <w:jc w:val="center"/>
        <w:rPr>
          <w:rFonts w:hint="eastAsia" w:ascii="宋体" w:hAnsi="宋体"/>
          <w:b/>
          <w:bCs/>
          <w:snapToGrid w:val="0"/>
          <w:sz w:val="44"/>
          <w:szCs w:val="44"/>
        </w:rPr>
      </w:pPr>
    </w:p>
    <w:p w14:paraId="07EB4AAA">
      <w:pPr>
        <w:pStyle w:val="206"/>
        <w:snapToGrid w:val="0"/>
        <w:spacing w:line="360" w:lineRule="auto"/>
        <w:jc w:val="center"/>
        <w:rPr>
          <w:rFonts w:hint="eastAsia" w:ascii="宋体" w:hAnsi="宋体"/>
          <w:b/>
          <w:bCs/>
          <w:snapToGrid w:val="0"/>
          <w:sz w:val="52"/>
          <w:szCs w:val="52"/>
        </w:rPr>
      </w:pPr>
      <w:r>
        <w:rPr>
          <w:rFonts w:hint="eastAsia" w:ascii="宋体" w:hAnsi="宋体"/>
          <w:b/>
          <w:bCs/>
          <w:snapToGrid w:val="0"/>
          <w:sz w:val="52"/>
          <w:szCs w:val="52"/>
        </w:rPr>
        <w:t>福建福海创石油化工有限公司</w:t>
      </w:r>
    </w:p>
    <w:p w14:paraId="0FDCBE9C">
      <w:pPr>
        <w:pStyle w:val="206"/>
        <w:snapToGrid w:val="0"/>
        <w:spacing w:line="360" w:lineRule="auto"/>
        <w:jc w:val="center"/>
        <w:rPr>
          <w:rFonts w:ascii="宋体" w:hAnsi="宋体"/>
          <w:b/>
          <w:bCs/>
          <w:snapToGrid w:val="0"/>
          <w:sz w:val="52"/>
          <w:szCs w:val="52"/>
        </w:rPr>
      </w:pPr>
      <w:r>
        <w:rPr>
          <w:rFonts w:hint="eastAsia" w:ascii="宋体" w:hAnsi="宋体"/>
          <w:b/>
          <w:bCs/>
          <w:snapToGrid w:val="0"/>
          <w:sz w:val="52"/>
          <w:szCs w:val="52"/>
        </w:rPr>
        <w:t>PTA装置先进控制（APC）软件包采购及工程服务</w:t>
      </w:r>
    </w:p>
    <w:p w14:paraId="4201B356">
      <w:pPr>
        <w:pStyle w:val="206"/>
        <w:snapToGrid w:val="0"/>
        <w:spacing w:line="360" w:lineRule="auto"/>
        <w:ind w:left="883" w:hanging="883" w:hangingChars="200"/>
        <w:jc w:val="center"/>
        <w:rPr>
          <w:rFonts w:ascii="宋体" w:hAnsi="宋体"/>
          <w:b/>
          <w:sz w:val="44"/>
          <w:szCs w:val="28"/>
        </w:rPr>
      </w:pPr>
    </w:p>
    <w:p w14:paraId="22766140">
      <w:pPr>
        <w:pStyle w:val="206"/>
        <w:snapToGrid w:val="0"/>
        <w:spacing w:line="360" w:lineRule="auto"/>
        <w:ind w:left="1446" w:hanging="1446" w:hangingChars="200"/>
        <w:jc w:val="center"/>
        <w:rPr>
          <w:rFonts w:ascii="宋体" w:hAnsi="宋体"/>
          <w:b/>
          <w:sz w:val="72"/>
          <w:szCs w:val="72"/>
        </w:rPr>
      </w:pPr>
      <w:r>
        <w:rPr>
          <w:rFonts w:hint="eastAsia" w:ascii="宋体" w:hAnsi="宋体"/>
          <w:b/>
          <w:sz w:val="72"/>
          <w:szCs w:val="72"/>
        </w:rPr>
        <w:t>合</w:t>
      </w:r>
    </w:p>
    <w:p w14:paraId="605C9536">
      <w:pPr>
        <w:pStyle w:val="206"/>
        <w:snapToGrid w:val="0"/>
        <w:spacing w:line="360" w:lineRule="auto"/>
        <w:ind w:left="1446" w:hanging="1446" w:hangingChars="200"/>
        <w:jc w:val="center"/>
        <w:rPr>
          <w:rFonts w:ascii="宋体" w:hAnsi="宋体"/>
          <w:b/>
          <w:sz w:val="72"/>
          <w:szCs w:val="72"/>
        </w:rPr>
      </w:pPr>
      <w:r>
        <w:rPr>
          <w:rFonts w:hint="eastAsia" w:ascii="宋体" w:hAnsi="宋体"/>
          <w:b/>
          <w:sz w:val="72"/>
          <w:szCs w:val="72"/>
        </w:rPr>
        <w:t>同</w:t>
      </w:r>
    </w:p>
    <w:p w14:paraId="2BBACE38">
      <w:pPr>
        <w:pStyle w:val="206"/>
        <w:snapToGrid w:val="0"/>
        <w:spacing w:line="360" w:lineRule="auto"/>
        <w:ind w:left="1446" w:hanging="1446" w:hangingChars="200"/>
        <w:jc w:val="center"/>
        <w:rPr>
          <w:rFonts w:ascii="宋体" w:hAnsi="宋体"/>
          <w:b/>
          <w:sz w:val="72"/>
          <w:szCs w:val="72"/>
        </w:rPr>
      </w:pPr>
      <w:r>
        <w:rPr>
          <w:rFonts w:hint="eastAsia" w:ascii="宋体" w:hAnsi="宋体"/>
          <w:b/>
          <w:sz w:val="72"/>
          <w:szCs w:val="72"/>
        </w:rPr>
        <w:t>书</w:t>
      </w:r>
    </w:p>
    <w:p w14:paraId="318E32C9">
      <w:pPr>
        <w:pStyle w:val="206"/>
        <w:snapToGrid w:val="0"/>
        <w:spacing w:line="360" w:lineRule="auto"/>
        <w:ind w:left="883" w:hanging="883" w:hangingChars="200"/>
        <w:jc w:val="center"/>
        <w:rPr>
          <w:rFonts w:ascii="宋体" w:hAnsi="宋体"/>
          <w:b/>
          <w:sz w:val="44"/>
          <w:szCs w:val="28"/>
        </w:rPr>
      </w:pPr>
    </w:p>
    <w:p w14:paraId="4D23317A">
      <w:pPr>
        <w:pStyle w:val="206"/>
        <w:snapToGrid w:val="0"/>
        <w:spacing w:line="360" w:lineRule="auto"/>
        <w:ind w:left="669" w:leftChars="304" w:firstLine="1269" w:firstLineChars="395"/>
        <w:rPr>
          <w:rFonts w:ascii="宋体" w:hAnsi="宋体"/>
          <w:b/>
          <w:sz w:val="32"/>
          <w:szCs w:val="32"/>
        </w:rPr>
      </w:pPr>
      <w:r>
        <w:rPr>
          <w:rFonts w:hint="eastAsia" w:ascii="宋体" w:hAnsi="宋体"/>
          <w:b/>
          <w:sz w:val="32"/>
          <w:szCs w:val="32"/>
        </w:rPr>
        <w:t>合同编号：</w:t>
      </w:r>
    </w:p>
    <w:p w14:paraId="5BCD6BCD">
      <w:pPr>
        <w:pStyle w:val="206"/>
        <w:snapToGrid w:val="0"/>
        <w:spacing w:line="360" w:lineRule="auto"/>
        <w:ind w:left="704" w:leftChars="320" w:firstLine="1285" w:firstLineChars="400"/>
        <w:rPr>
          <w:rFonts w:ascii="宋体" w:hAnsi="宋体"/>
          <w:b/>
          <w:sz w:val="32"/>
          <w:szCs w:val="32"/>
        </w:rPr>
      </w:pPr>
      <w:r>
        <w:rPr>
          <w:rFonts w:hint="eastAsia" w:ascii="宋体" w:hAnsi="宋体"/>
          <w:b/>
          <w:sz w:val="32"/>
          <w:szCs w:val="32"/>
        </w:rPr>
        <w:t>甲方：福建福海创石油化工有限公司</w:t>
      </w:r>
    </w:p>
    <w:p w14:paraId="10C13325">
      <w:pPr>
        <w:pStyle w:val="206"/>
        <w:snapToGrid w:val="0"/>
        <w:spacing w:line="360" w:lineRule="auto"/>
        <w:ind w:left="669" w:leftChars="304" w:firstLine="1269" w:firstLineChars="395"/>
        <w:rPr>
          <w:rFonts w:ascii="宋体" w:hAnsi="宋体"/>
          <w:b/>
          <w:sz w:val="32"/>
          <w:szCs w:val="32"/>
        </w:rPr>
      </w:pPr>
      <w:r>
        <w:rPr>
          <w:rFonts w:hint="eastAsia" w:ascii="宋体" w:hAnsi="宋体"/>
          <w:b/>
          <w:sz w:val="32"/>
          <w:szCs w:val="32"/>
        </w:rPr>
        <w:t>乙方：</w:t>
      </w:r>
    </w:p>
    <w:p w14:paraId="3D14FA95">
      <w:pPr>
        <w:pStyle w:val="206"/>
        <w:snapToGrid w:val="0"/>
        <w:spacing w:line="360" w:lineRule="auto"/>
        <w:ind w:left="669" w:leftChars="304" w:firstLine="1269" w:firstLineChars="395"/>
        <w:rPr>
          <w:rFonts w:ascii="宋体" w:hAnsi="宋体"/>
          <w:b/>
          <w:sz w:val="32"/>
          <w:szCs w:val="32"/>
        </w:rPr>
      </w:pPr>
      <w:r>
        <w:rPr>
          <w:rFonts w:hint="eastAsia" w:ascii="宋体" w:hAnsi="宋体"/>
          <w:b/>
          <w:sz w:val="32"/>
          <w:szCs w:val="32"/>
        </w:rPr>
        <w:t>签订时间：</w:t>
      </w:r>
      <w:r>
        <w:rPr>
          <w:rFonts w:ascii="宋体" w:hAnsi="宋体"/>
          <w:b/>
          <w:sz w:val="32"/>
          <w:szCs w:val="32"/>
        </w:rPr>
        <w:t>2025</w:t>
      </w:r>
      <w:r>
        <w:rPr>
          <w:rFonts w:hint="eastAsia" w:ascii="宋体" w:hAnsi="宋体"/>
          <w:b/>
          <w:sz w:val="32"/>
          <w:szCs w:val="32"/>
        </w:rPr>
        <w:t>年</w:t>
      </w:r>
      <w:r>
        <w:rPr>
          <w:rFonts w:ascii="宋体" w:hAnsi="宋体"/>
          <w:b/>
          <w:sz w:val="32"/>
          <w:szCs w:val="32"/>
        </w:rPr>
        <w:t xml:space="preserve"> </w:t>
      </w:r>
      <w:r>
        <w:rPr>
          <w:rFonts w:hint="eastAsia" w:ascii="宋体" w:hAnsi="宋体"/>
          <w:b/>
          <w:sz w:val="32"/>
          <w:szCs w:val="32"/>
          <w:lang w:val="en-US" w:eastAsia="zh-CN"/>
        </w:rPr>
        <w:t>12</w:t>
      </w:r>
      <w:r>
        <w:rPr>
          <w:rFonts w:hint="eastAsia" w:ascii="宋体" w:hAnsi="宋体"/>
          <w:b/>
          <w:sz w:val="32"/>
          <w:szCs w:val="32"/>
        </w:rPr>
        <w:t>月</w:t>
      </w:r>
      <w:r>
        <w:rPr>
          <w:rFonts w:hint="eastAsia" w:ascii="宋体" w:hAnsi="宋体"/>
          <w:b/>
          <w:sz w:val="32"/>
          <w:szCs w:val="32"/>
          <w:lang w:val="en-US" w:eastAsia="zh-CN"/>
        </w:rPr>
        <w:t xml:space="preserve">  </w:t>
      </w:r>
      <w:r>
        <w:rPr>
          <w:rFonts w:hint="eastAsia" w:ascii="宋体" w:hAnsi="宋体"/>
          <w:b/>
          <w:sz w:val="32"/>
          <w:szCs w:val="32"/>
        </w:rPr>
        <w:t>日</w:t>
      </w:r>
    </w:p>
    <w:p w14:paraId="525A35A9">
      <w:pPr>
        <w:pStyle w:val="206"/>
        <w:snapToGrid w:val="0"/>
        <w:spacing w:line="360" w:lineRule="auto"/>
        <w:ind w:left="669" w:leftChars="304" w:firstLine="1269" w:firstLineChars="395"/>
        <w:rPr>
          <w:rFonts w:ascii="宋体" w:hAnsi="宋体"/>
          <w:b/>
          <w:sz w:val="32"/>
          <w:szCs w:val="32"/>
        </w:rPr>
      </w:pPr>
      <w:r>
        <w:rPr>
          <w:rFonts w:hint="eastAsia" w:ascii="宋体" w:hAnsi="宋体"/>
          <w:b/>
          <w:sz w:val="32"/>
          <w:szCs w:val="32"/>
        </w:rPr>
        <w:t>签订地点：漳州古雷</w:t>
      </w:r>
    </w:p>
    <w:p w14:paraId="568A8108">
      <w:pPr>
        <w:keepNext w:val="0"/>
        <w:keepLines w:val="0"/>
        <w:pageBreakBefore w:val="0"/>
        <w:kinsoku/>
        <w:wordWrap/>
        <w:overflowPunct/>
        <w:topLinePunct w:val="0"/>
        <w:bidi w:val="0"/>
        <w:adjustRightInd/>
        <w:snapToGrid/>
        <w:spacing w:line="400" w:lineRule="atLeast"/>
        <w:ind w:firstLine="482" w:firstLineChars="200"/>
        <w:textAlignment w:val="auto"/>
        <w:rPr>
          <w:rFonts w:hint="eastAsia" w:ascii="宋体" w:hAnsi="宋体" w:eastAsia="宋体" w:cs="宋体"/>
          <w:sz w:val="22"/>
          <w:szCs w:val="22"/>
        </w:rPr>
      </w:pPr>
      <w:r>
        <w:rPr>
          <w:rFonts w:hint="eastAsia" w:ascii="宋体" w:hAnsi="宋体"/>
          <w:b/>
          <w:sz w:val="24"/>
          <w:szCs w:val="24"/>
        </w:rPr>
        <w:br w:type="page"/>
      </w:r>
      <w:r>
        <w:rPr>
          <w:rFonts w:hint="eastAsia" w:ascii="宋体" w:hAnsi="宋体" w:eastAsia="宋体" w:cs="宋体"/>
          <w:sz w:val="22"/>
          <w:szCs w:val="22"/>
        </w:rPr>
        <w:t>甲、乙双方根据《</w:t>
      </w:r>
      <w:r>
        <w:rPr>
          <w:rFonts w:hint="eastAsia" w:ascii="宋体" w:hAnsi="宋体" w:eastAsia="宋体" w:cs="宋体"/>
          <w:spacing w:val="-10"/>
          <w:sz w:val="22"/>
          <w:szCs w:val="22"/>
        </w:rPr>
        <w:t>中</w:t>
      </w:r>
      <w:r>
        <w:rPr>
          <w:rFonts w:hint="eastAsia" w:ascii="宋体" w:hAnsi="宋体" w:eastAsia="宋体" w:cs="宋体"/>
          <w:sz w:val="22"/>
          <w:szCs w:val="22"/>
        </w:rPr>
        <w:t>华人民共和国民法典》及相关法律法规的规定，在平等自愿的基础上协商一致，并达成如下条款，以资共同遵守：</w:t>
      </w:r>
    </w:p>
    <w:p w14:paraId="0DB54721">
      <w:pPr>
        <w:keepNext w:val="0"/>
        <w:keepLines w:val="0"/>
        <w:pageBreakBefore w:val="0"/>
        <w:tabs>
          <w:tab w:val="left" w:pos="540"/>
          <w:tab w:val="left" w:pos="720"/>
        </w:tabs>
        <w:kinsoku/>
        <w:wordWrap/>
        <w:overflowPunct/>
        <w:topLinePunct w:val="0"/>
        <w:bidi w:val="0"/>
        <w:adjustRightInd/>
        <w:snapToGrid/>
        <w:spacing w:line="400" w:lineRule="atLeast"/>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第一章   合同款项</w:t>
      </w:r>
    </w:p>
    <w:p w14:paraId="78F2B9F8">
      <w:pPr>
        <w:keepNext w:val="0"/>
        <w:keepLines w:val="0"/>
        <w:pageBreakBefore w:val="0"/>
        <w:kinsoku/>
        <w:wordWrap/>
        <w:overflowPunct/>
        <w:topLinePunct w:val="0"/>
        <w:bidi w:val="0"/>
        <w:adjustRightInd/>
        <w:snapToGrid/>
        <w:spacing w:line="400" w:lineRule="atLeast"/>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1.1、本项目采用固定总价（含税）方式，开立</w:t>
      </w:r>
      <w:r>
        <w:rPr>
          <w:rFonts w:hint="eastAsia" w:ascii="宋体" w:hAnsi="宋体" w:eastAsia="宋体" w:cs="宋体"/>
          <w:color w:val="000000"/>
          <w:sz w:val="22"/>
          <w:szCs w:val="22"/>
          <w:lang w:val="en-US" w:eastAsia="zh-CN"/>
        </w:rPr>
        <w:t>增值税专用</w:t>
      </w:r>
      <w:r>
        <w:rPr>
          <w:rFonts w:hint="eastAsia" w:ascii="宋体" w:hAnsi="宋体" w:eastAsia="宋体" w:cs="宋体"/>
          <w:color w:val="000000"/>
          <w:sz w:val="22"/>
          <w:szCs w:val="22"/>
        </w:rPr>
        <w:t>发票，发票必须符合国家税收法律法规的规定；</w:t>
      </w:r>
      <w:r>
        <w:rPr>
          <w:rFonts w:hint="eastAsia" w:ascii="宋体" w:hAnsi="宋体" w:eastAsia="宋体" w:cs="宋体"/>
          <w:color w:val="000000" w:themeColor="text1"/>
          <w:sz w:val="22"/>
          <w:szCs w:val="22"/>
        </w:rPr>
        <w:t>产品报价应包含所有货品制造、运输、安装、调试、验收、交付使用、使用培训、试点实施、售后服务、税费（软件税率13%，服务税率6%）等一切费用</w:t>
      </w:r>
      <w:r>
        <w:rPr>
          <w:rFonts w:hint="eastAsia" w:cs="宋体"/>
          <w:color w:val="000000" w:themeColor="text1"/>
          <w:sz w:val="22"/>
          <w:szCs w:val="22"/>
          <w:lang w:eastAsia="zh-CN"/>
        </w:rPr>
        <w:t>，</w:t>
      </w:r>
      <w:r>
        <w:rPr>
          <w:rFonts w:hint="eastAsia" w:cs="宋体"/>
          <w:color w:val="000000"/>
          <w:sz w:val="22"/>
          <w:szCs w:val="22"/>
          <w:lang w:val="en-US" w:eastAsia="zh-CN"/>
        </w:rPr>
        <w:t>具体如下表</w:t>
      </w:r>
      <w:r>
        <w:rPr>
          <w:rFonts w:hint="eastAsia" w:ascii="宋体" w:hAnsi="宋体" w:eastAsia="宋体" w:cs="宋体"/>
          <w:color w:val="000000"/>
          <w:sz w:val="22"/>
          <w:szCs w:val="22"/>
        </w:rPr>
        <w:t>。</w:t>
      </w:r>
    </w:p>
    <w:tbl>
      <w:tblPr>
        <w:tblStyle w:val="4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248"/>
        <w:gridCol w:w="1084"/>
        <w:gridCol w:w="1222"/>
        <w:gridCol w:w="3327"/>
      </w:tblGrid>
      <w:tr w14:paraId="5C84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0" w:type="dxa"/>
            <w:vAlign w:val="center"/>
          </w:tcPr>
          <w:p w14:paraId="0DB11335">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3248" w:type="dxa"/>
            <w:vAlign w:val="center"/>
          </w:tcPr>
          <w:p w14:paraId="05F779B1">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项目</w:t>
            </w:r>
          </w:p>
        </w:tc>
        <w:tc>
          <w:tcPr>
            <w:tcW w:w="1084" w:type="dxa"/>
            <w:vAlign w:val="center"/>
          </w:tcPr>
          <w:p w14:paraId="64851228">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数量</w:t>
            </w:r>
          </w:p>
        </w:tc>
        <w:tc>
          <w:tcPr>
            <w:tcW w:w="1222" w:type="dxa"/>
            <w:vAlign w:val="center"/>
          </w:tcPr>
          <w:p w14:paraId="489F4EA7">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单位 </w:t>
            </w:r>
          </w:p>
        </w:tc>
        <w:tc>
          <w:tcPr>
            <w:tcW w:w="3327" w:type="dxa"/>
            <w:vAlign w:val="center"/>
          </w:tcPr>
          <w:p w14:paraId="05C46EEC">
            <w:pPr>
              <w:keepNext w:val="0"/>
              <w:keepLines w:val="0"/>
              <w:pageBreakBefore w:val="0"/>
              <w:widowControl/>
              <w:kinsoku/>
              <w:wordWrap/>
              <w:overflowPunct/>
              <w:topLinePunct w:val="0"/>
              <w:bidi w:val="0"/>
              <w:adjustRightInd/>
              <w:snapToGrid/>
              <w:spacing w:line="400" w:lineRule="atLeas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合计费用 （RMB元）</w:t>
            </w:r>
          </w:p>
        </w:tc>
      </w:tr>
      <w:tr w14:paraId="3E3D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00" w:type="dxa"/>
            <w:vAlign w:val="center"/>
          </w:tcPr>
          <w:p w14:paraId="12093689">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3248" w:type="dxa"/>
            <w:vAlign w:val="center"/>
          </w:tcPr>
          <w:p w14:paraId="520D8C24">
            <w:pPr>
              <w:keepNext w:val="0"/>
              <w:keepLines w:val="0"/>
              <w:pageBreakBefore w:val="0"/>
              <w:tabs>
                <w:tab w:val="left" w:pos="540"/>
                <w:tab w:val="left" w:pos="720"/>
              </w:tabs>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福建福海创石油化工有限公司PTA装置先进控制（APC）软件包采购及工程服务</w:t>
            </w:r>
          </w:p>
        </w:tc>
        <w:tc>
          <w:tcPr>
            <w:tcW w:w="1084" w:type="dxa"/>
            <w:vAlign w:val="center"/>
          </w:tcPr>
          <w:p w14:paraId="650C30F2">
            <w:pPr>
              <w:keepNext w:val="0"/>
              <w:keepLines w:val="0"/>
              <w:pageBreakBefore w:val="0"/>
              <w:kinsoku/>
              <w:wordWrap/>
              <w:overflowPunct/>
              <w:topLinePunct w:val="0"/>
              <w:bidi w:val="0"/>
              <w:adjustRightInd/>
              <w:snapToGrid/>
              <w:spacing w:line="400" w:lineRule="atLeast"/>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222" w:type="dxa"/>
            <w:vAlign w:val="center"/>
          </w:tcPr>
          <w:p w14:paraId="42BEBD6C">
            <w:pPr>
              <w:keepNext w:val="0"/>
              <w:keepLines w:val="0"/>
              <w:pageBreakBefore w:val="0"/>
              <w:kinsoku/>
              <w:wordWrap/>
              <w:overflowPunct/>
              <w:topLinePunct w:val="0"/>
              <w:bidi w:val="0"/>
              <w:adjustRightInd/>
              <w:snapToGrid/>
              <w:spacing w:line="400" w:lineRule="atLeast"/>
              <w:ind w:firstLine="220" w:firstLineChars="1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项</w:t>
            </w:r>
          </w:p>
        </w:tc>
        <w:tc>
          <w:tcPr>
            <w:tcW w:w="3327" w:type="dxa"/>
            <w:vAlign w:val="center"/>
          </w:tcPr>
          <w:p w14:paraId="75552B48">
            <w:pPr>
              <w:keepNext w:val="0"/>
              <w:keepLines w:val="0"/>
              <w:pageBreakBefore w:val="0"/>
              <w:kinsoku/>
              <w:wordWrap/>
              <w:overflowPunct/>
              <w:topLinePunct w:val="0"/>
              <w:bidi w:val="0"/>
              <w:adjustRightInd/>
              <w:snapToGrid/>
              <w:spacing w:line="400" w:lineRule="atLeast"/>
              <w:ind w:firstLine="220" w:firstLineChars="100"/>
              <w:jc w:val="center"/>
              <w:textAlignment w:val="auto"/>
              <w:rPr>
                <w:rFonts w:hint="eastAsia" w:ascii="宋体" w:hAnsi="宋体" w:eastAsia="宋体" w:cs="宋体"/>
                <w:color w:val="000000"/>
                <w:sz w:val="22"/>
                <w:szCs w:val="22"/>
              </w:rPr>
            </w:pPr>
          </w:p>
        </w:tc>
      </w:tr>
      <w:tr w14:paraId="58FF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81" w:type="dxa"/>
            <w:gridSpan w:val="5"/>
            <w:vAlign w:val="center"/>
          </w:tcPr>
          <w:p w14:paraId="3C6C99FB">
            <w:pPr>
              <w:keepNext w:val="0"/>
              <w:keepLines w:val="0"/>
              <w:pageBreakBefore w:val="0"/>
              <w:tabs>
                <w:tab w:val="left" w:pos="540"/>
                <w:tab w:val="left" w:pos="720"/>
              </w:tabs>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合计金额（大写）：</w:t>
            </w:r>
            <w:r>
              <w:rPr>
                <w:rFonts w:hint="eastAsia" w:ascii="宋体" w:hAnsi="宋体" w:eastAsia="宋体" w:cs="宋体"/>
                <w:spacing w:val="1"/>
                <w:sz w:val="22"/>
                <w:szCs w:val="22"/>
              </w:rPr>
              <w:t xml:space="preserve">人民币 </w:t>
            </w:r>
            <w:r>
              <w:rPr>
                <w:rFonts w:hint="eastAsia" w:ascii="宋体" w:hAnsi="宋体" w:eastAsia="宋体" w:cs="宋体"/>
                <w:spacing w:val="5"/>
                <w:sz w:val="22"/>
                <w:szCs w:val="22"/>
                <w:u w:val="single"/>
              </w:rPr>
              <w:t xml:space="preserve"> </w:t>
            </w:r>
            <w:r>
              <w:rPr>
                <w:rFonts w:hint="eastAsia" w:ascii="宋体" w:hAnsi="宋体" w:eastAsia="宋体" w:cs="宋体"/>
                <w:spacing w:val="5"/>
                <w:sz w:val="22"/>
                <w:szCs w:val="22"/>
                <w:u w:val="single"/>
                <w:lang w:val="en-US" w:eastAsia="zh-CN"/>
              </w:rPr>
              <w:t xml:space="preserve">            </w:t>
            </w:r>
            <w:r>
              <w:rPr>
                <w:rFonts w:hint="eastAsia" w:ascii="宋体" w:hAnsi="宋体" w:eastAsia="宋体" w:cs="宋体"/>
                <w:spacing w:val="4"/>
                <w:sz w:val="22"/>
                <w:szCs w:val="22"/>
              </w:rPr>
              <w:t xml:space="preserve"> 元整，小 写：￥ </w:t>
            </w:r>
            <w:r>
              <w:rPr>
                <w:rFonts w:hint="eastAsia" w:ascii="宋体" w:hAnsi="宋体" w:eastAsia="宋体" w:cs="宋体"/>
                <w:spacing w:val="4"/>
                <w:sz w:val="22"/>
                <w:szCs w:val="22"/>
                <w:u w:val="single"/>
                <w:lang w:val="en-US" w:eastAsia="zh-CN"/>
              </w:rPr>
              <w:t xml:space="preserve">     </w:t>
            </w:r>
            <w:r>
              <w:rPr>
                <w:rFonts w:hint="eastAsia" w:ascii="宋体" w:hAnsi="宋体" w:eastAsia="宋体" w:cs="宋体"/>
                <w:spacing w:val="4"/>
                <w:sz w:val="22"/>
                <w:szCs w:val="22"/>
              </w:rPr>
              <w:t>元。其中软件</w:t>
            </w:r>
            <w:r>
              <w:rPr>
                <w:rFonts w:hint="eastAsia" w:ascii="宋体" w:hAnsi="宋体" w:eastAsia="宋体" w:cs="宋体"/>
                <w:spacing w:val="4"/>
                <w:sz w:val="22"/>
                <w:szCs w:val="22"/>
                <w:lang w:val="en-US" w:eastAsia="zh-CN"/>
              </w:rPr>
              <w:t>费用</w:t>
            </w:r>
            <w:r>
              <w:rPr>
                <w:rFonts w:hint="eastAsia" w:ascii="宋体" w:hAnsi="宋体" w:eastAsia="宋体" w:cs="宋体"/>
                <w:spacing w:val="4"/>
                <w:sz w:val="22"/>
                <w:szCs w:val="22"/>
              </w:rPr>
              <w:t xml:space="preserve"> </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u w:val="single"/>
                <w:lang w:val="en-US" w:eastAsia="zh-CN"/>
              </w:rPr>
              <w:t xml:space="preserve">  </w:t>
            </w:r>
            <w:r>
              <w:rPr>
                <w:rFonts w:hint="eastAsia" w:ascii="宋体" w:hAnsi="宋体" w:eastAsia="宋体" w:cs="宋体"/>
                <w:spacing w:val="4"/>
                <w:sz w:val="22"/>
                <w:szCs w:val="22"/>
              </w:rPr>
              <w:t>元（含 13% 增值税），硬件</w:t>
            </w:r>
            <w:r>
              <w:rPr>
                <w:rFonts w:hint="eastAsia" w:ascii="宋体" w:hAnsi="宋体" w:eastAsia="宋体" w:cs="宋体"/>
                <w:spacing w:val="4"/>
                <w:sz w:val="22"/>
                <w:szCs w:val="22"/>
                <w:lang w:val="en-US" w:eastAsia="zh-CN"/>
              </w:rPr>
              <w:t>费用：</w:t>
            </w:r>
            <w:r>
              <w:rPr>
                <w:rFonts w:hint="eastAsia" w:ascii="宋体" w:hAnsi="宋体" w:eastAsia="宋体" w:cs="宋体"/>
                <w:spacing w:val="4"/>
                <w:sz w:val="22"/>
                <w:szCs w:val="22"/>
                <w:u w:val="single"/>
                <w:lang w:val="en-US" w:eastAsia="zh-CN"/>
              </w:rPr>
              <w:t xml:space="preserve">    </w:t>
            </w:r>
            <w:r>
              <w:rPr>
                <w:rFonts w:hint="eastAsia" w:ascii="宋体" w:hAnsi="宋体" w:eastAsia="宋体" w:cs="宋体"/>
                <w:spacing w:val="4"/>
                <w:sz w:val="22"/>
                <w:szCs w:val="22"/>
              </w:rPr>
              <w:t>元（含</w:t>
            </w:r>
            <w:r>
              <w:rPr>
                <w:rFonts w:hint="eastAsia" w:ascii="宋体" w:hAnsi="宋体" w:eastAsia="宋体" w:cs="宋体"/>
                <w:spacing w:val="-28"/>
                <w:sz w:val="22"/>
                <w:szCs w:val="22"/>
              </w:rPr>
              <w:t xml:space="preserve"> </w:t>
            </w:r>
            <w:r>
              <w:rPr>
                <w:rFonts w:hint="eastAsia" w:ascii="宋体" w:hAnsi="宋体" w:eastAsia="宋体" w:cs="宋体"/>
                <w:spacing w:val="4"/>
                <w:sz w:val="22"/>
                <w:szCs w:val="22"/>
              </w:rPr>
              <w:t>13%增值税</w:t>
            </w:r>
            <w:r>
              <w:rPr>
                <w:rFonts w:hint="eastAsia" w:ascii="宋体" w:hAnsi="宋体" w:eastAsia="宋体" w:cs="宋体"/>
                <w:spacing w:val="-37"/>
                <w:sz w:val="22"/>
                <w:szCs w:val="22"/>
              </w:rPr>
              <w:t>），</w:t>
            </w:r>
            <w:r>
              <w:rPr>
                <w:rFonts w:hint="eastAsia" w:ascii="宋体" w:hAnsi="宋体" w:eastAsia="宋体" w:cs="宋体"/>
                <w:spacing w:val="4"/>
                <w:sz w:val="22"/>
                <w:szCs w:val="22"/>
              </w:rPr>
              <w:t>服务费</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u w:val="single"/>
                <w:lang w:val="en-US" w:eastAsia="zh-CN"/>
              </w:rPr>
              <w:t xml:space="preserve">     </w:t>
            </w:r>
            <w:r>
              <w:rPr>
                <w:rFonts w:hint="eastAsia" w:ascii="宋体" w:hAnsi="宋体" w:eastAsia="宋体" w:cs="宋体"/>
                <w:spacing w:val="4"/>
                <w:sz w:val="22"/>
                <w:szCs w:val="22"/>
              </w:rPr>
              <w:t>元（含</w:t>
            </w:r>
            <w:r>
              <w:rPr>
                <w:rFonts w:hint="eastAsia" w:ascii="宋体" w:hAnsi="宋体" w:eastAsia="宋体" w:cs="宋体"/>
                <w:spacing w:val="-37"/>
                <w:sz w:val="22"/>
                <w:szCs w:val="22"/>
              </w:rPr>
              <w:t xml:space="preserve"> </w:t>
            </w:r>
            <w:r>
              <w:rPr>
                <w:rFonts w:hint="eastAsia" w:ascii="宋体" w:hAnsi="宋体" w:eastAsia="宋体" w:cs="宋体"/>
                <w:spacing w:val="4"/>
                <w:sz w:val="22"/>
                <w:szCs w:val="22"/>
              </w:rPr>
              <w:t>6%增值税）。具体详见附件报价清单，但该清单仅为乙方完成本项目所需各种细项费用的参考，如果清单有遗漏，在甲方未改变技术要求的前提下，乙方应当免费提供，不得以清单中未包含而提出异议。</w:t>
            </w:r>
          </w:p>
        </w:tc>
      </w:tr>
    </w:tbl>
    <w:p w14:paraId="60B86A90">
      <w:pPr>
        <w:keepNext w:val="0"/>
        <w:keepLines w:val="0"/>
        <w:pageBreakBefore w:val="0"/>
        <w:tabs>
          <w:tab w:val="left" w:pos="540"/>
          <w:tab w:val="left" w:pos="720"/>
        </w:tabs>
        <w:kinsoku/>
        <w:wordWrap/>
        <w:overflowPunct/>
        <w:topLinePunct w:val="0"/>
        <w:bidi w:val="0"/>
        <w:adjustRightInd/>
        <w:snapToGrid/>
        <w:spacing w:line="400" w:lineRule="atLeast"/>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第二章  项目范围、内容及要求</w:t>
      </w:r>
    </w:p>
    <w:p w14:paraId="5E55441F">
      <w:pPr>
        <w:pStyle w:val="71"/>
        <w:keepNext w:val="0"/>
        <w:keepLines w:val="0"/>
        <w:pageBreakBefore w:val="0"/>
        <w:widowControl/>
        <w:numPr>
          <w:ilvl w:val="1"/>
          <w:numId w:val="10"/>
        </w:numPr>
        <w:kinsoku/>
        <w:wordWrap/>
        <w:overflowPunct/>
        <w:topLinePunct w:val="0"/>
        <w:bidi w:val="0"/>
        <w:adjustRightInd/>
        <w:snapToGrid/>
        <w:spacing w:before="0"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项目名称：</w:t>
      </w:r>
      <w:r>
        <w:rPr>
          <w:rFonts w:hint="eastAsia" w:ascii="宋体" w:hAnsi="宋体" w:eastAsia="宋体" w:cs="宋体"/>
          <w:color w:val="000000"/>
          <w:sz w:val="22"/>
          <w:szCs w:val="22"/>
          <w:lang w:val="en-US" w:eastAsia="zh-CN"/>
        </w:rPr>
        <w:t>福建福海创石油化工有限公司</w:t>
      </w:r>
      <w:r>
        <w:rPr>
          <w:rFonts w:hint="eastAsia" w:ascii="宋体" w:hAnsi="宋体" w:eastAsia="宋体" w:cs="宋体"/>
          <w:color w:val="000000"/>
          <w:sz w:val="22"/>
          <w:szCs w:val="22"/>
        </w:rPr>
        <w:t>PTA装置先进控制（APC）软件包采购及工程服务。</w:t>
      </w:r>
    </w:p>
    <w:p w14:paraId="771BAB70">
      <w:pPr>
        <w:pStyle w:val="71"/>
        <w:keepNext w:val="0"/>
        <w:keepLines w:val="0"/>
        <w:pageBreakBefore w:val="0"/>
        <w:widowControl/>
        <w:numPr>
          <w:ilvl w:val="1"/>
          <w:numId w:val="10"/>
        </w:numPr>
        <w:kinsoku/>
        <w:wordWrap/>
        <w:overflowPunct/>
        <w:topLinePunct w:val="0"/>
        <w:bidi w:val="0"/>
        <w:adjustRightInd/>
        <w:snapToGrid/>
        <w:spacing w:before="0"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项目地点：漳州古雷厂区。</w:t>
      </w:r>
    </w:p>
    <w:p w14:paraId="53C284EA">
      <w:pPr>
        <w:pStyle w:val="71"/>
        <w:keepNext w:val="0"/>
        <w:keepLines w:val="0"/>
        <w:pageBreakBefore w:val="0"/>
        <w:widowControl/>
        <w:numPr>
          <w:ilvl w:val="1"/>
          <w:numId w:val="10"/>
        </w:numPr>
        <w:kinsoku/>
        <w:wordWrap/>
        <w:overflowPunct/>
        <w:topLinePunct w:val="0"/>
        <w:bidi w:val="0"/>
        <w:adjustRightInd/>
        <w:snapToGrid/>
        <w:spacing w:before="0" w:line="400" w:lineRule="atLeast"/>
        <w:ind w:left="0" w:firstLine="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项目范围：</w:t>
      </w:r>
    </w:p>
    <w:p w14:paraId="63EEB676">
      <w:pPr>
        <w:keepNext w:val="0"/>
        <w:keepLines w:val="0"/>
        <w:pageBreakBefore w:val="0"/>
        <w:kinsoku/>
        <w:wordWrap/>
        <w:overflowPunct/>
        <w:topLinePunct w:val="0"/>
        <w:bidi w:val="0"/>
        <w:adjustRightInd/>
        <w:snapToGrid/>
        <w:spacing w:line="400" w:lineRule="atLeast"/>
        <w:ind w:firstLine="374" w:firstLineChars="17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提供适合福建福海创石油化工有限公司450万吨/年PTA装置的先进控制软件，及配套的软、硬件；提供以上装置的先进控制系统和现场实施，负责用户培训，提供售后服务等。</w:t>
      </w:r>
    </w:p>
    <w:p w14:paraId="093388A5">
      <w:pPr>
        <w:pStyle w:val="71"/>
        <w:keepNext w:val="0"/>
        <w:keepLines w:val="0"/>
        <w:pageBreakBefore w:val="0"/>
        <w:widowControl/>
        <w:numPr>
          <w:ilvl w:val="2"/>
          <w:numId w:val="11"/>
        </w:numPr>
        <w:kinsoku/>
        <w:wordWrap/>
        <w:overflowPunct/>
        <w:topLinePunct w:val="0"/>
        <w:bidi w:val="0"/>
        <w:adjustRightInd/>
        <w:snapToGrid/>
        <w:spacing w:before="0"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工作范围</w:t>
      </w:r>
    </w:p>
    <w:p w14:paraId="6D183901">
      <w:pPr>
        <w:keepNext w:val="0"/>
        <w:keepLines w:val="0"/>
        <w:pageBreakBefore w:val="0"/>
        <w:kinsoku/>
        <w:wordWrap/>
        <w:overflowPunct/>
        <w:topLinePunct w:val="0"/>
        <w:bidi w:val="0"/>
        <w:adjustRightInd/>
        <w:snapToGrid/>
        <w:spacing w:line="400" w:lineRule="atLeast"/>
        <w:ind w:firstLine="374" w:firstLineChars="17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福建福海创石油化工有限公司450万吨/年PTA装置先进控制（APC）软件包和工程服务</w:t>
      </w:r>
      <w:r>
        <w:rPr>
          <w:rFonts w:hint="eastAsia" w:ascii="宋体" w:hAnsi="宋体" w:eastAsia="宋体" w:cs="宋体"/>
          <w:color w:val="000000" w:themeColor="text1"/>
          <w:sz w:val="22"/>
          <w:szCs w:val="22"/>
          <w:lang w:val="en-US" w:eastAsia="zh-CN"/>
        </w:rPr>
        <w:t>采购</w:t>
      </w:r>
      <w:r>
        <w:rPr>
          <w:rFonts w:hint="eastAsia" w:ascii="宋体" w:hAnsi="宋体" w:eastAsia="宋体" w:cs="宋体"/>
          <w:color w:val="000000" w:themeColor="text1"/>
          <w:sz w:val="22"/>
          <w:szCs w:val="22"/>
        </w:rPr>
        <w:t>：</w:t>
      </w:r>
    </w:p>
    <w:p w14:paraId="4F4D07DF">
      <w:pPr>
        <w:keepNext w:val="0"/>
        <w:keepLines w:val="0"/>
        <w:pageBreakBefore w:val="0"/>
        <w:kinsoku/>
        <w:wordWrap/>
        <w:overflowPunct/>
        <w:topLinePunct w:val="0"/>
        <w:bidi w:val="0"/>
        <w:adjustRightInd/>
        <w:snapToGrid/>
        <w:spacing w:line="400" w:lineRule="atLeast"/>
        <w:ind w:firstLine="374" w:firstLineChars="17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福建福海创石油化工有限公司450万吨/年PTA装置先进控制（APC）软件包和工程服务</w:t>
      </w:r>
      <w:r>
        <w:rPr>
          <w:rFonts w:hint="eastAsia" w:ascii="宋体" w:hAnsi="宋体" w:eastAsia="宋体" w:cs="宋体"/>
          <w:color w:val="000000" w:themeColor="text1"/>
          <w:sz w:val="22"/>
          <w:szCs w:val="22"/>
          <w:lang w:val="en-US" w:eastAsia="zh-CN"/>
        </w:rPr>
        <w:t>采购</w:t>
      </w:r>
      <w:r>
        <w:rPr>
          <w:rFonts w:hint="eastAsia" w:ascii="宋体" w:hAnsi="宋体" w:eastAsia="宋体" w:cs="宋体"/>
          <w:color w:val="000000" w:themeColor="text1"/>
          <w:sz w:val="22"/>
          <w:szCs w:val="22"/>
        </w:rPr>
        <w:t>的先进控制软件；</w:t>
      </w:r>
    </w:p>
    <w:p w14:paraId="5B258CF7">
      <w:pPr>
        <w:keepNext w:val="0"/>
        <w:keepLines w:val="0"/>
        <w:pageBreakBefore w:val="0"/>
        <w:kinsoku/>
        <w:wordWrap/>
        <w:overflowPunct/>
        <w:topLinePunct w:val="0"/>
        <w:bidi w:val="0"/>
        <w:adjustRightInd/>
        <w:snapToGrid/>
        <w:spacing w:line="400" w:lineRule="atLeast"/>
        <w:ind w:firstLine="374" w:firstLineChars="17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提供450万吨/年PTA装置先进控制（APC）软件包和工程服务</w:t>
      </w:r>
      <w:r>
        <w:rPr>
          <w:rFonts w:hint="eastAsia" w:ascii="宋体" w:hAnsi="宋体" w:eastAsia="宋体" w:cs="宋体"/>
          <w:color w:val="000000" w:themeColor="text1"/>
          <w:sz w:val="22"/>
          <w:szCs w:val="22"/>
          <w:lang w:val="en-US" w:eastAsia="zh-CN"/>
        </w:rPr>
        <w:t>采购</w:t>
      </w:r>
      <w:r>
        <w:rPr>
          <w:rFonts w:hint="eastAsia" w:ascii="宋体" w:hAnsi="宋体" w:eastAsia="宋体" w:cs="宋体"/>
          <w:color w:val="000000" w:themeColor="text1"/>
          <w:sz w:val="22"/>
          <w:szCs w:val="22"/>
        </w:rPr>
        <w:t>的先进控制系统和现场实施，负责用户培训，提供售后服务；</w:t>
      </w:r>
    </w:p>
    <w:p w14:paraId="2BEF76A5">
      <w:pPr>
        <w:keepNext w:val="0"/>
        <w:keepLines w:val="0"/>
        <w:pageBreakBefore w:val="0"/>
        <w:kinsoku/>
        <w:wordWrap/>
        <w:overflowPunct/>
        <w:topLinePunct w:val="0"/>
        <w:bidi w:val="0"/>
        <w:adjustRightInd/>
        <w:snapToGrid/>
        <w:spacing w:line="400" w:lineRule="atLeast"/>
        <w:ind w:firstLine="374" w:firstLineChars="17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本项目费用包含软件和工程服务费用（包含满足APC系统上线的一切费用）。</w:t>
      </w:r>
    </w:p>
    <w:p w14:paraId="5C3BCC2B">
      <w:pPr>
        <w:pStyle w:val="71"/>
        <w:keepNext w:val="0"/>
        <w:keepLines w:val="0"/>
        <w:pageBreakBefore w:val="0"/>
        <w:widowControl/>
        <w:numPr>
          <w:ilvl w:val="2"/>
          <w:numId w:val="11"/>
        </w:numPr>
        <w:kinsoku/>
        <w:wordWrap/>
        <w:overflowPunct/>
        <w:topLinePunct w:val="0"/>
        <w:bidi w:val="0"/>
        <w:adjustRightInd/>
        <w:snapToGrid/>
        <w:spacing w:before="0"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供货范围</w:t>
      </w:r>
    </w:p>
    <w:p w14:paraId="2018B664">
      <w:pPr>
        <w:pStyle w:val="71"/>
        <w:keepNext w:val="0"/>
        <w:keepLines w:val="0"/>
        <w:pageBreakBefore w:val="0"/>
        <w:widowControl w:val="0"/>
        <w:numPr>
          <w:ilvl w:val="0"/>
          <w:numId w:val="12"/>
        </w:numPr>
        <w:kinsoku/>
        <w:wordWrap/>
        <w:overflowPunct/>
        <w:topLinePunct w:val="0"/>
        <w:autoSpaceDE w:val="0"/>
        <w:autoSpaceDN w:val="0"/>
        <w:bidi w:val="0"/>
        <w:adjustRightInd/>
        <w:snapToGrid/>
        <w:spacing w:before="0" w:line="400" w:lineRule="atLeast"/>
        <w:ind w:left="839" w:hanging="42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提供450万吨/年PTA装置</w:t>
      </w:r>
      <w:r>
        <w:rPr>
          <w:rFonts w:hint="eastAsia" w:ascii="宋体" w:hAnsi="宋体" w:eastAsia="宋体" w:cs="宋体"/>
          <w:iCs/>
          <w:color w:val="000000" w:themeColor="text1"/>
          <w:sz w:val="22"/>
          <w:szCs w:val="22"/>
        </w:rPr>
        <w:t>的先进控制系统软件包，</w:t>
      </w:r>
      <w:r>
        <w:rPr>
          <w:rFonts w:hint="eastAsia" w:ascii="宋体" w:hAnsi="宋体" w:eastAsia="宋体" w:cs="宋体"/>
          <w:color w:val="000000" w:themeColor="text1"/>
          <w:sz w:val="22"/>
          <w:szCs w:val="22"/>
        </w:rPr>
        <w:t>软件包必须是成熟的软件版本。</w:t>
      </w:r>
    </w:p>
    <w:p w14:paraId="065B0BD8">
      <w:pPr>
        <w:pStyle w:val="71"/>
        <w:keepNext w:val="0"/>
        <w:keepLines w:val="0"/>
        <w:pageBreakBefore w:val="0"/>
        <w:widowControl w:val="0"/>
        <w:numPr>
          <w:ilvl w:val="0"/>
          <w:numId w:val="12"/>
        </w:numPr>
        <w:kinsoku/>
        <w:wordWrap/>
        <w:overflowPunct/>
        <w:topLinePunct w:val="0"/>
        <w:autoSpaceDE w:val="0"/>
        <w:autoSpaceDN w:val="0"/>
        <w:bidi w:val="0"/>
        <w:adjustRightInd/>
        <w:snapToGrid/>
        <w:spacing w:before="0" w:line="400" w:lineRule="atLeast"/>
        <w:ind w:left="839" w:hanging="42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lang w:val="en-US" w:eastAsia="zh-CN"/>
        </w:rPr>
        <w:t>乙方</w:t>
      </w:r>
      <w:r>
        <w:rPr>
          <w:rFonts w:hint="eastAsia" w:ascii="宋体" w:hAnsi="宋体" w:eastAsia="宋体" w:cs="宋体"/>
          <w:color w:val="000000" w:themeColor="text1"/>
          <w:sz w:val="22"/>
          <w:szCs w:val="22"/>
        </w:rPr>
        <w:t>必须交付最终验收的模型原始文件。</w:t>
      </w:r>
    </w:p>
    <w:p w14:paraId="1634D8BD">
      <w:pPr>
        <w:pStyle w:val="71"/>
        <w:keepNext w:val="0"/>
        <w:keepLines w:val="0"/>
        <w:pageBreakBefore w:val="0"/>
        <w:widowControl w:val="0"/>
        <w:numPr>
          <w:ilvl w:val="0"/>
          <w:numId w:val="12"/>
        </w:numPr>
        <w:kinsoku/>
        <w:wordWrap/>
        <w:overflowPunct/>
        <w:topLinePunct w:val="0"/>
        <w:autoSpaceDE w:val="0"/>
        <w:autoSpaceDN w:val="0"/>
        <w:bidi w:val="0"/>
        <w:adjustRightInd/>
        <w:snapToGrid/>
        <w:spacing w:before="0" w:line="400" w:lineRule="atLeast"/>
        <w:ind w:left="839" w:hanging="42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lang w:val="en-US" w:eastAsia="zh-CN"/>
        </w:rPr>
        <w:t>乙方</w:t>
      </w:r>
      <w:r>
        <w:rPr>
          <w:rFonts w:hint="eastAsia" w:ascii="宋体" w:hAnsi="宋体" w:eastAsia="宋体" w:cs="宋体"/>
          <w:color w:val="000000" w:themeColor="text1"/>
          <w:sz w:val="22"/>
          <w:szCs w:val="22"/>
        </w:rPr>
        <w:t>必须交付改动的DCS组态文件。</w:t>
      </w:r>
    </w:p>
    <w:p w14:paraId="0D623738">
      <w:pPr>
        <w:pStyle w:val="71"/>
        <w:keepNext w:val="0"/>
        <w:keepLines w:val="0"/>
        <w:pageBreakBefore w:val="0"/>
        <w:widowControl w:val="0"/>
        <w:numPr>
          <w:ilvl w:val="0"/>
          <w:numId w:val="12"/>
        </w:numPr>
        <w:kinsoku/>
        <w:wordWrap/>
        <w:overflowPunct/>
        <w:topLinePunct w:val="0"/>
        <w:autoSpaceDE w:val="0"/>
        <w:autoSpaceDN w:val="0"/>
        <w:bidi w:val="0"/>
        <w:adjustRightInd/>
        <w:snapToGrid/>
        <w:spacing w:before="0" w:line="400" w:lineRule="atLeast"/>
        <w:ind w:left="839" w:hanging="42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lang w:val="en-US" w:eastAsia="zh-CN"/>
        </w:rPr>
        <w:t>乙方</w:t>
      </w:r>
      <w:r>
        <w:rPr>
          <w:rFonts w:hint="eastAsia" w:ascii="宋体" w:hAnsi="宋体" w:eastAsia="宋体" w:cs="宋体"/>
          <w:color w:val="000000" w:themeColor="text1"/>
          <w:sz w:val="22"/>
          <w:szCs w:val="22"/>
        </w:rPr>
        <w:t>必须提供APC所涉及的DCS侧相应接口软硬件及工程服务；</w:t>
      </w:r>
    </w:p>
    <w:p w14:paraId="6BF55C17">
      <w:pPr>
        <w:pStyle w:val="71"/>
        <w:keepNext w:val="0"/>
        <w:keepLines w:val="0"/>
        <w:pageBreakBefore w:val="0"/>
        <w:widowControl w:val="0"/>
        <w:numPr>
          <w:ilvl w:val="0"/>
          <w:numId w:val="12"/>
        </w:numPr>
        <w:kinsoku/>
        <w:wordWrap/>
        <w:overflowPunct/>
        <w:topLinePunct w:val="0"/>
        <w:autoSpaceDE w:val="0"/>
        <w:autoSpaceDN w:val="0"/>
        <w:bidi w:val="0"/>
        <w:adjustRightInd/>
        <w:snapToGrid/>
        <w:spacing w:before="0" w:line="400" w:lineRule="atLeast"/>
        <w:ind w:left="839" w:hanging="42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配套软硬件设备</w:t>
      </w:r>
    </w:p>
    <w:p w14:paraId="7608806C">
      <w:pPr>
        <w:keepNext w:val="0"/>
        <w:keepLines w:val="0"/>
        <w:pageBreakBefore w:val="0"/>
        <w:kinsoku/>
        <w:wordWrap/>
        <w:overflowPunct/>
        <w:topLinePunct w:val="0"/>
        <w:bidi w:val="0"/>
        <w:adjustRightInd/>
        <w:snapToGrid/>
        <w:spacing w:line="400" w:lineRule="atLeast"/>
        <w:ind w:left="427"/>
        <w:textAlignment w:val="auto"/>
        <w:rPr>
          <w:rFonts w:hint="eastAsia" w:ascii="宋体" w:hAnsi="宋体" w:eastAsia="宋体" w:cs="宋体"/>
          <w:sz w:val="22"/>
          <w:szCs w:val="22"/>
        </w:rPr>
      </w:pPr>
      <w:r>
        <w:rPr>
          <w:rFonts w:hint="eastAsia" w:ascii="宋体" w:hAnsi="宋体" w:eastAsia="宋体" w:cs="宋体"/>
          <w:sz w:val="22"/>
          <w:szCs w:val="22"/>
        </w:rPr>
        <w:t>具体详见附件技术要求。</w:t>
      </w:r>
    </w:p>
    <w:p w14:paraId="308A8195">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第三章 项目目标</w:t>
      </w:r>
    </w:p>
    <w:p w14:paraId="32512EAD">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ind w:left="1077" w:hanging="363"/>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平稳操作，减少产品质量波动，主要运行参数标准偏差降低30%以上；</w:t>
      </w:r>
    </w:p>
    <w:p w14:paraId="6F7862B0">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ind w:left="1077" w:hanging="363"/>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保证产品质量，实现氧化产品4-CBA质量在线预测；</w:t>
      </w:r>
    </w:p>
    <w:p w14:paraId="786EE17C">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ind w:left="1077" w:hanging="363"/>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提高系统应用水平，保证系统上线及维保期内95%投用；</w:t>
      </w:r>
    </w:p>
    <w:p w14:paraId="50CD5373">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ind w:left="1077" w:hanging="363"/>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方便操作和实时指导生产，降低操作人员劳动强度；</w:t>
      </w:r>
    </w:p>
    <w:p w14:paraId="700730ED">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ind w:left="1077" w:hanging="363"/>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提高装置自控投用率，实现生产自动化；</w:t>
      </w:r>
    </w:p>
    <w:p w14:paraId="5EECDF3E">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ind w:left="1077" w:hanging="363"/>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加深操作人员对过程动态特性的理解，提高了整体操作水平；</w:t>
      </w:r>
    </w:p>
    <w:p w14:paraId="437652B4">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ind w:left="1077" w:hanging="363"/>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促进科学技术进步，促进生产管理精细化。</w:t>
      </w:r>
    </w:p>
    <w:p w14:paraId="12D9D0D0">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ind w:left="1077" w:hanging="363"/>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系统上线后，在PTA装置基本相同的工况下，降低450万吨/年PTA装置醋酸单耗0.2kg/t PTA、对二甲苯单耗0.1kg/t PTA及以上。</w:t>
      </w:r>
    </w:p>
    <w:p w14:paraId="76AC7DFC">
      <w:pPr>
        <w:keepNext w:val="0"/>
        <w:keepLines w:val="0"/>
        <w:pageBreakBefore w:val="0"/>
        <w:kinsoku/>
        <w:wordWrap/>
        <w:overflowPunct/>
        <w:topLinePunct w:val="0"/>
        <w:bidi w:val="0"/>
        <w:adjustRightInd/>
        <w:snapToGrid/>
        <w:spacing w:line="400" w:lineRule="atLeast"/>
        <w:ind w:left="485"/>
        <w:contextualSpacing/>
        <w:textAlignment w:val="auto"/>
        <w:rPr>
          <w:rFonts w:hint="eastAsia" w:ascii="宋体" w:hAnsi="宋体" w:eastAsia="宋体" w:cs="宋体"/>
          <w:sz w:val="22"/>
          <w:szCs w:val="22"/>
        </w:rPr>
      </w:pPr>
      <w:r>
        <w:rPr>
          <w:rFonts w:hint="eastAsia" w:ascii="宋体" w:hAnsi="宋体" w:eastAsia="宋体" w:cs="宋体"/>
          <w:sz w:val="22"/>
          <w:szCs w:val="22"/>
        </w:rPr>
        <w:t>具体以技术协议为准。</w:t>
      </w:r>
    </w:p>
    <w:p w14:paraId="078B721D">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第四章 交付进度</w:t>
      </w:r>
    </w:p>
    <w:p w14:paraId="3B11131B">
      <w:pPr>
        <w:keepNext w:val="0"/>
        <w:keepLines w:val="0"/>
        <w:pageBreakBefore w:val="0"/>
        <w:kinsoku/>
        <w:wordWrap/>
        <w:overflowPunct/>
        <w:topLinePunct w:val="0"/>
        <w:bidi w:val="0"/>
        <w:adjustRightInd/>
        <w:snapToGrid/>
        <w:spacing w:line="400" w:lineRule="atLeast"/>
        <w:ind w:left="-8" w:firstLine="480"/>
        <w:textAlignment w:val="auto"/>
        <w:rPr>
          <w:rFonts w:hint="eastAsia" w:ascii="宋体" w:hAnsi="宋体" w:eastAsia="宋体" w:cs="宋体"/>
          <w:sz w:val="22"/>
          <w:szCs w:val="22"/>
        </w:rPr>
      </w:pPr>
      <w:r>
        <w:rPr>
          <w:rFonts w:hint="eastAsia" w:ascii="宋体" w:hAnsi="宋体" w:eastAsia="宋体" w:cs="宋体"/>
          <w:sz w:val="22"/>
          <w:szCs w:val="22"/>
        </w:rPr>
        <w:t>合同生效后3个月内交付软件（含授权），12个月内完成先进控制系统实施。</w:t>
      </w:r>
    </w:p>
    <w:p w14:paraId="37771461">
      <w:pPr>
        <w:keepNext w:val="0"/>
        <w:keepLines w:val="0"/>
        <w:pageBreakBefore w:val="0"/>
        <w:kinsoku/>
        <w:wordWrap/>
        <w:overflowPunct/>
        <w:topLinePunct w:val="0"/>
        <w:bidi w:val="0"/>
        <w:adjustRightInd/>
        <w:snapToGrid/>
        <w:spacing w:line="400" w:lineRule="atLeast"/>
        <w:ind w:left="-8" w:firstLine="480"/>
        <w:textAlignment w:val="auto"/>
        <w:rPr>
          <w:rFonts w:hint="eastAsia" w:ascii="宋体" w:hAnsi="宋体" w:eastAsia="宋体" w:cs="宋体"/>
          <w:sz w:val="22"/>
          <w:szCs w:val="22"/>
        </w:rPr>
      </w:pPr>
      <w:r>
        <w:rPr>
          <w:rFonts w:hint="eastAsia" w:ascii="宋体" w:hAnsi="宋体" w:eastAsia="宋体" w:cs="宋体"/>
          <w:sz w:val="22"/>
          <w:szCs w:val="22"/>
        </w:rPr>
        <w:t>交货地点：福建省漳州市古雷经济开发区腾龙路84号。</w:t>
      </w:r>
    </w:p>
    <w:p w14:paraId="4CC994B0">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b/>
          <w:bCs/>
          <w:color w:val="000000"/>
          <w:sz w:val="22"/>
          <w:szCs w:val="22"/>
        </w:rPr>
      </w:pPr>
      <w:bookmarkStart w:id="1" w:name="_Toc143773899"/>
      <w:r>
        <w:rPr>
          <w:rFonts w:hint="eastAsia" w:ascii="宋体" w:hAnsi="宋体" w:eastAsia="宋体" w:cs="宋体"/>
          <w:b/>
          <w:bCs/>
          <w:color w:val="000000"/>
          <w:sz w:val="22"/>
          <w:szCs w:val="22"/>
        </w:rPr>
        <w:t xml:space="preserve">第五章   </w:t>
      </w:r>
      <w:bookmarkEnd w:id="1"/>
      <w:r>
        <w:rPr>
          <w:rFonts w:hint="eastAsia" w:ascii="宋体" w:hAnsi="宋体" w:eastAsia="宋体" w:cs="宋体"/>
          <w:b/>
          <w:bCs/>
          <w:color w:val="000000"/>
          <w:sz w:val="22"/>
          <w:szCs w:val="22"/>
        </w:rPr>
        <w:t>培训要求</w:t>
      </w:r>
    </w:p>
    <w:p w14:paraId="70CD4965">
      <w:pPr>
        <w:keepNext w:val="0"/>
        <w:keepLines w:val="0"/>
        <w:pageBreakBefore w:val="0"/>
        <w:kinsoku/>
        <w:wordWrap/>
        <w:overflowPunct/>
        <w:topLinePunct w:val="0"/>
        <w:bidi w:val="0"/>
        <w:adjustRightInd/>
        <w:snapToGrid/>
        <w:spacing w:line="400" w:lineRule="atLeast"/>
        <w:ind w:firstLine="440" w:firstLineChars="20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培训应包含APC软件标准课程的培训和现场培训。</w:t>
      </w:r>
    </w:p>
    <w:tbl>
      <w:tblPr>
        <w:tblStyle w:val="46"/>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685"/>
        <w:gridCol w:w="3355"/>
        <w:gridCol w:w="2832"/>
      </w:tblGrid>
      <w:tr w14:paraId="20A5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9" w:type="dxa"/>
            <w:vAlign w:val="center"/>
          </w:tcPr>
          <w:p w14:paraId="0E858AD3">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b/>
                <w:color w:val="000000" w:themeColor="text1"/>
                <w:sz w:val="22"/>
                <w:szCs w:val="22"/>
              </w:rPr>
            </w:pPr>
            <w:r>
              <w:rPr>
                <w:rFonts w:hint="eastAsia" w:ascii="宋体" w:hAnsi="宋体" w:eastAsia="宋体" w:cs="宋体"/>
                <w:b/>
                <w:color w:val="000000" w:themeColor="text1"/>
                <w:sz w:val="22"/>
                <w:szCs w:val="22"/>
              </w:rPr>
              <w:t>序号</w:t>
            </w:r>
          </w:p>
        </w:tc>
        <w:tc>
          <w:tcPr>
            <w:tcW w:w="1685" w:type="dxa"/>
            <w:vAlign w:val="center"/>
          </w:tcPr>
          <w:p w14:paraId="342B801E">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b/>
                <w:color w:val="000000" w:themeColor="text1"/>
                <w:sz w:val="22"/>
                <w:szCs w:val="22"/>
              </w:rPr>
            </w:pPr>
            <w:r>
              <w:rPr>
                <w:rFonts w:hint="eastAsia" w:ascii="宋体" w:hAnsi="宋体" w:eastAsia="宋体" w:cs="宋体"/>
                <w:b/>
                <w:color w:val="000000" w:themeColor="text1"/>
                <w:sz w:val="22"/>
                <w:szCs w:val="22"/>
              </w:rPr>
              <w:t>培训类型</w:t>
            </w:r>
          </w:p>
        </w:tc>
        <w:tc>
          <w:tcPr>
            <w:tcW w:w="3355" w:type="dxa"/>
            <w:vAlign w:val="center"/>
          </w:tcPr>
          <w:p w14:paraId="03DED2F9">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b/>
                <w:color w:val="000000" w:themeColor="text1"/>
                <w:sz w:val="22"/>
                <w:szCs w:val="22"/>
              </w:rPr>
            </w:pPr>
            <w:r>
              <w:rPr>
                <w:rFonts w:hint="eastAsia" w:ascii="宋体" w:hAnsi="宋体" w:eastAsia="宋体" w:cs="宋体"/>
                <w:b/>
                <w:color w:val="000000" w:themeColor="text1"/>
                <w:sz w:val="22"/>
                <w:szCs w:val="22"/>
              </w:rPr>
              <w:t>要求</w:t>
            </w:r>
          </w:p>
        </w:tc>
        <w:tc>
          <w:tcPr>
            <w:tcW w:w="2832" w:type="dxa"/>
            <w:vAlign w:val="center"/>
          </w:tcPr>
          <w:p w14:paraId="1650464B">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b/>
                <w:color w:val="000000" w:themeColor="text1"/>
                <w:sz w:val="22"/>
                <w:szCs w:val="22"/>
              </w:rPr>
            </w:pPr>
            <w:r>
              <w:rPr>
                <w:rFonts w:hint="eastAsia" w:ascii="宋体" w:hAnsi="宋体" w:eastAsia="宋体" w:cs="宋体"/>
                <w:b/>
                <w:color w:val="000000" w:themeColor="text1"/>
                <w:sz w:val="22"/>
                <w:szCs w:val="22"/>
              </w:rPr>
              <w:t>培训内容</w:t>
            </w:r>
          </w:p>
        </w:tc>
      </w:tr>
      <w:tr w14:paraId="7FE3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9" w:type="dxa"/>
            <w:vAlign w:val="center"/>
          </w:tcPr>
          <w:p w14:paraId="04ADFFAF">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1</w:t>
            </w:r>
          </w:p>
        </w:tc>
        <w:tc>
          <w:tcPr>
            <w:tcW w:w="1685" w:type="dxa"/>
            <w:vAlign w:val="center"/>
          </w:tcPr>
          <w:p w14:paraId="7EEF164A">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APC软件</w:t>
            </w:r>
          </w:p>
          <w:p w14:paraId="22368497">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标准课程</w:t>
            </w:r>
          </w:p>
        </w:tc>
        <w:tc>
          <w:tcPr>
            <w:tcW w:w="3355" w:type="dxa"/>
            <w:vAlign w:val="center"/>
          </w:tcPr>
          <w:p w14:paraId="2089482F">
            <w:pPr>
              <w:keepNext w:val="0"/>
              <w:keepLines w:val="0"/>
              <w:pageBreakBefore w:val="0"/>
              <w:kinsoku/>
              <w:wordWrap/>
              <w:overflowPunct/>
              <w:topLinePunct w:val="0"/>
              <w:bidi w:val="0"/>
              <w:adjustRightInd/>
              <w:snapToGrid/>
              <w:spacing w:line="400" w:lineRule="atLeast"/>
              <w:jc w:val="left"/>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先进控制工程师，培训时间5天</w:t>
            </w:r>
          </w:p>
        </w:tc>
        <w:tc>
          <w:tcPr>
            <w:tcW w:w="2832" w:type="dxa"/>
            <w:vAlign w:val="center"/>
          </w:tcPr>
          <w:p w14:paraId="4DA2F6CF">
            <w:pPr>
              <w:keepNext w:val="0"/>
              <w:keepLines w:val="0"/>
              <w:pageBreakBefore w:val="0"/>
              <w:kinsoku/>
              <w:wordWrap/>
              <w:overflowPunct/>
              <w:topLinePunct w:val="0"/>
              <w:bidi w:val="0"/>
              <w:adjustRightInd/>
              <w:snapToGrid/>
              <w:spacing w:line="400" w:lineRule="atLeast"/>
              <w:jc w:val="left"/>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标准课程</w:t>
            </w:r>
          </w:p>
        </w:tc>
      </w:tr>
      <w:tr w14:paraId="1A7E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9" w:type="dxa"/>
            <w:vAlign w:val="center"/>
          </w:tcPr>
          <w:p w14:paraId="4CD46CDB">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2</w:t>
            </w:r>
          </w:p>
        </w:tc>
        <w:tc>
          <w:tcPr>
            <w:tcW w:w="1685" w:type="dxa"/>
            <w:vAlign w:val="center"/>
          </w:tcPr>
          <w:p w14:paraId="0C60E082">
            <w:pPr>
              <w:keepNext w:val="0"/>
              <w:keepLines w:val="0"/>
              <w:pageBreakBefore w:val="0"/>
              <w:kinsoku/>
              <w:wordWrap/>
              <w:overflowPunct/>
              <w:topLinePunct w:val="0"/>
              <w:bidi w:val="0"/>
              <w:adjustRightInd/>
              <w:snapToGrid/>
              <w:spacing w:line="400" w:lineRule="atLeast"/>
              <w:jc w:val="center"/>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APC现场培训</w:t>
            </w:r>
          </w:p>
        </w:tc>
        <w:tc>
          <w:tcPr>
            <w:tcW w:w="3355" w:type="dxa"/>
            <w:vAlign w:val="center"/>
          </w:tcPr>
          <w:p w14:paraId="7B91919F">
            <w:pPr>
              <w:keepNext w:val="0"/>
              <w:keepLines w:val="0"/>
              <w:pageBreakBefore w:val="0"/>
              <w:kinsoku/>
              <w:wordWrap/>
              <w:overflowPunct/>
              <w:topLinePunct w:val="0"/>
              <w:bidi w:val="0"/>
              <w:adjustRightInd/>
              <w:snapToGrid/>
              <w:spacing w:line="400" w:lineRule="atLeast"/>
              <w:jc w:val="left"/>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班组培训</w:t>
            </w:r>
          </w:p>
        </w:tc>
        <w:tc>
          <w:tcPr>
            <w:tcW w:w="2832" w:type="dxa"/>
            <w:vAlign w:val="center"/>
          </w:tcPr>
          <w:p w14:paraId="1A8C7C05">
            <w:pPr>
              <w:keepNext w:val="0"/>
              <w:keepLines w:val="0"/>
              <w:pageBreakBefore w:val="0"/>
              <w:kinsoku/>
              <w:wordWrap/>
              <w:overflowPunct/>
              <w:topLinePunct w:val="0"/>
              <w:bidi w:val="0"/>
              <w:adjustRightInd/>
              <w:snapToGrid/>
              <w:spacing w:line="400" w:lineRule="atLeast"/>
              <w:jc w:val="left"/>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系统使用</w:t>
            </w:r>
          </w:p>
        </w:tc>
      </w:tr>
    </w:tbl>
    <w:p w14:paraId="0ECD25E7">
      <w:pPr>
        <w:keepNext w:val="0"/>
        <w:keepLines w:val="0"/>
        <w:pageBreakBefore w:val="0"/>
        <w:kinsoku/>
        <w:wordWrap/>
        <w:overflowPunct/>
        <w:topLinePunct w:val="0"/>
        <w:bidi w:val="0"/>
        <w:adjustRightInd/>
        <w:snapToGrid/>
        <w:spacing w:line="400" w:lineRule="atLeast"/>
        <w:ind w:firstLine="440" w:firstLineChars="200"/>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lang w:val="en-US" w:eastAsia="zh-CN"/>
        </w:rPr>
        <w:t>乙方</w:t>
      </w:r>
      <w:r>
        <w:rPr>
          <w:rFonts w:hint="eastAsia" w:ascii="宋体" w:hAnsi="宋体" w:eastAsia="宋体" w:cs="宋体"/>
          <w:color w:val="000000" w:themeColor="text1"/>
          <w:sz w:val="22"/>
          <w:szCs w:val="22"/>
        </w:rPr>
        <w:t>需提供培训内容对应的纸质或电子类详细资料。</w:t>
      </w:r>
      <w:r>
        <w:rPr>
          <w:rFonts w:hint="eastAsia" w:ascii="宋体" w:hAnsi="宋体" w:eastAsia="宋体" w:cs="宋体"/>
          <w:color w:val="000000" w:themeColor="text1"/>
          <w:sz w:val="22"/>
          <w:szCs w:val="22"/>
          <w:lang w:val="en-US" w:eastAsia="zh-CN"/>
        </w:rPr>
        <w:t>乙方</w:t>
      </w:r>
      <w:r>
        <w:rPr>
          <w:rFonts w:hint="eastAsia" w:ascii="宋体" w:hAnsi="宋体" w:eastAsia="宋体" w:cs="宋体"/>
          <w:color w:val="000000" w:themeColor="text1"/>
          <w:sz w:val="22"/>
          <w:szCs w:val="22"/>
        </w:rPr>
        <w:t>应做好培训计划，提供培训环境，约定培训地点。</w:t>
      </w:r>
    </w:p>
    <w:p w14:paraId="1BF41FB3">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第六章  交付项目验收</w:t>
      </w:r>
    </w:p>
    <w:p w14:paraId="7592845C">
      <w:pPr>
        <w:keepNext w:val="0"/>
        <w:keepLines w:val="0"/>
        <w:pageBreakBefore w:val="0"/>
        <w:widowControl w:val="0"/>
        <w:kinsoku/>
        <w:wordWrap/>
        <w:overflowPunct/>
        <w:topLinePunct w:val="0"/>
        <w:autoSpaceDE w:val="0"/>
        <w:autoSpaceDN w:val="0"/>
        <w:bidi w:val="0"/>
        <w:adjustRightInd/>
        <w:snapToGrid/>
        <w:spacing w:line="400" w:lineRule="atLeast"/>
        <w:ind w:firstLine="440" w:firstLineChars="200"/>
        <w:textAlignment w:val="auto"/>
        <w:rPr>
          <w:rFonts w:hint="eastAsia" w:ascii="宋体" w:hAnsi="宋体" w:eastAsia="宋体" w:cs="宋体"/>
          <w:color w:val="000000" w:themeColor="text1"/>
          <w:sz w:val="22"/>
          <w:szCs w:val="22"/>
        </w:rPr>
      </w:pPr>
      <w:r>
        <w:rPr>
          <w:rFonts w:hint="eastAsia" w:ascii="宋体" w:hAnsi="宋体" w:eastAsia="宋体" w:cs="宋体"/>
          <w:sz w:val="22"/>
          <w:szCs w:val="22"/>
        </w:rPr>
        <w:t>乙方</w:t>
      </w:r>
      <w:r>
        <w:rPr>
          <w:rFonts w:hint="eastAsia" w:ascii="宋体" w:hAnsi="宋体" w:eastAsia="宋体" w:cs="宋体"/>
          <w:color w:val="000000" w:themeColor="text1"/>
          <w:sz w:val="22"/>
          <w:szCs w:val="22"/>
        </w:rPr>
        <w:t>提供的APC系统应满足以下验收标准：</w:t>
      </w:r>
    </w:p>
    <w:p w14:paraId="53393605">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平稳操作，减少产品质量波动，主要运行参数标准偏差降低30%以上；</w:t>
      </w:r>
    </w:p>
    <w:p w14:paraId="54DA4CB6">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保证产品质量，实现氧化产品4-CBA质量在线预测；</w:t>
      </w:r>
    </w:p>
    <w:p w14:paraId="55BDB55D">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提高系统应用水平，保证系统上线及维保期内95%投用；</w:t>
      </w:r>
    </w:p>
    <w:p w14:paraId="3A1791A0">
      <w:pPr>
        <w:pStyle w:val="71"/>
        <w:keepNext w:val="0"/>
        <w:keepLines w:val="0"/>
        <w:pageBreakBefore w:val="0"/>
        <w:widowControl w:val="0"/>
        <w:numPr>
          <w:ilvl w:val="0"/>
          <w:numId w:val="13"/>
        </w:numPr>
        <w:kinsoku/>
        <w:wordWrap/>
        <w:overflowPunct/>
        <w:topLinePunct w:val="0"/>
        <w:autoSpaceDE w:val="0"/>
        <w:autoSpaceDN w:val="0"/>
        <w:bidi w:val="0"/>
        <w:adjustRightInd/>
        <w:snapToGrid/>
        <w:spacing w:before="0" w:line="400" w:lineRule="atLeast"/>
        <w:textAlignment w:val="auto"/>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系统上线后，在PTA装置基本相同的工况下，降低450万吨/年PTA装置醋酸单耗0.2kg/t PTA、对二甲苯单耗0.1kg/t PTA及以上。</w:t>
      </w:r>
    </w:p>
    <w:p w14:paraId="1BDF330C">
      <w:pPr>
        <w:keepNext w:val="0"/>
        <w:keepLines w:val="0"/>
        <w:pageBreakBefore w:val="0"/>
        <w:widowControl/>
        <w:kinsoku/>
        <w:wordWrap/>
        <w:overflowPunct/>
        <w:topLinePunct w:val="0"/>
        <w:bidi w:val="0"/>
        <w:adjustRightInd/>
        <w:snapToGrid/>
        <w:spacing w:line="400" w:lineRule="atLeas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具体以技术协议为准。</w:t>
      </w:r>
    </w:p>
    <w:p w14:paraId="16143A15">
      <w:pPr>
        <w:keepNext w:val="0"/>
        <w:keepLines w:val="0"/>
        <w:pageBreakBefore w:val="0"/>
        <w:widowControl/>
        <w:kinsoku/>
        <w:wordWrap/>
        <w:overflowPunct/>
        <w:topLinePunct w:val="0"/>
        <w:bidi w:val="0"/>
        <w:adjustRightInd/>
        <w:snapToGrid/>
        <w:spacing w:line="400" w:lineRule="atLeast"/>
        <w:textAlignment w:val="auto"/>
        <w:rPr>
          <w:rFonts w:hint="eastAsia" w:ascii="宋体" w:hAnsi="宋体" w:eastAsia="宋体" w:cs="宋体"/>
          <w:sz w:val="22"/>
          <w:szCs w:val="22"/>
        </w:rPr>
      </w:pPr>
      <w:r>
        <w:rPr>
          <w:rFonts w:hint="eastAsia" w:ascii="宋体" w:hAnsi="宋体" w:eastAsia="宋体" w:cs="宋体"/>
          <w:b/>
          <w:bCs/>
          <w:color w:val="000000"/>
          <w:sz w:val="22"/>
          <w:szCs w:val="22"/>
        </w:rPr>
        <w:t>第七章 质量保证期、履约保证金及保固责任</w:t>
      </w:r>
    </w:p>
    <w:p w14:paraId="21A93BD2">
      <w:pPr>
        <w:keepNext w:val="0"/>
        <w:keepLines w:val="0"/>
        <w:pageBreakBefore w:val="0"/>
        <w:kinsoku/>
        <w:wordWrap/>
        <w:overflowPunct/>
        <w:topLinePunct w:val="0"/>
        <w:bidi w:val="0"/>
        <w:adjustRightInd/>
        <w:snapToGrid/>
        <w:spacing w:line="400" w:lineRule="atLeas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7.1、</w:t>
      </w:r>
      <w:r>
        <w:rPr>
          <w:rFonts w:hint="eastAsia" w:ascii="宋体" w:hAnsi="宋体" w:eastAsia="宋体" w:cs="宋体"/>
          <w:color w:val="000000" w:themeColor="text1"/>
          <w:sz w:val="22"/>
          <w:szCs w:val="22"/>
        </w:rPr>
        <w:t>从项目通过验收之日起，提供3年的项目应用运维期。在有效运维期内，提供免费软件升级与模型维护和技术服务。售后服务方案涵盖服务内容、服务方式、响应能力、响应时间、技术人员构成等内容。</w:t>
      </w:r>
    </w:p>
    <w:p w14:paraId="6D4C2C33">
      <w:pPr>
        <w:keepNext w:val="0"/>
        <w:keepLines w:val="0"/>
        <w:pageBreakBefore w:val="0"/>
        <w:widowControl/>
        <w:kinsoku/>
        <w:wordWrap/>
        <w:overflowPunct/>
        <w:topLinePunct w:val="0"/>
        <w:bidi w:val="0"/>
        <w:adjustRightInd/>
        <w:snapToGrid/>
        <w:spacing w:line="400" w:lineRule="atLeas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7.2、履约</w:t>
      </w:r>
      <w:r>
        <w:rPr>
          <w:rFonts w:hint="eastAsia" w:ascii="宋体" w:hAnsi="宋体" w:eastAsia="宋体" w:cs="宋体"/>
          <w:sz w:val="22"/>
          <w:szCs w:val="22"/>
          <w:lang w:val="en-US" w:eastAsia="zh-CN"/>
        </w:rPr>
        <w:t>保函</w:t>
      </w:r>
    </w:p>
    <w:p w14:paraId="71792ADD">
      <w:pPr>
        <w:keepNext w:val="0"/>
        <w:keepLines w:val="0"/>
        <w:pageBreakBefore w:val="0"/>
        <w:widowControl/>
        <w:kinsoku/>
        <w:wordWrap/>
        <w:overflowPunct/>
        <w:topLinePunct w:val="0"/>
        <w:bidi w:val="0"/>
        <w:adjustRightInd/>
        <w:snapToGrid/>
        <w:spacing w:line="400" w:lineRule="atLeas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履约</w:t>
      </w:r>
      <w:r>
        <w:rPr>
          <w:rFonts w:hint="eastAsia" w:ascii="宋体" w:hAnsi="宋体" w:eastAsia="宋体" w:cs="宋体"/>
          <w:sz w:val="22"/>
          <w:szCs w:val="22"/>
          <w:lang w:val="en-US" w:eastAsia="zh-CN"/>
        </w:rPr>
        <w:t>保函</w:t>
      </w:r>
      <w:r>
        <w:rPr>
          <w:rFonts w:hint="eastAsia" w:ascii="宋体" w:hAnsi="宋体" w:eastAsia="宋体" w:cs="宋体"/>
          <w:sz w:val="22"/>
          <w:szCs w:val="22"/>
        </w:rPr>
        <w:t>的提交：乙方应在合同签订后10个工作日之内向甲方提交履约</w:t>
      </w:r>
      <w:r>
        <w:rPr>
          <w:rFonts w:hint="eastAsia" w:ascii="宋体" w:hAnsi="宋体" w:eastAsia="宋体" w:cs="宋体"/>
          <w:sz w:val="22"/>
          <w:szCs w:val="22"/>
          <w:lang w:val="en-US" w:eastAsia="zh-CN"/>
        </w:rPr>
        <w:t>保函</w:t>
      </w:r>
      <w:r>
        <w:rPr>
          <w:rFonts w:hint="eastAsia" w:ascii="宋体" w:hAnsi="宋体" w:eastAsia="宋体" w:cs="宋体"/>
          <w:sz w:val="22"/>
          <w:szCs w:val="22"/>
        </w:rPr>
        <w:t>，金额为</w:t>
      </w:r>
      <w:r>
        <w:rPr>
          <w:rFonts w:hint="eastAsia" w:ascii="宋体" w:hAnsi="宋体" w:eastAsia="宋体" w:cs="宋体"/>
          <w:sz w:val="22"/>
          <w:szCs w:val="22"/>
          <w:lang w:val="en-US" w:eastAsia="zh-CN"/>
        </w:rPr>
        <w:t>合同</w:t>
      </w:r>
      <w:r>
        <w:rPr>
          <w:rFonts w:hint="eastAsia" w:ascii="宋体" w:hAnsi="宋体" w:eastAsia="宋体" w:cs="宋体"/>
          <w:sz w:val="22"/>
          <w:szCs w:val="22"/>
        </w:rPr>
        <w:t>总价的</w:t>
      </w:r>
      <w:r>
        <w:rPr>
          <w:rFonts w:hint="eastAsia" w:ascii="宋体" w:hAnsi="宋体" w:eastAsia="宋体" w:cs="宋体"/>
          <w:b/>
          <w:bCs/>
          <w:sz w:val="22"/>
          <w:szCs w:val="22"/>
        </w:rPr>
        <w:t>10%</w:t>
      </w:r>
      <w:r>
        <w:rPr>
          <w:rFonts w:hint="eastAsia" w:ascii="宋体" w:hAnsi="宋体" w:eastAsia="宋体" w:cs="宋体"/>
          <w:sz w:val="22"/>
          <w:szCs w:val="22"/>
        </w:rPr>
        <w:t>，履约保函格式详见附件。乙方违约或发生本合同约定的其他事由的，甲方有权从</w:t>
      </w:r>
      <w:r>
        <w:rPr>
          <w:rFonts w:hint="eastAsia" w:ascii="宋体" w:hAnsi="宋体" w:eastAsia="宋体" w:cs="宋体"/>
          <w:sz w:val="22"/>
          <w:szCs w:val="22"/>
          <w:lang w:val="en-US" w:eastAsia="zh-CN"/>
        </w:rPr>
        <w:t>履约保函</w:t>
      </w:r>
      <w:r>
        <w:rPr>
          <w:rFonts w:hint="eastAsia" w:ascii="宋体" w:hAnsi="宋体" w:eastAsia="宋体" w:cs="宋体"/>
          <w:sz w:val="22"/>
          <w:szCs w:val="22"/>
        </w:rPr>
        <w:t>中优先</w:t>
      </w:r>
      <w:r>
        <w:rPr>
          <w:rFonts w:hint="eastAsia" w:ascii="宋体" w:hAnsi="宋体" w:eastAsia="宋体" w:cs="宋体"/>
          <w:sz w:val="22"/>
          <w:szCs w:val="22"/>
          <w:lang w:val="en-US" w:eastAsia="zh-CN"/>
        </w:rPr>
        <w:t>提兑</w:t>
      </w:r>
      <w:r>
        <w:rPr>
          <w:rFonts w:hint="eastAsia" w:ascii="宋体" w:hAnsi="宋体" w:eastAsia="宋体" w:cs="宋体"/>
          <w:sz w:val="22"/>
          <w:szCs w:val="22"/>
        </w:rPr>
        <w:t>乙方违约金及其他应扣款项；由此造成履约保证金不足的，乙方应在5日内补足，逾期每日按照应缴金额的千分之一支付违约金。</w:t>
      </w:r>
    </w:p>
    <w:p w14:paraId="2717532E">
      <w:pPr>
        <w:keepNext w:val="0"/>
        <w:keepLines w:val="0"/>
        <w:pageBreakBefore w:val="0"/>
        <w:widowControl/>
        <w:kinsoku/>
        <w:wordWrap/>
        <w:overflowPunct/>
        <w:topLinePunct w:val="0"/>
        <w:bidi w:val="0"/>
        <w:adjustRightInd/>
        <w:snapToGrid/>
        <w:spacing w:line="400" w:lineRule="atLeast"/>
        <w:ind w:firstLine="440" w:firstLineChars="200"/>
        <w:textAlignment w:val="auto"/>
        <w:rPr>
          <w:rFonts w:hint="eastAsia" w:ascii="宋体" w:hAnsi="宋体" w:eastAsia="宋体" w:cs="宋体"/>
          <w:color w:val="000000"/>
          <w:sz w:val="22"/>
          <w:szCs w:val="22"/>
        </w:rPr>
      </w:pPr>
      <w:r>
        <w:rPr>
          <w:rFonts w:hint="eastAsia" w:ascii="宋体" w:hAnsi="宋体" w:eastAsia="宋体" w:cs="宋体"/>
          <w:sz w:val="22"/>
          <w:szCs w:val="22"/>
        </w:rPr>
        <w:t>履约保函的有效期为：开立之日起至调试合格之日止，如果调试时间延后，履约保函应该相应延期。</w:t>
      </w:r>
    </w:p>
    <w:p w14:paraId="7ECA95AC">
      <w:pPr>
        <w:keepNext w:val="0"/>
        <w:keepLines w:val="0"/>
        <w:pageBreakBefore w:val="0"/>
        <w:tabs>
          <w:tab w:val="left" w:pos="540"/>
        </w:tabs>
        <w:kinsoku/>
        <w:wordWrap/>
        <w:overflowPunct/>
        <w:topLinePunct w:val="0"/>
        <w:bidi w:val="0"/>
        <w:adjustRightInd/>
        <w:snapToGrid/>
        <w:spacing w:line="400" w:lineRule="atLeast"/>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第八章 付款条件</w:t>
      </w:r>
    </w:p>
    <w:p w14:paraId="65B72A40">
      <w:pPr>
        <w:keepNext w:val="0"/>
        <w:keepLines w:val="0"/>
        <w:pageBreakBefore w:val="0"/>
        <w:widowControl/>
        <w:kinsoku/>
        <w:wordWrap/>
        <w:overflowPunct/>
        <w:topLinePunct w:val="0"/>
        <w:bidi w:val="0"/>
        <w:adjustRightInd/>
        <w:snapToGrid/>
        <w:spacing w:line="400" w:lineRule="atLeas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本合同固定总价的承包方式，合同总金额为</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元整，小 写：￥</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元。其中</w:t>
      </w:r>
      <w:r>
        <w:rPr>
          <w:rFonts w:hint="eastAsia" w:ascii="宋体" w:hAnsi="宋体" w:eastAsia="宋体" w:cs="宋体"/>
          <w:sz w:val="22"/>
          <w:szCs w:val="22"/>
          <w:lang w:val="en-US" w:eastAsia="zh-CN"/>
        </w:rPr>
        <w:t>软件费用</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元（含 13% 增值税），</w:t>
      </w:r>
      <w:r>
        <w:rPr>
          <w:rFonts w:hint="eastAsia" w:ascii="宋体" w:hAnsi="宋体" w:eastAsia="宋体" w:cs="宋体"/>
          <w:sz w:val="22"/>
          <w:szCs w:val="22"/>
          <w:lang w:val="en-US" w:eastAsia="zh-CN"/>
        </w:rPr>
        <w:t>硬件费用</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元（含 13%增值税），服务费</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元（含 6%增值税）。不含税金额为：</w:t>
      </w:r>
      <w:r>
        <w:rPr>
          <w:rFonts w:hint="eastAsia" w:ascii="宋体" w:hAnsi="宋体" w:eastAsia="宋体" w:cs="宋体"/>
          <w:sz w:val="22"/>
          <w:szCs w:val="22"/>
          <w:lang w:val="en-US" w:eastAsia="zh-CN"/>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w:t>
      </w:r>
    </w:p>
    <w:p w14:paraId="62FBC785">
      <w:pPr>
        <w:keepNext w:val="0"/>
        <w:keepLines w:val="0"/>
        <w:pageBreakBefore w:val="0"/>
        <w:widowControl/>
        <w:kinsoku/>
        <w:wordWrap/>
        <w:overflowPunct/>
        <w:topLinePunct w:val="0"/>
        <w:bidi w:val="0"/>
        <w:adjustRightInd/>
        <w:snapToGrid/>
        <w:spacing w:line="400" w:lineRule="atLeas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（1）预付款：在本合同生效后且收到乙方开具的</w:t>
      </w:r>
      <w:r>
        <w:rPr>
          <w:rFonts w:hint="eastAsia" w:ascii="宋体" w:hAnsi="宋体" w:eastAsia="宋体" w:cs="宋体"/>
          <w:sz w:val="22"/>
          <w:szCs w:val="22"/>
          <w:lang w:val="en-US" w:eastAsia="zh-CN"/>
        </w:rPr>
        <w:t>履约保函</w:t>
      </w:r>
      <w:r>
        <w:rPr>
          <w:rFonts w:hint="eastAsia" w:ascii="宋体" w:hAnsi="宋体" w:eastAsia="宋体" w:cs="宋体"/>
          <w:sz w:val="22"/>
          <w:szCs w:val="22"/>
        </w:rPr>
        <w:t>30日内，买方应支付给卖方合同总价的10 %，计人民币</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元，作为本合同的预付款</w:t>
      </w:r>
      <w:r>
        <w:rPr>
          <w:rFonts w:hint="eastAsia" w:ascii="宋体" w:hAnsi="宋体" w:eastAsia="宋体" w:cs="宋体"/>
          <w:sz w:val="22"/>
          <w:szCs w:val="22"/>
          <w:lang w:eastAsia="zh-CN"/>
        </w:rPr>
        <w:t>。</w:t>
      </w:r>
    </w:p>
    <w:p w14:paraId="10B686EC">
      <w:pPr>
        <w:pStyle w:val="19"/>
        <w:keepNext w:val="0"/>
        <w:keepLines w:val="0"/>
        <w:pageBreakBefore w:val="0"/>
        <w:kinsoku/>
        <w:wordWrap/>
        <w:overflowPunct/>
        <w:topLinePunct w:val="0"/>
        <w:bidi w:val="0"/>
        <w:adjustRightInd/>
        <w:snapToGrid/>
        <w:spacing w:line="400" w:lineRule="atLeast"/>
        <w:ind w:left="3" w:firstLine="428"/>
        <w:textAlignment w:val="auto"/>
        <w:rPr>
          <w:rFonts w:hint="eastAsia" w:ascii="宋体" w:hAnsi="宋体" w:eastAsia="宋体" w:cs="宋体"/>
          <w:spacing w:val="8"/>
          <w:sz w:val="22"/>
          <w:szCs w:val="22"/>
        </w:rPr>
      </w:pPr>
      <w:r>
        <w:rPr>
          <w:rFonts w:hint="eastAsia" w:ascii="宋体" w:hAnsi="宋体" w:eastAsia="宋体" w:cs="宋体"/>
          <w:sz w:val="22"/>
          <w:szCs w:val="22"/>
        </w:rPr>
        <w:t>（2）进度款：在收到卖方提供的APC详细优化设计方案等资料并经买方确认完整无误后30日内，买方应支付给卖方合同总价的</w:t>
      </w:r>
      <w:r>
        <w:rPr>
          <w:rFonts w:hint="eastAsia" w:ascii="宋体" w:hAnsi="宋体" w:eastAsia="宋体" w:cs="宋体"/>
          <w:sz w:val="22"/>
          <w:szCs w:val="22"/>
          <w:lang w:val="en-US" w:eastAsia="zh-CN"/>
        </w:rPr>
        <w:t>1</w:t>
      </w:r>
      <w:r>
        <w:rPr>
          <w:rFonts w:hint="eastAsia" w:ascii="宋体" w:hAnsi="宋体" w:eastAsia="宋体" w:cs="宋体"/>
          <w:sz w:val="22"/>
          <w:szCs w:val="22"/>
        </w:rPr>
        <w:t>0%，计人民币</w:t>
      </w:r>
      <w:r>
        <w:rPr>
          <w:rFonts w:hint="eastAsia" w:ascii="宋体" w:hAnsi="宋体" w:eastAsia="宋体" w:cs="宋体"/>
          <w:sz w:val="22"/>
          <w:szCs w:val="22"/>
          <w:u w:val="single"/>
          <w:lang w:val="en-US" w:eastAsia="zh-CN" w:bidi="ar-SA"/>
        </w:rPr>
        <w:t xml:space="preserve">     </w:t>
      </w:r>
      <w:r>
        <w:rPr>
          <w:rFonts w:hint="eastAsia" w:ascii="宋体" w:hAnsi="宋体" w:eastAsia="宋体" w:cs="宋体"/>
          <w:sz w:val="22"/>
          <w:szCs w:val="22"/>
        </w:rPr>
        <w:t>元，作为采购合同的进度款。</w:t>
      </w:r>
    </w:p>
    <w:p w14:paraId="21AB2D9F">
      <w:pPr>
        <w:keepNext w:val="0"/>
        <w:keepLines w:val="0"/>
        <w:pageBreakBefore w:val="0"/>
        <w:widowControl/>
        <w:kinsoku/>
        <w:wordWrap/>
        <w:overflowPunct/>
        <w:topLinePunct w:val="0"/>
        <w:bidi w:val="0"/>
        <w:adjustRightInd/>
        <w:snapToGrid/>
        <w:spacing w:line="400" w:lineRule="atLeas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（3）到货款：设备到达买方现场并收到卖方提供的出厂测试报告及合同总价全额增值税专用发票后30日内，买方应支付给卖方合同总价的</w:t>
      </w:r>
      <w:r>
        <w:rPr>
          <w:rFonts w:hint="eastAsia" w:ascii="宋体" w:hAnsi="宋体" w:eastAsia="宋体" w:cs="宋体"/>
          <w:sz w:val="22"/>
          <w:szCs w:val="22"/>
          <w:lang w:val="en-US" w:eastAsia="zh-CN"/>
        </w:rPr>
        <w:t>4</w:t>
      </w:r>
      <w:r>
        <w:rPr>
          <w:rFonts w:hint="eastAsia" w:ascii="宋体" w:hAnsi="宋体" w:eastAsia="宋体" w:cs="宋体"/>
          <w:sz w:val="22"/>
          <w:szCs w:val="22"/>
        </w:rPr>
        <w:t>0%，计人民币</w:t>
      </w:r>
      <w:r>
        <w:rPr>
          <w:rFonts w:hint="eastAsia" w:ascii="宋体" w:hAnsi="宋体" w:eastAsia="宋体" w:cs="宋体"/>
          <w:sz w:val="22"/>
          <w:szCs w:val="22"/>
          <w:u w:val="single"/>
          <w:lang w:val="en-US" w:eastAsia="zh-CN" w:bidi="ar-SA"/>
        </w:rPr>
        <w:t xml:space="preserve">      </w:t>
      </w:r>
      <w:r>
        <w:rPr>
          <w:rFonts w:hint="eastAsia" w:ascii="宋体" w:hAnsi="宋体" w:eastAsia="宋体" w:cs="宋体"/>
          <w:sz w:val="22"/>
          <w:szCs w:val="22"/>
        </w:rPr>
        <w:t>元，作为采购合同的到货款。</w:t>
      </w:r>
    </w:p>
    <w:p w14:paraId="52E90B47">
      <w:pPr>
        <w:keepNext w:val="0"/>
        <w:keepLines w:val="0"/>
        <w:pageBreakBefore w:val="0"/>
        <w:widowControl/>
        <w:kinsoku/>
        <w:wordWrap/>
        <w:overflowPunct/>
        <w:topLinePunct w:val="0"/>
        <w:bidi w:val="0"/>
        <w:adjustRightInd/>
        <w:snapToGrid/>
        <w:spacing w:line="400" w:lineRule="atLeast"/>
        <w:ind w:firstLine="440" w:firstLineChars="200"/>
        <w:textAlignment w:val="auto"/>
        <w:rPr>
          <w:rFonts w:hint="eastAsia" w:ascii="宋体" w:hAnsi="宋体" w:eastAsia="宋体" w:cs="宋体"/>
          <w:sz w:val="22"/>
          <w:szCs w:val="22"/>
          <w:u w:val="none"/>
          <w:lang w:val="en-US" w:eastAsia="zh-CN" w:bidi="ar-SA"/>
        </w:rPr>
      </w:pPr>
      <w:r>
        <w:rPr>
          <w:rFonts w:hint="eastAsia" w:ascii="宋体" w:hAnsi="宋体" w:eastAsia="宋体" w:cs="宋体"/>
          <w:sz w:val="22"/>
          <w:szCs w:val="22"/>
        </w:rPr>
        <w:t xml:space="preserve">（4）调试验收款：在设备安装调试完成，同时收到卖方出具的经买方现场签字确认的调试验收报告20个工作日内，买方应支付给卖方合同总价的30%，计人民币 </w:t>
      </w:r>
      <w:r>
        <w:rPr>
          <w:rFonts w:hint="eastAsia" w:ascii="宋体" w:hAnsi="宋体" w:eastAsia="宋体" w:cs="宋体"/>
          <w:sz w:val="22"/>
          <w:szCs w:val="22"/>
          <w:u w:val="single"/>
          <w:lang w:val="en-US" w:eastAsia="zh-CN" w:bidi="ar-SA"/>
        </w:rPr>
        <w:t xml:space="preserve">     </w:t>
      </w:r>
      <w:r>
        <w:rPr>
          <w:rFonts w:hint="eastAsia" w:ascii="宋体" w:hAnsi="宋体" w:eastAsia="宋体" w:cs="宋体"/>
          <w:sz w:val="22"/>
          <w:szCs w:val="22"/>
          <w:u w:val="none"/>
          <w:lang w:val="en-US" w:eastAsia="zh-CN" w:bidi="ar-SA"/>
        </w:rPr>
        <w:t xml:space="preserve"> 元，作为采购合同的调试验收款。</w:t>
      </w:r>
    </w:p>
    <w:p w14:paraId="79F2FBB3">
      <w:pPr>
        <w:keepNext w:val="0"/>
        <w:keepLines w:val="0"/>
        <w:pageBreakBefore w:val="0"/>
        <w:widowControl/>
        <w:kinsoku/>
        <w:wordWrap/>
        <w:overflowPunct/>
        <w:topLinePunct w:val="0"/>
        <w:bidi w:val="0"/>
        <w:adjustRightInd/>
        <w:snapToGrid/>
        <w:spacing w:line="400" w:lineRule="atLeas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（5）质保金：货物质保期内正常运行且无质量异议的，在收到卖方出具的质保期到期付款通知，经买方核实无误后30个工作日内，买方应支付给卖方合同总价的10%，计人民币</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元，作为采购合同的质保金尾款。</w:t>
      </w:r>
    </w:p>
    <w:p w14:paraId="4564F037">
      <w:pPr>
        <w:keepNext w:val="0"/>
        <w:keepLines w:val="0"/>
        <w:pageBreakBefore w:val="0"/>
        <w:tabs>
          <w:tab w:val="left" w:pos="540"/>
        </w:tabs>
        <w:kinsoku/>
        <w:wordWrap/>
        <w:overflowPunct/>
        <w:topLinePunct w:val="0"/>
        <w:bidi w:val="0"/>
        <w:adjustRightInd/>
        <w:snapToGrid/>
        <w:spacing w:line="400" w:lineRule="atLeast"/>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第九章 廉洁条款</w:t>
      </w:r>
    </w:p>
    <w:p w14:paraId="344122BD">
      <w:pPr>
        <w:keepNext w:val="0"/>
        <w:keepLines w:val="0"/>
        <w:pageBreakBefore w:val="0"/>
        <w:widowControl/>
        <w:kinsoku/>
        <w:wordWrap/>
        <w:overflowPunct/>
        <w:topLinePunct w:val="0"/>
        <w:bidi w:val="0"/>
        <w:adjustRightInd/>
        <w:snapToGrid/>
        <w:spacing w:line="400" w:lineRule="atLeas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9.1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14:paraId="535CA252">
      <w:pPr>
        <w:keepNext w:val="0"/>
        <w:keepLines w:val="0"/>
        <w:pageBreakBefore w:val="0"/>
        <w:kinsoku/>
        <w:wordWrap/>
        <w:overflowPunct/>
        <w:topLinePunct w:val="0"/>
        <w:bidi w:val="0"/>
        <w:adjustRightInd/>
        <w:snapToGrid/>
        <w:spacing w:line="400" w:lineRule="atLeast"/>
        <w:ind w:left="-3"/>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第十章  违约责任</w:t>
      </w:r>
    </w:p>
    <w:p w14:paraId="1C2C7B1B">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color w:val="222222"/>
          <w:sz w:val="22"/>
          <w:szCs w:val="22"/>
        </w:rPr>
      </w:pPr>
      <w:r>
        <w:rPr>
          <w:rFonts w:hint="eastAsia" w:ascii="宋体" w:hAnsi="宋体" w:eastAsia="宋体" w:cs="宋体"/>
          <w:color w:val="000000"/>
          <w:sz w:val="22"/>
          <w:szCs w:val="22"/>
        </w:rPr>
        <w:t>10.1乙方</w:t>
      </w:r>
      <w:r>
        <w:rPr>
          <w:rFonts w:hint="eastAsia" w:ascii="宋体" w:hAnsi="宋体" w:eastAsia="宋体" w:cs="宋体"/>
          <w:color w:val="222222"/>
          <w:sz w:val="22"/>
          <w:szCs w:val="22"/>
        </w:rPr>
        <w:t>未按合同规定的质量完成项目的，乙方应当负责返工，如果返工后的交付时间超过合同约定的日期，应当承担逾期交付责任，并承担因此给甲方造成的损失。</w:t>
      </w:r>
    </w:p>
    <w:p w14:paraId="7481BD20">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color w:val="222222"/>
          <w:sz w:val="22"/>
          <w:szCs w:val="22"/>
        </w:rPr>
      </w:pPr>
      <w:r>
        <w:rPr>
          <w:rFonts w:hint="eastAsia" w:ascii="宋体" w:hAnsi="宋体" w:eastAsia="宋体" w:cs="宋体"/>
          <w:color w:val="000000"/>
          <w:sz w:val="22"/>
          <w:szCs w:val="22"/>
        </w:rPr>
        <w:t>10.2</w:t>
      </w:r>
      <w:r>
        <w:rPr>
          <w:rFonts w:hint="eastAsia" w:ascii="宋体" w:hAnsi="宋体" w:eastAsia="宋体" w:cs="宋体"/>
          <w:color w:val="222222"/>
          <w:sz w:val="22"/>
          <w:szCs w:val="22"/>
        </w:rPr>
        <w:t>、逾期开展培训/完工的 (包括因返修、更换、补交等造成的逾期)，应当向甲方偿付违约金，每逾期一天，按合同总金额的</w:t>
      </w:r>
      <w:r>
        <w:rPr>
          <w:rFonts w:hint="eastAsia" w:ascii="宋体" w:hAnsi="宋体" w:eastAsia="宋体" w:cs="宋体"/>
          <w:color w:val="222222"/>
          <w:sz w:val="22"/>
          <w:szCs w:val="22"/>
          <w:u w:val="single"/>
        </w:rPr>
        <w:t xml:space="preserve"> 1 </w:t>
      </w:r>
      <w:r>
        <w:rPr>
          <w:rFonts w:hint="eastAsia" w:ascii="宋体" w:hAnsi="宋体" w:eastAsia="宋体" w:cs="宋体"/>
          <w:color w:val="222222"/>
          <w:sz w:val="22"/>
          <w:szCs w:val="22"/>
        </w:rPr>
        <w:t>‰偿付违约金。逾期超过</w:t>
      </w:r>
      <w:r>
        <w:rPr>
          <w:rFonts w:hint="eastAsia" w:ascii="宋体" w:hAnsi="宋体" w:eastAsia="宋体" w:cs="宋体"/>
          <w:color w:val="222222"/>
          <w:sz w:val="22"/>
          <w:szCs w:val="22"/>
          <w:u w:val="single"/>
        </w:rPr>
        <w:t xml:space="preserve"> 20 </w:t>
      </w:r>
      <w:r>
        <w:rPr>
          <w:rFonts w:hint="eastAsia" w:ascii="宋体" w:hAnsi="宋体" w:eastAsia="宋体" w:cs="宋体"/>
          <w:color w:val="222222"/>
          <w:sz w:val="22"/>
          <w:szCs w:val="22"/>
        </w:rPr>
        <w:t>日，甲方有权单方解除合同，乙方须返还甲方所有已支付款项，按合同总价款的</w:t>
      </w:r>
      <w:r>
        <w:rPr>
          <w:rFonts w:hint="eastAsia" w:ascii="宋体" w:hAnsi="宋体" w:eastAsia="宋体" w:cs="宋体"/>
          <w:color w:val="222222"/>
          <w:sz w:val="22"/>
          <w:szCs w:val="22"/>
          <w:u w:val="single"/>
        </w:rPr>
        <w:t xml:space="preserve"> 20 </w:t>
      </w:r>
      <w:r>
        <w:rPr>
          <w:rFonts w:hint="eastAsia" w:ascii="宋体" w:hAnsi="宋体" w:eastAsia="宋体" w:cs="宋体"/>
          <w:color w:val="222222"/>
          <w:sz w:val="22"/>
          <w:szCs w:val="22"/>
        </w:rPr>
        <w:t>％向甲方支付违约金。违约金不足以弥补甲方损失的，甲方有权追偿。</w:t>
      </w:r>
    </w:p>
    <w:p w14:paraId="10162C83">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10.3、乙方有下列情形之一者，甲方有权解除合同:</w:t>
      </w:r>
    </w:p>
    <w:p w14:paraId="1D675145">
      <w:pPr>
        <w:keepNext w:val="0"/>
        <w:keepLines w:val="0"/>
        <w:pageBreakBefore w:val="0"/>
        <w:numPr>
          <w:ilvl w:val="0"/>
          <w:numId w:val="14"/>
        </w:numPr>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乙方未按约定开工日期逾期开工超过</w:t>
      </w:r>
      <w:r>
        <w:rPr>
          <w:rFonts w:hint="eastAsia" w:ascii="宋体" w:hAnsi="宋体" w:eastAsia="宋体" w:cs="宋体"/>
          <w:color w:val="000000"/>
          <w:sz w:val="22"/>
          <w:szCs w:val="22"/>
          <w:u w:val="single"/>
        </w:rPr>
        <w:t xml:space="preserve"> 10  </w:t>
      </w:r>
      <w:r>
        <w:rPr>
          <w:rFonts w:hint="eastAsia" w:ascii="宋体" w:hAnsi="宋体" w:eastAsia="宋体" w:cs="宋体"/>
          <w:color w:val="000000"/>
          <w:sz w:val="22"/>
          <w:szCs w:val="22"/>
        </w:rPr>
        <w:t>日（含10日），或甲方认为不能依限完工时。</w:t>
      </w:r>
    </w:p>
    <w:p w14:paraId="3B2D7615">
      <w:pPr>
        <w:keepNext w:val="0"/>
        <w:keepLines w:val="0"/>
        <w:pageBreakBefore w:val="0"/>
        <w:numPr>
          <w:ilvl w:val="0"/>
          <w:numId w:val="14"/>
        </w:numPr>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乙方违反合同约定义务或发生变故不能履行合同时。</w:t>
      </w:r>
    </w:p>
    <w:p w14:paraId="755B8AB9">
      <w:pPr>
        <w:keepNext w:val="0"/>
        <w:keepLines w:val="0"/>
        <w:pageBreakBefore w:val="0"/>
        <w:numPr>
          <w:ilvl w:val="0"/>
          <w:numId w:val="14"/>
        </w:numPr>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乙方提供的材料、设备、软硬件等严重不符约定标准,经纠正后仍达不到标准时。</w:t>
      </w:r>
    </w:p>
    <w:p w14:paraId="446AE9AF">
      <w:pPr>
        <w:keepNext w:val="0"/>
        <w:keepLines w:val="0"/>
        <w:pageBreakBefore w:val="0"/>
        <w:numPr>
          <w:ilvl w:val="0"/>
          <w:numId w:val="14"/>
        </w:numPr>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乙方无正当理由，自行停工达</w:t>
      </w:r>
      <w:r>
        <w:rPr>
          <w:rFonts w:hint="eastAsia" w:ascii="宋体" w:hAnsi="宋体" w:eastAsia="宋体" w:cs="宋体"/>
          <w:color w:val="000000"/>
          <w:sz w:val="22"/>
          <w:szCs w:val="22"/>
          <w:u w:val="single"/>
        </w:rPr>
        <w:t xml:space="preserve"> 20</w:t>
      </w:r>
      <w:r>
        <w:rPr>
          <w:rFonts w:hint="eastAsia" w:ascii="宋体" w:hAnsi="宋体" w:eastAsia="宋体" w:cs="宋体"/>
          <w:color w:val="000000"/>
          <w:sz w:val="22"/>
          <w:szCs w:val="22"/>
        </w:rPr>
        <w:t>日以上（含20日）时。</w:t>
      </w:r>
    </w:p>
    <w:p w14:paraId="37330278">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（5）本合同项目无法达到本合同（包括技术协议要求）约定的质量标准及指标。</w:t>
      </w:r>
    </w:p>
    <w:p w14:paraId="77341A33">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（6）乙方未按照本合同及甲方要求，开展培训服务的。</w:t>
      </w:r>
    </w:p>
    <w:p w14:paraId="5B9658D2">
      <w:pPr>
        <w:keepNext w:val="0"/>
        <w:keepLines w:val="0"/>
        <w:pageBreakBefore w:val="0"/>
        <w:kinsoku/>
        <w:wordWrap/>
        <w:overflowPunct/>
        <w:topLinePunct w:val="0"/>
        <w:bidi w:val="0"/>
        <w:adjustRightInd/>
        <w:snapToGrid/>
        <w:spacing w:line="400" w:lineRule="atLeast"/>
        <w:ind w:left="525" w:hanging="550" w:hangingChars="25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10.4、因上述原因导致合同解除时，乙方应向甲方支付</w:t>
      </w:r>
      <w:r>
        <w:rPr>
          <w:rFonts w:hint="eastAsia" w:ascii="宋体" w:hAnsi="宋体" w:eastAsia="宋体" w:cs="宋体"/>
          <w:color w:val="222222"/>
          <w:sz w:val="22"/>
          <w:szCs w:val="22"/>
        </w:rPr>
        <w:t>合同总价款的</w:t>
      </w:r>
      <w:r>
        <w:rPr>
          <w:rFonts w:hint="eastAsia" w:ascii="宋体" w:hAnsi="宋体" w:eastAsia="宋体" w:cs="宋体"/>
          <w:color w:val="222222"/>
          <w:sz w:val="22"/>
          <w:szCs w:val="22"/>
          <w:u w:val="single"/>
        </w:rPr>
        <w:t xml:space="preserve"> 20 </w:t>
      </w:r>
      <w:r>
        <w:rPr>
          <w:rFonts w:hint="eastAsia" w:ascii="宋体" w:hAnsi="宋体" w:eastAsia="宋体" w:cs="宋体"/>
          <w:color w:val="222222"/>
          <w:sz w:val="22"/>
          <w:szCs w:val="22"/>
        </w:rPr>
        <w:t>％违约金</w:t>
      </w:r>
      <w:r>
        <w:rPr>
          <w:rFonts w:hint="eastAsia" w:ascii="宋体" w:hAnsi="宋体" w:eastAsia="宋体" w:cs="宋体"/>
          <w:color w:val="000000"/>
          <w:sz w:val="22"/>
          <w:szCs w:val="22"/>
        </w:rPr>
        <w:t>，返还甲方所有已支付款项，并承担因此给甲方造成的一切损失。</w:t>
      </w:r>
    </w:p>
    <w:p w14:paraId="47439E8F">
      <w:pPr>
        <w:keepNext w:val="0"/>
        <w:keepLines w:val="0"/>
        <w:pageBreakBefore w:val="0"/>
        <w:kinsoku/>
        <w:wordWrap/>
        <w:overflowPunct/>
        <w:topLinePunct w:val="0"/>
        <w:bidi w:val="0"/>
        <w:adjustRightInd/>
        <w:snapToGrid/>
        <w:spacing w:line="400" w:lineRule="atLeast"/>
        <w:ind w:left="210" w:hanging="220" w:hangingChars="1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10.3、解除合同时，乙方应缴还甲方提供的一切资料，如经甲方要求，乙方应继续承担保密义务。</w:t>
      </w:r>
    </w:p>
    <w:p w14:paraId="11D646B6">
      <w:pPr>
        <w:keepNext w:val="0"/>
        <w:keepLines w:val="0"/>
        <w:pageBreakBefore w:val="0"/>
        <w:kinsoku/>
        <w:wordWrap/>
        <w:overflowPunct/>
        <w:topLinePunct w:val="0"/>
        <w:bidi w:val="0"/>
        <w:adjustRightInd/>
        <w:snapToGrid/>
        <w:spacing w:line="400" w:lineRule="atLeast"/>
        <w:ind w:left="-8"/>
        <w:textAlignment w:val="auto"/>
        <w:rPr>
          <w:rFonts w:hint="eastAsia" w:ascii="宋体" w:hAnsi="宋体" w:eastAsia="宋体" w:cs="宋体"/>
          <w:sz w:val="22"/>
          <w:szCs w:val="22"/>
        </w:rPr>
      </w:pPr>
      <w:r>
        <w:rPr>
          <w:rFonts w:hint="eastAsia" w:ascii="宋体" w:hAnsi="宋体" w:eastAsia="宋体" w:cs="宋体"/>
          <w:sz w:val="22"/>
          <w:szCs w:val="22"/>
        </w:rPr>
        <w:t>10.4、乙方郑重承诺其所售的产品不侵犯他人的知识产权。如有侵权行为，给甲方造成的损失由乙方完全负责。乙方对甲方提供的技术资料和图纸保密，不得泄露给任何其他方。</w:t>
      </w:r>
    </w:p>
    <w:p w14:paraId="532F4CC6">
      <w:pPr>
        <w:keepNext w:val="0"/>
        <w:keepLines w:val="0"/>
        <w:pageBreakBefore w:val="0"/>
        <w:kinsoku/>
        <w:wordWrap/>
        <w:overflowPunct/>
        <w:topLinePunct w:val="0"/>
        <w:bidi w:val="0"/>
        <w:adjustRightInd/>
        <w:snapToGrid/>
        <w:spacing w:line="400" w:lineRule="atLeast"/>
        <w:ind w:left="-15" w:right="233" w:firstLine="480"/>
        <w:textAlignment w:val="auto"/>
        <w:rPr>
          <w:rFonts w:hint="eastAsia" w:ascii="宋体" w:hAnsi="宋体" w:eastAsia="宋体" w:cs="宋体"/>
          <w:sz w:val="22"/>
          <w:szCs w:val="22"/>
        </w:rPr>
      </w:pPr>
      <w:r>
        <w:rPr>
          <w:rFonts w:hint="eastAsia" w:ascii="宋体" w:hAnsi="宋体" w:eastAsia="宋体" w:cs="宋体"/>
          <w:sz w:val="22"/>
          <w:szCs w:val="22"/>
        </w:rPr>
        <w:t>甲方无论是否参与系统详细功能设计审查、确认、模型验收、项目验收以及乙方供货的软、硬件检验，均不免除或减轻乙方应对其所供设备及本项目承担的任何合同责任。</w:t>
      </w:r>
    </w:p>
    <w:p w14:paraId="47C6AF0F">
      <w:pPr>
        <w:keepNext w:val="0"/>
        <w:keepLines w:val="0"/>
        <w:pageBreakBefore w:val="0"/>
        <w:kinsoku/>
        <w:wordWrap/>
        <w:overflowPunct/>
        <w:topLinePunct w:val="0"/>
        <w:bidi w:val="0"/>
        <w:adjustRightInd/>
        <w:snapToGrid/>
        <w:spacing w:line="400" w:lineRule="atLeast"/>
        <w:ind w:left="-3"/>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第十一章  争议解决</w:t>
      </w:r>
    </w:p>
    <w:p w14:paraId="76683B48">
      <w:pPr>
        <w:keepNext w:val="0"/>
        <w:keepLines w:val="0"/>
        <w:pageBreakBefore w:val="0"/>
        <w:kinsoku/>
        <w:wordWrap/>
        <w:overflowPunct/>
        <w:topLinePunct w:val="0"/>
        <w:bidi w:val="0"/>
        <w:adjustRightInd/>
        <w:snapToGrid/>
        <w:spacing w:line="400" w:lineRule="atLeast"/>
        <w:ind w:left="462" w:hanging="484" w:hangingChars="22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11.1、合同双方因执行本合同所发生的或与本合同有关的一切争执首先应通过友好协商解决。如协商不能达成协议，则应提交甲方所在地人民法院解决。</w:t>
      </w:r>
    </w:p>
    <w:p w14:paraId="459F780A">
      <w:pPr>
        <w:keepNext w:val="0"/>
        <w:keepLines w:val="0"/>
        <w:pageBreakBefore w:val="0"/>
        <w:kinsoku/>
        <w:wordWrap/>
        <w:overflowPunct/>
        <w:topLinePunct w:val="0"/>
        <w:bidi w:val="0"/>
        <w:adjustRightInd/>
        <w:snapToGrid/>
        <w:spacing w:line="400" w:lineRule="atLeast"/>
        <w:ind w:left="-3"/>
        <w:textAlignment w:val="auto"/>
        <w:rPr>
          <w:rFonts w:hint="eastAsia" w:ascii="宋体" w:hAnsi="宋体" w:eastAsia="宋体" w:cs="宋体"/>
          <w:color w:val="000000"/>
          <w:sz w:val="22"/>
          <w:szCs w:val="22"/>
        </w:rPr>
      </w:pPr>
      <w:r>
        <w:rPr>
          <w:rFonts w:hint="eastAsia" w:ascii="宋体" w:hAnsi="宋体" w:eastAsia="宋体" w:cs="宋体"/>
          <w:b/>
          <w:bCs/>
          <w:color w:val="000000"/>
          <w:sz w:val="22"/>
          <w:szCs w:val="22"/>
        </w:rPr>
        <w:t>第十二章变更和终止</w:t>
      </w:r>
    </w:p>
    <w:p w14:paraId="3A2400D0">
      <w:pPr>
        <w:keepNext w:val="0"/>
        <w:keepLines w:val="0"/>
        <w:pageBreakBefore w:val="0"/>
        <w:kinsoku/>
        <w:wordWrap/>
        <w:overflowPunct/>
        <w:topLinePunct w:val="0"/>
        <w:bidi w:val="0"/>
        <w:adjustRightInd/>
        <w:snapToGrid/>
        <w:spacing w:line="400" w:lineRule="atLeast"/>
        <w:ind w:left="462" w:hanging="484" w:hangingChars="22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12.1、合同经双方盖章后立即生效。合同生效后，未经双方书面盖章同意，不得对合同条款做任何修改。</w:t>
      </w:r>
    </w:p>
    <w:p w14:paraId="5C3F80BC">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12.2、任何一方未经另一方书面盖章同意，不得将本合同规定的双方所承担的任何权利或义务转让给第三方。</w:t>
      </w:r>
    </w:p>
    <w:p w14:paraId="163C13B0">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12.3、本合同正本一式伍份，甲方执肆份，乙方执壹份，具有同等法律效力。</w:t>
      </w:r>
    </w:p>
    <w:p w14:paraId="5F0B3F30">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12.4、乙方指定下述人员作为本合同履行之联系人：</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 xml:space="preserve">；联系方式：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；收件邮箱：</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；送达地址：</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3903D224">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附件：</w:t>
      </w:r>
    </w:p>
    <w:p w14:paraId="27282414">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附件1、《人员、车辆入厂安全管理协议》</w:t>
      </w:r>
    </w:p>
    <w:p w14:paraId="2D30FC27">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附件2、《履约保函格式》；</w:t>
      </w:r>
    </w:p>
    <w:p w14:paraId="62E7A3D6">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附件3、《技术协议》</w:t>
      </w:r>
    </w:p>
    <w:p w14:paraId="2F891AB9">
      <w:pPr>
        <w:pStyle w:val="45"/>
        <w:keepNext w:val="0"/>
        <w:keepLines w:val="0"/>
        <w:pageBreakBefore w:val="0"/>
        <w:kinsoku/>
        <w:wordWrap/>
        <w:overflowPunct/>
        <w:topLinePunct w:val="0"/>
        <w:bidi w:val="0"/>
        <w:adjustRightInd/>
        <w:snapToGrid/>
        <w:spacing w:line="400" w:lineRule="atLeast"/>
        <w:ind w:left="0" w:leftChars="0" w:firstLine="0" w:firstLineChars="0"/>
        <w:textAlignment w:val="auto"/>
        <w:rPr>
          <w:rFonts w:hint="eastAsia" w:ascii="宋体" w:hAnsi="宋体" w:eastAsia="宋体" w:cs="宋体"/>
          <w:i w:val="0"/>
          <w:iCs w:val="0"/>
          <w:sz w:val="22"/>
          <w:szCs w:val="22"/>
        </w:rPr>
      </w:pPr>
      <w:r>
        <w:rPr>
          <w:rFonts w:hint="eastAsia" w:ascii="宋体" w:hAnsi="宋体" w:eastAsia="宋体" w:cs="宋体"/>
          <w:i w:val="0"/>
          <w:iCs w:val="0"/>
          <w:sz w:val="22"/>
          <w:szCs w:val="22"/>
        </w:rPr>
        <w:t>附件4、报价清单</w:t>
      </w:r>
    </w:p>
    <w:p w14:paraId="455003A2">
      <w:pPr>
        <w:rPr>
          <w:highlight w:val="yellow"/>
        </w:rPr>
      </w:pPr>
    </w:p>
    <w:tbl>
      <w:tblPr>
        <w:tblStyle w:val="46"/>
        <w:tblW w:w="9781" w:type="dxa"/>
        <w:jc w:val="center"/>
        <w:tblLayout w:type="autofit"/>
        <w:tblCellMar>
          <w:top w:w="0" w:type="dxa"/>
          <w:left w:w="108" w:type="dxa"/>
          <w:bottom w:w="0" w:type="dxa"/>
          <w:right w:w="108" w:type="dxa"/>
        </w:tblCellMar>
      </w:tblPr>
      <w:tblGrid>
        <w:gridCol w:w="4960"/>
        <w:gridCol w:w="4821"/>
      </w:tblGrid>
      <w:tr w14:paraId="70C29AD3">
        <w:tblPrEx>
          <w:tblCellMar>
            <w:top w:w="0" w:type="dxa"/>
            <w:left w:w="108" w:type="dxa"/>
            <w:bottom w:w="0" w:type="dxa"/>
            <w:right w:w="108" w:type="dxa"/>
          </w:tblCellMar>
        </w:tblPrEx>
        <w:trPr>
          <w:jc w:val="center"/>
        </w:trPr>
        <w:tc>
          <w:tcPr>
            <w:tcW w:w="4960" w:type="dxa"/>
            <w:vAlign w:val="center"/>
          </w:tcPr>
          <w:p w14:paraId="2755DB17">
            <w:pPr>
              <w:spacing w:line="360" w:lineRule="auto"/>
              <w:rPr>
                <w:sz w:val="24"/>
                <w:szCs w:val="24"/>
              </w:rPr>
            </w:pPr>
            <w:r>
              <w:rPr>
                <w:rFonts w:hint="eastAsia" w:eastAsia="仿宋_GB2312"/>
                <w:color w:val="000000"/>
                <w:sz w:val="24"/>
                <w:szCs w:val="24"/>
              </w:rPr>
              <w:t>甲方：福建福海创石油化工有限公司</w:t>
            </w:r>
          </w:p>
        </w:tc>
        <w:tc>
          <w:tcPr>
            <w:tcW w:w="4821" w:type="dxa"/>
            <w:vAlign w:val="center"/>
          </w:tcPr>
          <w:p w14:paraId="6330A6DE">
            <w:pPr>
              <w:spacing w:line="360" w:lineRule="auto"/>
              <w:rPr>
                <w:rFonts w:eastAsia="仿宋_GB2312"/>
                <w:color w:val="000000"/>
                <w:sz w:val="24"/>
                <w:szCs w:val="24"/>
              </w:rPr>
            </w:pPr>
            <w:r>
              <w:rPr>
                <w:rFonts w:hint="eastAsia" w:eastAsia="仿宋_GB2312"/>
                <w:color w:val="000000"/>
                <w:sz w:val="24"/>
                <w:szCs w:val="24"/>
              </w:rPr>
              <w:t>乙方：</w:t>
            </w:r>
          </w:p>
        </w:tc>
      </w:tr>
      <w:tr w14:paraId="204875E5">
        <w:trPr>
          <w:jc w:val="center"/>
        </w:trPr>
        <w:tc>
          <w:tcPr>
            <w:tcW w:w="4960" w:type="dxa"/>
            <w:vAlign w:val="center"/>
          </w:tcPr>
          <w:p w14:paraId="63191065">
            <w:pPr>
              <w:spacing w:line="360" w:lineRule="auto"/>
              <w:rPr>
                <w:sz w:val="24"/>
                <w:szCs w:val="24"/>
              </w:rPr>
            </w:pPr>
            <w:r>
              <w:rPr>
                <w:rFonts w:hint="eastAsia" w:eastAsia="仿宋_GB2312"/>
                <w:color w:val="000000"/>
                <w:sz w:val="24"/>
                <w:szCs w:val="24"/>
              </w:rPr>
              <w:t>联系地址：漳州市古雷港经济开发区腾龙路84号</w:t>
            </w:r>
          </w:p>
        </w:tc>
        <w:tc>
          <w:tcPr>
            <w:tcW w:w="4821" w:type="dxa"/>
            <w:vAlign w:val="center"/>
          </w:tcPr>
          <w:p w14:paraId="25CC6BF1">
            <w:pPr>
              <w:spacing w:line="360" w:lineRule="auto"/>
              <w:rPr>
                <w:rFonts w:eastAsia="仿宋_GB2312"/>
                <w:color w:val="000000"/>
                <w:sz w:val="24"/>
                <w:szCs w:val="24"/>
              </w:rPr>
            </w:pPr>
            <w:r>
              <w:rPr>
                <w:rFonts w:hint="eastAsia" w:eastAsia="仿宋_GB2312"/>
                <w:color w:val="000000"/>
                <w:sz w:val="24"/>
                <w:szCs w:val="24"/>
              </w:rPr>
              <w:t>联系地址：</w:t>
            </w:r>
          </w:p>
        </w:tc>
      </w:tr>
      <w:tr w14:paraId="617EE4D6">
        <w:tblPrEx>
          <w:tblCellMar>
            <w:top w:w="0" w:type="dxa"/>
            <w:left w:w="108" w:type="dxa"/>
            <w:bottom w:w="0" w:type="dxa"/>
            <w:right w:w="108" w:type="dxa"/>
          </w:tblCellMar>
        </w:tblPrEx>
        <w:trPr>
          <w:jc w:val="center"/>
        </w:trPr>
        <w:tc>
          <w:tcPr>
            <w:tcW w:w="4960" w:type="dxa"/>
            <w:vAlign w:val="center"/>
          </w:tcPr>
          <w:p w14:paraId="7285764C">
            <w:pPr>
              <w:spacing w:line="360" w:lineRule="auto"/>
              <w:rPr>
                <w:sz w:val="24"/>
                <w:szCs w:val="24"/>
              </w:rPr>
            </w:pPr>
            <w:r>
              <w:rPr>
                <w:rFonts w:hint="eastAsia"/>
                <w:sz w:val="24"/>
                <w:szCs w:val="24"/>
              </w:rPr>
              <w:t>邮编：</w:t>
            </w:r>
          </w:p>
        </w:tc>
        <w:tc>
          <w:tcPr>
            <w:tcW w:w="4821" w:type="dxa"/>
            <w:vAlign w:val="center"/>
          </w:tcPr>
          <w:p w14:paraId="30F7C2FE">
            <w:pPr>
              <w:spacing w:line="360" w:lineRule="auto"/>
              <w:rPr>
                <w:rFonts w:eastAsia="仿宋_GB2312"/>
                <w:color w:val="000000"/>
                <w:sz w:val="24"/>
                <w:szCs w:val="24"/>
              </w:rPr>
            </w:pPr>
            <w:r>
              <w:rPr>
                <w:rFonts w:hint="eastAsia" w:eastAsia="仿宋_GB2312"/>
                <w:color w:val="000000"/>
                <w:sz w:val="24"/>
                <w:szCs w:val="24"/>
              </w:rPr>
              <w:t>邮编：</w:t>
            </w:r>
          </w:p>
        </w:tc>
      </w:tr>
      <w:tr w14:paraId="74725774">
        <w:tblPrEx>
          <w:tblCellMar>
            <w:top w:w="0" w:type="dxa"/>
            <w:left w:w="108" w:type="dxa"/>
            <w:bottom w:w="0" w:type="dxa"/>
            <w:right w:w="108" w:type="dxa"/>
          </w:tblCellMar>
        </w:tblPrEx>
        <w:trPr>
          <w:jc w:val="center"/>
        </w:trPr>
        <w:tc>
          <w:tcPr>
            <w:tcW w:w="4960" w:type="dxa"/>
            <w:vAlign w:val="center"/>
          </w:tcPr>
          <w:p w14:paraId="744B6FF5">
            <w:pPr>
              <w:spacing w:line="360" w:lineRule="auto"/>
              <w:rPr>
                <w:sz w:val="24"/>
                <w:szCs w:val="24"/>
              </w:rPr>
            </w:pPr>
            <w:r>
              <w:rPr>
                <w:rFonts w:hint="eastAsia" w:eastAsia="仿宋_GB2312"/>
                <w:color w:val="000000"/>
                <w:sz w:val="24"/>
                <w:szCs w:val="24"/>
              </w:rPr>
              <w:t>传真：</w:t>
            </w:r>
          </w:p>
        </w:tc>
        <w:tc>
          <w:tcPr>
            <w:tcW w:w="4821" w:type="dxa"/>
            <w:vAlign w:val="center"/>
          </w:tcPr>
          <w:p w14:paraId="7F2BE916">
            <w:pPr>
              <w:spacing w:line="360" w:lineRule="auto"/>
              <w:rPr>
                <w:rFonts w:eastAsia="仿宋_GB2312"/>
                <w:color w:val="000000"/>
                <w:sz w:val="24"/>
                <w:szCs w:val="24"/>
              </w:rPr>
            </w:pPr>
            <w:r>
              <w:rPr>
                <w:rFonts w:hint="eastAsia" w:eastAsia="仿宋_GB2312"/>
                <w:color w:val="000000"/>
                <w:sz w:val="24"/>
                <w:szCs w:val="24"/>
              </w:rPr>
              <w:t>传真：</w:t>
            </w:r>
          </w:p>
        </w:tc>
      </w:tr>
      <w:tr w14:paraId="700EFE4A">
        <w:tblPrEx>
          <w:tblCellMar>
            <w:top w:w="0" w:type="dxa"/>
            <w:left w:w="108" w:type="dxa"/>
            <w:bottom w:w="0" w:type="dxa"/>
            <w:right w:w="108" w:type="dxa"/>
          </w:tblCellMar>
        </w:tblPrEx>
        <w:trPr>
          <w:jc w:val="center"/>
        </w:trPr>
        <w:tc>
          <w:tcPr>
            <w:tcW w:w="4960" w:type="dxa"/>
            <w:vAlign w:val="center"/>
          </w:tcPr>
          <w:p w14:paraId="1A55486F">
            <w:pPr>
              <w:spacing w:line="360" w:lineRule="auto"/>
              <w:rPr>
                <w:sz w:val="24"/>
                <w:szCs w:val="24"/>
              </w:rPr>
            </w:pPr>
            <w:r>
              <w:rPr>
                <w:rFonts w:hint="eastAsia" w:eastAsia="仿宋_GB2312"/>
                <w:color w:val="000000"/>
                <w:sz w:val="24"/>
                <w:szCs w:val="24"/>
              </w:rPr>
              <w:t>电子邮箱：hjzhang@</w:t>
            </w:r>
            <w:r>
              <w:rPr>
                <w:rFonts w:eastAsia="仿宋_GB2312"/>
                <w:color w:val="000000"/>
                <w:sz w:val="24"/>
                <w:szCs w:val="24"/>
              </w:rPr>
              <w:t>fhcpec.com.cn</w:t>
            </w:r>
          </w:p>
        </w:tc>
        <w:tc>
          <w:tcPr>
            <w:tcW w:w="4821" w:type="dxa"/>
            <w:vAlign w:val="center"/>
          </w:tcPr>
          <w:p w14:paraId="448854E8">
            <w:pPr>
              <w:spacing w:line="360" w:lineRule="auto"/>
              <w:rPr>
                <w:rFonts w:eastAsia="仿宋_GB2312"/>
                <w:color w:val="000000"/>
                <w:sz w:val="24"/>
                <w:szCs w:val="24"/>
              </w:rPr>
            </w:pPr>
            <w:r>
              <w:rPr>
                <w:rFonts w:hint="eastAsia" w:eastAsia="仿宋_GB2312"/>
                <w:color w:val="000000"/>
                <w:sz w:val="24"/>
                <w:szCs w:val="24"/>
              </w:rPr>
              <w:t>电子邮箱：</w:t>
            </w:r>
          </w:p>
        </w:tc>
      </w:tr>
      <w:tr w14:paraId="1BBD548C">
        <w:tblPrEx>
          <w:tblCellMar>
            <w:top w:w="0" w:type="dxa"/>
            <w:left w:w="108" w:type="dxa"/>
            <w:bottom w:w="0" w:type="dxa"/>
            <w:right w:w="108" w:type="dxa"/>
          </w:tblCellMar>
        </w:tblPrEx>
        <w:trPr>
          <w:jc w:val="center"/>
        </w:trPr>
        <w:tc>
          <w:tcPr>
            <w:tcW w:w="4960" w:type="dxa"/>
            <w:vAlign w:val="center"/>
          </w:tcPr>
          <w:p w14:paraId="0CBC0951">
            <w:pPr>
              <w:spacing w:line="360" w:lineRule="auto"/>
              <w:rPr>
                <w:sz w:val="24"/>
                <w:szCs w:val="24"/>
              </w:rPr>
            </w:pPr>
            <w:r>
              <w:rPr>
                <w:rFonts w:hint="eastAsia" w:eastAsia="仿宋_GB2312"/>
                <w:color w:val="000000"/>
                <w:sz w:val="24"/>
                <w:szCs w:val="24"/>
              </w:rPr>
              <w:t>委托代理人：张华娟</w:t>
            </w:r>
          </w:p>
        </w:tc>
        <w:tc>
          <w:tcPr>
            <w:tcW w:w="4821" w:type="dxa"/>
            <w:vAlign w:val="center"/>
          </w:tcPr>
          <w:p w14:paraId="1854FB33">
            <w:pPr>
              <w:spacing w:line="360" w:lineRule="auto"/>
              <w:rPr>
                <w:rFonts w:eastAsia="仿宋_GB2312"/>
                <w:color w:val="000000"/>
                <w:sz w:val="24"/>
                <w:szCs w:val="24"/>
              </w:rPr>
            </w:pPr>
            <w:r>
              <w:rPr>
                <w:rFonts w:hint="eastAsia" w:eastAsia="仿宋_GB2312"/>
                <w:color w:val="000000"/>
                <w:sz w:val="24"/>
                <w:szCs w:val="24"/>
              </w:rPr>
              <w:t>委托代理人：</w:t>
            </w:r>
            <w:r>
              <w:rPr>
                <w:rFonts w:eastAsia="仿宋_GB2312"/>
                <w:color w:val="000000"/>
                <w:sz w:val="24"/>
                <w:szCs w:val="24"/>
              </w:rPr>
              <w:t xml:space="preserve"> </w:t>
            </w:r>
          </w:p>
        </w:tc>
      </w:tr>
      <w:tr w14:paraId="72B01B32">
        <w:tblPrEx>
          <w:tblCellMar>
            <w:top w:w="0" w:type="dxa"/>
            <w:left w:w="108" w:type="dxa"/>
            <w:bottom w:w="0" w:type="dxa"/>
            <w:right w:w="108" w:type="dxa"/>
          </w:tblCellMar>
        </w:tblPrEx>
        <w:trPr>
          <w:jc w:val="center"/>
        </w:trPr>
        <w:tc>
          <w:tcPr>
            <w:tcW w:w="4960" w:type="dxa"/>
            <w:vAlign w:val="center"/>
          </w:tcPr>
          <w:p w14:paraId="78967BBA">
            <w:pPr>
              <w:spacing w:line="360" w:lineRule="auto"/>
              <w:rPr>
                <w:sz w:val="24"/>
                <w:szCs w:val="24"/>
              </w:rPr>
            </w:pPr>
            <w:r>
              <w:rPr>
                <w:rFonts w:hint="eastAsia" w:eastAsia="仿宋_GB2312"/>
                <w:color w:val="000000"/>
                <w:sz w:val="24"/>
                <w:szCs w:val="24"/>
              </w:rPr>
              <w:t>电话：0</w:t>
            </w:r>
            <w:r>
              <w:rPr>
                <w:rFonts w:eastAsia="仿宋_GB2312"/>
                <w:color w:val="000000"/>
                <w:sz w:val="24"/>
                <w:szCs w:val="24"/>
              </w:rPr>
              <w:t>596-6311821</w:t>
            </w:r>
          </w:p>
        </w:tc>
        <w:tc>
          <w:tcPr>
            <w:tcW w:w="4821" w:type="dxa"/>
            <w:vAlign w:val="center"/>
          </w:tcPr>
          <w:p w14:paraId="2CAA7A27">
            <w:pPr>
              <w:spacing w:line="360" w:lineRule="auto"/>
              <w:rPr>
                <w:rFonts w:eastAsia="仿宋_GB2312"/>
                <w:color w:val="000000"/>
                <w:sz w:val="24"/>
                <w:szCs w:val="24"/>
              </w:rPr>
            </w:pPr>
            <w:r>
              <w:rPr>
                <w:rFonts w:hint="eastAsia" w:eastAsia="仿宋_GB2312"/>
                <w:color w:val="000000"/>
                <w:sz w:val="24"/>
                <w:szCs w:val="24"/>
              </w:rPr>
              <w:t>电话：</w:t>
            </w:r>
          </w:p>
        </w:tc>
      </w:tr>
      <w:tr w14:paraId="302E24C0">
        <w:trPr>
          <w:jc w:val="center"/>
        </w:trPr>
        <w:tc>
          <w:tcPr>
            <w:tcW w:w="4960" w:type="dxa"/>
            <w:vAlign w:val="center"/>
          </w:tcPr>
          <w:p w14:paraId="0E616FEE">
            <w:pPr>
              <w:spacing w:line="360" w:lineRule="auto"/>
              <w:rPr>
                <w:sz w:val="24"/>
                <w:szCs w:val="24"/>
              </w:rPr>
            </w:pPr>
            <w:r>
              <w:rPr>
                <w:rFonts w:hint="eastAsia" w:eastAsia="仿宋_GB2312"/>
                <w:color w:val="000000"/>
                <w:sz w:val="24"/>
                <w:szCs w:val="24"/>
              </w:rPr>
              <w:t>开户银行：兴业银行漳州古雷支行</w:t>
            </w:r>
          </w:p>
        </w:tc>
        <w:tc>
          <w:tcPr>
            <w:tcW w:w="4821" w:type="dxa"/>
            <w:vAlign w:val="center"/>
          </w:tcPr>
          <w:p w14:paraId="47C3D1AA">
            <w:pPr>
              <w:spacing w:line="360" w:lineRule="auto"/>
              <w:rPr>
                <w:rFonts w:eastAsia="仿宋_GB2312"/>
                <w:color w:val="000000"/>
                <w:sz w:val="24"/>
                <w:szCs w:val="24"/>
              </w:rPr>
            </w:pPr>
            <w:r>
              <w:rPr>
                <w:rFonts w:hint="eastAsia" w:eastAsia="仿宋_GB2312"/>
                <w:color w:val="000000"/>
                <w:sz w:val="24"/>
                <w:szCs w:val="24"/>
              </w:rPr>
              <w:t>开户银行：</w:t>
            </w:r>
          </w:p>
        </w:tc>
      </w:tr>
      <w:tr w14:paraId="7C1880EC">
        <w:tblPrEx>
          <w:tblCellMar>
            <w:top w:w="0" w:type="dxa"/>
            <w:left w:w="108" w:type="dxa"/>
            <w:bottom w:w="0" w:type="dxa"/>
            <w:right w:w="108" w:type="dxa"/>
          </w:tblCellMar>
        </w:tblPrEx>
        <w:trPr>
          <w:trHeight w:val="453" w:hRule="atLeast"/>
          <w:jc w:val="center"/>
        </w:trPr>
        <w:tc>
          <w:tcPr>
            <w:tcW w:w="4960" w:type="dxa"/>
            <w:vAlign w:val="center"/>
          </w:tcPr>
          <w:p w14:paraId="359CE9E7">
            <w:pPr>
              <w:spacing w:line="360" w:lineRule="auto"/>
              <w:rPr>
                <w:sz w:val="24"/>
                <w:szCs w:val="24"/>
              </w:rPr>
            </w:pPr>
            <w:r>
              <w:rPr>
                <w:rFonts w:hint="eastAsia" w:eastAsia="仿宋_GB2312"/>
                <w:color w:val="000000"/>
                <w:sz w:val="24"/>
                <w:szCs w:val="24"/>
              </w:rPr>
              <w:t>账号：162070100100021071</w:t>
            </w:r>
          </w:p>
        </w:tc>
        <w:tc>
          <w:tcPr>
            <w:tcW w:w="4821" w:type="dxa"/>
            <w:vAlign w:val="center"/>
          </w:tcPr>
          <w:p w14:paraId="2C2D44FB">
            <w:pPr>
              <w:spacing w:line="360" w:lineRule="auto"/>
              <w:rPr>
                <w:rFonts w:eastAsia="仿宋_GB2312"/>
                <w:color w:val="000000"/>
                <w:sz w:val="24"/>
                <w:szCs w:val="24"/>
              </w:rPr>
            </w:pPr>
            <w:r>
              <w:rPr>
                <w:rFonts w:hint="eastAsia" w:eastAsia="仿宋_GB2312"/>
                <w:color w:val="000000"/>
                <w:sz w:val="24"/>
                <w:szCs w:val="24"/>
              </w:rPr>
              <w:t>账号：</w:t>
            </w:r>
          </w:p>
          <w:p w14:paraId="75C33B9C">
            <w:pPr>
              <w:spacing w:line="360" w:lineRule="auto"/>
              <w:rPr>
                <w:rFonts w:eastAsia="仿宋_GB2312"/>
                <w:color w:val="000000"/>
                <w:sz w:val="24"/>
                <w:szCs w:val="24"/>
              </w:rPr>
            </w:pPr>
          </w:p>
        </w:tc>
      </w:tr>
    </w:tbl>
    <w:p w14:paraId="051E1393">
      <w:pPr>
        <w:spacing w:after="156" w:afterLines="50" w:line="440" w:lineRule="exact"/>
        <w:rPr>
          <w:rFonts w:ascii="昆仑仿宋"/>
          <w:b/>
          <w:bCs/>
          <w:sz w:val="32"/>
        </w:rPr>
      </w:pPr>
    </w:p>
    <w:p w14:paraId="0AC0E774">
      <w:pPr>
        <w:pStyle w:val="206"/>
        <w:spacing w:line="360" w:lineRule="auto"/>
        <w:ind w:firstLine="705"/>
        <w:rPr>
          <w:rFonts w:ascii="宋体" w:hAnsi="宋体"/>
          <w:sz w:val="24"/>
          <w:szCs w:val="24"/>
        </w:rPr>
      </w:pPr>
    </w:p>
    <w:p w14:paraId="4EBD2EC2">
      <w:pPr>
        <w:rPr>
          <w:color w:val="000080"/>
          <w:sz w:val="20"/>
          <w:highlight w:val="white"/>
        </w:rPr>
      </w:pPr>
      <w:r>
        <w:rPr>
          <w:rFonts w:hint="eastAsia"/>
          <w:color w:val="000080"/>
          <w:sz w:val="20"/>
          <w:highlight w:val="white"/>
        </w:rPr>
        <w:t xml:space="preserve"> </w:t>
      </w:r>
    </w:p>
    <w:p w14:paraId="7D333AB0"/>
    <w:p w14:paraId="0A3DB03B"/>
    <w:p w14:paraId="2E174E1D"/>
    <w:p w14:paraId="64FA9105"/>
    <w:p w14:paraId="6CFD4EA9"/>
    <w:p w14:paraId="48FF2291"/>
    <w:p w14:paraId="71309F2D"/>
    <w:p w14:paraId="0296AF37"/>
    <w:p w14:paraId="2BABF04C"/>
    <w:p w14:paraId="40FB8005"/>
    <w:p w14:paraId="2B51BA9B"/>
    <w:p w14:paraId="4FC8827A"/>
    <w:p w14:paraId="486638C2"/>
    <w:p w14:paraId="3778FAAC"/>
    <w:p w14:paraId="34F22E2B"/>
    <w:p w14:paraId="71E2D1C3">
      <w:pPr>
        <w:pStyle w:val="71"/>
        <w:ind w:firstLine="0"/>
        <w:jc w:val="center"/>
        <w:rPr>
          <w:rFonts w:asciiTheme="minorEastAsia" w:hAnsiTheme="minorEastAsia" w:eastAsiaTheme="minorEastAsia"/>
          <w:bCs/>
          <w:szCs w:val="21"/>
        </w:rPr>
      </w:pPr>
      <w:r>
        <w:rPr>
          <w:rFonts w:hint="eastAsia" w:asciiTheme="minorEastAsia" w:hAnsiTheme="minorEastAsia" w:eastAsiaTheme="minorEastAsia"/>
          <w:bCs/>
          <w:szCs w:val="21"/>
        </w:rPr>
        <w:t>附件1、人员、车辆入厂安全管理协议</w:t>
      </w:r>
    </w:p>
    <w:p w14:paraId="20C71DBA">
      <w:pPr>
        <w:pStyle w:val="71"/>
        <w:ind w:left="0" w:leftChars="0" w:firstLine="0" w:firstLineChars="0"/>
        <w:jc w:val="left"/>
        <w:rPr>
          <w:rFonts w:hint="eastAsia" w:asciiTheme="minorEastAsia" w:hAnsiTheme="minorEastAsia" w:eastAsiaTheme="minorEastAsia"/>
          <w:bCs/>
          <w:szCs w:val="21"/>
          <w:u w:val="single"/>
        </w:rPr>
      </w:pPr>
      <w:r>
        <w:rPr>
          <w:rFonts w:hint="eastAsia" w:asciiTheme="minorEastAsia" w:hAnsiTheme="minorEastAsia" w:eastAsiaTheme="minorEastAsia"/>
          <w:bCs/>
          <w:szCs w:val="21"/>
        </w:rPr>
        <w:t>甲方：</w:t>
      </w:r>
      <w:r>
        <w:rPr>
          <w:rFonts w:hint="eastAsia" w:asciiTheme="minorEastAsia" w:hAnsiTheme="minorEastAsia" w:eastAsiaTheme="minorEastAsia"/>
          <w:bCs/>
          <w:szCs w:val="21"/>
          <w:u w:val="single"/>
        </w:rPr>
        <w:t xml:space="preserve"> 福建福海创石油化工有限公司   </w:t>
      </w:r>
    </w:p>
    <w:p w14:paraId="553C394E">
      <w:pPr>
        <w:pStyle w:val="71"/>
        <w:ind w:left="0" w:leftChars="0" w:firstLine="0" w:firstLineChars="0"/>
        <w:jc w:val="left"/>
        <w:rPr>
          <w:rFonts w:hint="eastAsia" w:asciiTheme="minorEastAsia" w:hAnsiTheme="minorEastAsia" w:eastAsiaTheme="minorEastAsia"/>
          <w:bCs/>
          <w:szCs w:val="21"/>
          <w:u w:val="single"/>
        </w:rPr>
      </w:pPr>
    </w:p>
    <w:p w14:paraId="35283EC6">
      <w:pPr>
        <w:pStyle w:val="206"/>
        <w:snapToGrid w:val="0"/>
        <w:spacing w:line="360" w:lineRule="auto"/>
        <w:rPr>
          <w:rFonts w:hint="default" w:asciiTheme="minorEastAsia" w:hAnsiTheme="minorEastAsia" w:eastAsiaTheme="minorEastAsia"/>
          <w:bCs/>
          <w:szCs w:val="21"/>
          <w:u w:val="single"/>
          <w:lang w:val="en-US" w:eastAsia="zh-CN"/>
        </w:rPr>
      </w:pPr>
      <w:r>
        <w:rPr>
          <w:rFonts w:hint="eastAsia" w:asciiTheme="minorEastAsia" w:hAnsiTheme="minorEastAsia" w:eastAsiaTheme="minorEastAsia"/>
          <w:bCs/>
          <w:szCs w:val="21"/>
        </w:rPr>
        <w:t>乙方：</w:t>
      </w:r>
      <w:r>
        <w:rPr>
          <w:rFonts w:hint="eastAsia" w:asciiTheme="minorEastAsia" w:hAnsiTheme="minorEastAsia" w:eastAsiaTheme="minorEastAsia"/>
          <w:bCs/>
          <w:szCs w:val="21"/>
          <w:lang w:val="en-US" w:eastAsia="zh-CN"/>
        </w:rPr>
        <w:t xml:space="preserve">  </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 xml:space="preserve">                             </w:t>
      </w:r>
    </w:p>
    <w:p w14:paraId="485F1D29">
      <w:pPr>
        <w:spacing w:line="360" w:lineRule="auto"/>
        <w:ind w:left="-526" w:leftChars="-239" w:firstLine="464" w:firstLineChars="211"/>
        <w:rPr>
          <w:rFonts w:ascii="宋体" w:hAnsi="宋体"/>
          <w:szCs w:val="21"/>
        </w:rPr>
      </w:pPr>
      <w:r>
        <w:rPr>
          <w:rFonts w:hint="eastAsia" w:ascii="宋体" w:hAnsi="宋体"/>
          <w:szCs w:val="21"/>
        </w:rPr>
        <w:t>为进一步明确甲乙双方在合同履行过程中的安全生产权利和义务及责任，经双方协商，双方自愿签订本协议，作为主合同的附件。</w:t>
      </w:r>
    </w:p>
    <w:p w14:paraId="0D558D72">
      <w:pPr>
        <w:numPr>
          <w:ilvl w:val="0"/>
          <w:numId w:val="15"/>
        </w:numPr>
        <w:spacing w:line="360" w:lineRule="auto"/>
        <w:ind w:left="-526" w:leftChars="-239" w:firstLine="466" w:firstLineChars="211"/>
        <w:rPr>
          <w:rFonts w:ascii="宋体" w:hAnsi="宋体"/>
          <w:b/>
          <w:bCs/>
          <w:szCs w:val="21"/>
        </w:rPr>
      </w:pPr>
      <w:r>
        <w:rPr>
          <w:rFonts w:hint="eastAsia" w:ascii="宋体" w:hAnsi="宋体"/>
          <w:b/>
          <w:bCs/>
          <w:szCs w:val="21"/>
        </w:rPr>
        <w:t>甲方的权利和义务</w:t>
      </w:r>
    </w:p>
    <w:p w14:paraId="63E87AB5">
      <w:pPr>
        <w:numPr>
          <w:ilvl w:val="0"/>
          <w:numId w:val="16"/>
        </w:numPr>
        <w:spacing w:line="360" w:lineRule="auto"/>
        <w:ind w:left="-62" w:leftChars="-28"/>
        <w:rPr>
          <w:rFonts w:ascii="宋体" w:hAnsi="宋体"/>
          <w:szCs w:val="21"/>
        </w:rPr>
      </w:pPr>
      <w:r>
        <w:rPr>
          <w:rFonts w:hint="eastAsia" w:ascii="宋体" w:hAnsi="宋体"/>
          <w:szCs w:val="21"/>
        </w:rPr>
        <w:t>甲方负责向乙方提供乙方需遵守的安全环保管理规定，并在入厂前向需要进入甲方厂区的人员进行安全告知。</w:t>
      </w:r>
    </w:p>
    <w:p w14:paraId="344DF3E3">
      <w:pPr>
        <w:numPr>
          <w:ilvl w:val="0"/>
          <w:numId w:val="16"/>
        </w:numPr>
        <w:spacing w:line="360" w:lineRule="auto"/>
        <w:ind w:left="-62" w:leftChars="-28"/>
        <w:rPr>
          <w:rFonts w:ascii="宋体" w:hAnsi="宋体"/>
          <w:szCs w:val="21"/>
        </w:rPr>
      </w:pPr>
      <w:r>
        <w:rPr>
          <w:rFonts w:hint="eastAsia" w:ascii="宋体" w:hAnsi="宋体"/>
          <w:szCs w:val="21"/>
        </w:rPr>
        <w:t>甲方应为乙方指定甲方厂区内的安全行车路线。</w:t>
      </w:r>
    </w:p>
    <w:p w14:paraId="7821ED6D">
      <w:pPr>
        <w:numPr>
          <w:ilvl w:val="0"/>
          <w:numId w:val="16"/>
        </w:numPr>
        <w:spacing w:line="360" w:lineRule="auto"/>
        <w:ind w:left="-62" w:leftChars="-28"/>
        <w:rPr>
          <w:rFonts w:ascii="宋体" w:hAnsi="宋体"/>
          <w:szCs w:val="21"/>
        </w:rPr>
      </w:pPr>
      <w:r>
        <w:rPr>
          <w:rFonts w:hint="eastAsia" w:ascii="宋体" w:hAnsi="宋体"/>
          <w:szCs w:val="21"/>
        </w:rPr>
        <w:t>甲方负责对乙方的入厂车辆和人员进行安全资质、车辆完好情况及人员健康情况进行检查，禁止不合格的车辆和人员入厂。</w:t>
      </w:r>
    </w:p>
    <w:p w14:paraId="365614EB">
      <w:pPr>
        <w:numPr>
          <w:ilvl w:val="0"/>
          <w:numId w:val="16"/>
        </w:numPr>
        <w:spacing w:line="360" w:lineRule="auto"/>
        <w:ind w:left="-62" w:leftChars="-28"/>
        <w:rPr>
          <w:rFonts w:ascii="宋体" w:hAnsi="宋体"/>
          <w:szCs w:val="21"/>
        </w:rPr>
      </w:pPr>
      <w:r>
        <w:rPr>
          <w:rFonts w:hint="eastAsia" w:ascii="宋体" w:hAnsi="宋体"/>
          <w:szCs w:val="21"/>
        </w:rPr>
        <w:t>甲方对乙方车辆在甲方厂区门口、停车场及厂区内停放和行驶情况进行监督检查，有权对违规的车辆和人员按照甲方的规定进行处罚。</w:t>
      </w:r>
    </w:p>
    <w:p w14:paraId="3305A0C9">
      <w:pPr>
        <w:numPr>
          <w:ilvl w:val="0"/>
          <w:numId w:val="16"/>
        </w:numPr>
        <w:spacing w:line="360" w:lineRule="auto"/>
        <w:ind w:left="-62" w:leftChars="-28"/>
        <w:rPr>
          <w:rFonts w:ascii="宋体" w:hAnsi="宋体"/>
          <w:szCs w:val="21"/>
        </w:rPr>
      </w:pPr>
      <w:r>
        <w:rPr>
          <w:rFonts w:hint="eastAsia" w:ascii="宋体" w:hAnsi="宋体"/>
          <w:szCs w:val="21"/>
        </w:rPr>
        <w:t>甲方业务主管部门应全程委托专门人员引导乙方车辆和人员按指定的路线进入厂区、到达指定位置。</w:t>
      </w:r>
    </w:p>
    <w:p w14:paraId="7738F917">
      <w:pPr>
        <w:numPr>
          <w:ilvl w:val="0"/>
          <w:numId w:val="15"/>
        </w:numPr>
        <w:spacing w:line="360" w:lineRule="auto"/>
        <w:ind w:left="-526" w:leftChars="-239" w:firstLine="466" w:firstLineChars="211"/>
        <w:rPr>
          <w:rFonts w:ascii="宋体" w:hAnsi="宋体"/>
          <w:b/>
          <w:bCs/>
          <w:szCs w:val="21"/>
        </w:rPr>
      </w:pPr>
      <w:r>
        <w:rPr>
          <w:rFonts w:hint="eastAsia" w:ascii="宋体" w:hAnsi="宋体"/>
          <w:b/>
          <w:bCs/>
          <w:szCs w:val="21"/>
        </w:rPr>
        <w:t>乙方的权利和义务</w:t>
      </w:r>
    </w:p>
    <w:p w14:paraId="3E8CFEFD">
      <w:pPr>
        <w:numPr>
          <w:ilvl w:val="0"/>
          <w:numId w:val="17"/>
        </w:numPr>
        <w:spacing w:line="360" w:lineRule="auto"/>
        <w:ind w:left="-62" w:leftChars="-28"/>
        <w:rPr>
          <w:rFonts w:ascii="宋体" w:hAnsi="宋体"/>
          <w:szCs w:val="21"/>
        </w:rPr>
      </w:pPr>
      <w:r>
        <w:rPr>
          <w:rFonts w:hint="eastAsia" w:ascii="宋体" w:hAnsi="宋体"/>
          <w:szCs w:val="21"/>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4769A8D2">
      <w:pPr>
        <w:numPr>
          <w:ilvl w:val="0"/>
          <w:numId w:val="17"/>
        </w:numPr>
        <w:spacing w:line="360" w:lineRule="auto"/>
        <w:ind w:left="-62" w:leftChars="-28"/>
        <w:rPr>
          <w:rFonts w:ascii="宋体" w:hAnsi="宋体"/>
          <w:szCs w:val="21"/>
        </w:rPr>
      </w:pPr>
      <w:r>
        <w:rPr>
          <w:rFonts w:hint="eastAsia" w:ascii="宋体" w:hAnsi="宋体"/>
          <w:szCs w:val="21"/>
        </w:rPr>
        <w:t>乙方应为需进入甲方厂区的人员提供符合甲方要求的安全帽、劳保服、劳保鞋等劳动防护用品，并督促入厂人员规范佩戴和使用。</w:t>
      </w:r>
    </w:p>
    <w:p w14:paraId="2F5E5E29">
      <w:pPr>
        <w:numPr>
          <w:ilvl w:val="0"/>
          <w:numId w:val="17"/>
        </w:numPr>
        <w:spacing w:line="360" w:lineRule="auto"/>
        <w:ind w:left="-62" w:leftChars="-28"/>
        <w:rPr>
          <w:rFonts w:ascii="宋体" w:hAnsi="宋体"/>
          <w:szCs w:val="21"/>
        </w:rPr>
      </w:pPr>
      <w:r>
        <w:rPr>
          <w:rFonts w:hint="eastAsia" w:ascii="宋体" w:hAnsi="宋体"/>
          <w:szCs w:val="21"/>
        </w:rPr>
        <w:t>乙方应遵守甲方相关管理规定（以甲方发给乙方的制度内容为准），并提前向入厂人员做好宣贯，禁止入厂人员违规携带香烟、打火机、非防爆手机等器具。如按规定遭受甲方处罚时，应按期缴纳罚款。</w:t>
      </w:r>
    </w:p>
    <w:p w14:paraId="04F746F2">
      <w:pPr>
        <w:numPr>
          <w:ilvl w:val="0"/>
          <w:numId w:val="17"/>
        </w:numPr>
        <w:spacing w:line="360" w:lineRule="auto"/>
        <w:ind w:left="-62" w:leftChars="-28"/>
        <w:rPr>
          <w:rFonts w:ascii="宋体" w:hAnsi="宋体"/>
          <w:szCs w:val="21"/>
        </w:rPr>
      </w:pPr>
      <w:r>
        <w:rPr>
          <w:rFonts w:hint="eastAsia" w:ascii="宋体" w:hAnsi="宋体"/>
          <w:szCs w:val="21"/>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0087681D">
      <w:pPr>
        <w:numPr>
          <w:ilvl w:val="0"/>
          <w:numId w:val="17"/>
        </w:numPr>
        <w:spacing w:line="360" w:lineRule="auto"/>
        <w:ind w:left="-62" w:leftChars="-28"/>
        <w:rPr>
          <w:rFonts w:ascii="宋体" w:hAnsi="宋体"/>
          <w:szCs w:val="21"/>
        </w:rPr>
      </w:pPr>
      <w:r>
        <w:rPr>
          <w:rFonts w:hint="eastAsia" w:ascii="宋体" w:hAnsi="宋体"/>
          <w:szCs w:val="21"/>
        </w:rPr>
        <w:t>在厂区内卸货过程应根据甲方的要求进行卸货，积极接受甲方的现场管理，开具相应的作业许可证，并按甲方的操作规程进行卸货及作业。</w:t>
      </w:r>
    </w:p>
    <w:p w14:paraId="27DE0741">
      <w:pPr>
        <w:numPr>
          <w:ilvl w:val="0"/>
          <w:numId w:val="17"/>
        </w:numPr>
        <w:spacing w:line="360" w:lineRule="auto"/>
        <w:ind w:left="-62" w:leftChars="-28"/>
        <w:rPr>
          <w:rFonts w:ascii="宋体" w:hAnsi="宋体"/>
          <w:szCs w:val="21"/>
        </w:rPr>
      </w:pPr>
      <w:r>
        <w:rPr>
          <w:rFonts w:hint="eastAsia" w:ascii="宋体" w:hAnsi="宋体"/>
          <w:szCs w:val="21"/>
        </w:rPr>
        <w:t>对于甲方在安全生产监管中发现的问题，乙方应按要求落实整改。</w:t>
      </w:r>
    </w:p>
    <w:p w14:paraId="6577612D">
      <w:pPr>
        <w:numPr>
          <w:ilvl w:val="0"/>
          <w:numId w:val="15"/>
        </w:numPr>
        <w:spacing w:line="550" w:lineRule="exact"/>
        <w:ind w:left="-526" w:leftChars="-239" w:firstLine="466" w:firstLineChars="211"/>
        <w:rPr>
          <w:rFonts w:ascii="宋体" w:hAnsi="宋体"/>
          <w:b/>
          <w:szCs w:val="21"/>
        </w:rPr>
      </w:pPr>
      <w:r>
        <w:rPr>
          <w:rFonts w:hint="eastAsia" w:ascii="宋体" w:hAnsi="宋体"/>
          <w:b/>
          <w:szCs w:val="21"/>
        </w:rPr>
        <w:t>违约责任及处理</w:t>
      </w:r>
    </w:p>
    <w:p w14:paraId="1C0B1B31">
      <w:pPr>
        <w:numPr>
          <w:ilvl w:val="0"/>
          <w:numId w:val="18"/>
        </w:numPr>
        <w:spacing w:line="550" w:lineRule="exact"/>
        <w:ind w:left="-62" w:leftChars="-28"/>
        <w:rPr>
          <w:rFonts w:ascii="宋体" w:hAnsi="宋体"/>
          <w:szCs w:val="21"/>
        </w:rPr>
      </w:pPr>
      <w:r>
        <w:rPr>
          <w:rFonts w:hint="eastAsia" w:ascii="宋体" w:hAnsi="宋体"/>
          <w:szCs w:val="21"/>
        </w:rPr>
        <w:t>发生安全事故时，甲乙双方均有抢险、救灾的义务，所发生的费用由责任方承担。</w:t>
      </w:r>
    </w:p>
    <w:p w14:paraId="6CB2CBE0">
      <w:pPr>
        <w:numPr>
          <w:ilvl w:val="0"/>
          <w:numId w:val="18"/>
        </w:numPr>
        <w:spacing w:line="550" w:lineRule="exact"/>
        <w:ind w:left="-62" w:leftChars="-28"/>
        <w:rPr>
          <w:rFonts w:ascii="宋体" w:hAnsi="宋体"/>
          <w:szCs w:val="21"/>
        </w:rPr>
      </w:pPr>
      <w:r>
        <w:rPr>
          <w:rFonts w:hint="eastAsia" w:ascii="宋体" w:hAnsi="宋体"/>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2FBB73A7">
      <w:pPr>
        <w:numPr>
          <w:ilvl w:val="0"/>
          <w:numId w:val="18"/>
        </w:numPr>
        <w:spacing w:line="550" w:lineRule="exact"/>
        <w:ind w:left="-62" w:leftChars="-28"/>
        <w:rPr>
          <w:rFonts w:ascii="宋体" w:hAnsi="宋体"/>
          <w:szCs w:val="21"/>
        </w:rPr>
      </w:pPr>
      <w:r>
        <w:rPr>
          <w:rFonts w:hint="eastAsia" w:ascii="宋体" w:hAnsi="宋体"/>
          <w:szCs w:val="21"/>
        </w:rPr>
        <w:t>甲方违约造成的事故，甲方承担全部责任，并按规定追究有关人员责任及上报。</w:t>
      </w:r>
    </w:p>
    <w:p w14:paraId="414CAAC9">
      <w:pPr>
        <w:numPr>
          <w:ilvl w:val="0"/>
          <w:numId w:val="18"/>
        </w:numPr>
        <w:spacing w:line="550" w:lineRule="exact"/>
        <w:ind w:left="-62" w:leftChars="-28"/>
        <w:rPr>
          <w:rFonts w:ascii="宋体" w:hAnsi="宋体"/>
          <w:szCs w:val="21"/>
        </w:rPr>
      </w:pPr>
      <w:r>
        <w:rPr>
          <w:rFonts w:hint="eastAsia" w:ascii="宋体" w:hAnsi="宋体"/>
          <w:szCs w:val="21"/>
        </w:rPr>
        <w:t xml:space="preserve"> 乙方在厂区内中如果有违法、违规和违章行为，甲方将按照按国家法律、法规和甲方的HSE管理制度进行处罚。处罚款由乙方按甲方要求交到甲方指定部门或账户，对不按时缴纳罚款的，甲方可以从乙方合同款双倍扣除。</w:t>
      </w:r>
    </w:p>
    <w:p w14:paraId="40D2AA0E">
      <w:pPr>
        <w:numPr>
          <w:ilvl w:val="0"/>
          <w:numId w:val="18"/>
        </w:numPr>
        <w:spacing w:line="550" w:lineRule="exact"/>
        <w:ind w:left="-62" w:leftChars="-28"/>
        <w:rPr>
          <w:rFonts w:ascii="宋体" w:hAnsi="宋体"/>
          <w:szCs w:val="21"/>
        </w:rPr>
      </w:pPr>
      <w:r>
        <w:rPr>
          <w:rFonts w:hint="eastAsia" w:ascii="宋体" w:hAnsi="宋体"/>
          <w:szCs w:val="21"/>
        </w:rPr>
        <w:t xml:space="preserve"> 乙方违约造成的事故，乙方承担全部责任；由于乙方的服务质量及货物质量导致的事故，由乙方承担全部责任构成犯罪的，依法追究刑事责任。</w:t>
      </w:r>
    </w:p>
    <w:p w14:paraId="1C2C177B">
      <w:pPr>
        <w:numPr>
          <w:ilvl w:val="0"/>
          <w:numId w:val="18"/>
        </w:numPr>
        <w:spacing w:line="550" w:lineRule="exact"/>
        <w:ind w:left="-62" w:leftChars="-28"/>
        <w:rPr>
          <w:rFonts w:ascii="宋体" w:hAnsi="宋体"/>
          <w:szCs w:val="21"/>
        </w:rPr>
      </w:pPr>
      <w:r>
        <w:rPr>
          <w:rFonts w:hint="eastAsia" w:ascii="宋体" w:hAnsi="宋体"/>
          <w:szCs w:val="21"/>
        </w:rPr>
        <w:t>对乙方发生事故后弄虚作假、隐瞒不报、迟报或谎报，一经查出，按有关规定处罚，情节严重的，取消其进入甲方的市场资格。</w:t>
      </w:r>
    </w:p>
    <w:p w14:paraId="32F2D975">
      <w:pPr>
        <w:spacing w:line="550" w:lineRule="exact"/>
        <w:ind w:left="-526" w:leftChars="-239" w:firstLine="466" w:firstLineChars="211"/>
        <w:rPr>
          <w:rFonts w:ascii="宋体" w:hAnsi="宋体"/>
          <w:b/>
          <w:szCs w:val="21"/>
        </w:rPr>
      </w:pPr>
      <w:r>
        <w:rPr>
          <w:rFonts w:hint="eastAsia" w:ascii="宋体" w:hAnsi="宋体"/>
          <w:b/>
          <w:szCs w:val="21"/>
        </w:rPr>
        <w:t>四、 不可抗力：</w:t>
      </w:r>
    </w:p>
    <w:p w14:paraId="0CE16DE9">
      <w:pPr>
        <w:spacing w:line="550" w:lineRule="exact"/>
        <w:ind w:left="-551" w:leftChars="-339" w:hanging="195" w:hangingChars="89"/>
        <w:rPr>
          <w:rFonts w:ascii="宋体" w:hAnsi="宋体"/>
          <w:szCs w:val="21"/>
        </w:rPr>
      </w:pPr>
      <w:r>
        <w:rPr>
          <w:rFonts w:hint="eastAsia" w:ascii="宋体" w:hAnsi="宋体"/>
          <w:szCs w:val="21"/>
        </w:rPr>
        <w:t xml:space="preserve">      由于不可抗力造成事故及产生的损失，甲乙双方各自承担相应的损失。</w:t>
      </w:r>
    </w:p>
    <w:p w14:paraId="0CBF2CF2">
      <w:pPr>
        <w:spacing w:line="360" w:lineRule="auto"/>
        <w:ind w:left="-526" w:leftChars="-239" w:firstLine="466" w:firstLineChars="211"/>
        <w:rPr>
          <w:rFonts w:ascii="宋体" w:hAnsi="宋体"/>
          <w:szCs w:val="21"/>
        </w:rPr>
      </w:pPr>
      <w:r>
        <w:rPr>
          <w:rFonts w:hint="eastAsia" w:ascii="宋体" w:hAnsi="宋体"/>
          <w:b/>
          <w:szCs w:val="21"/>
        </w:rPr>
        <w:t>五、</w:t>
      </w:r>
      <w:r>
        <w:rPr>
          <w:rFonts w:hint="eastAsia" w:ascii="宋体" w:hAnsi="宋体"/>
          <w:szCs w:val="21"/>
        </w:rPr>
        <w:t>本协议书经双方盖章后生效。</w:t>
      </w:r>
    </w:p>
    <w:p w14:paraId="3AFEC71F">
      <w:pPr>
        <w:spacing w:line="550" w:lineRule="exact"/>
        <w:ind w:left="-526" w:leftChars="-239" w:firstLine="466" w:firstLineChars="211"/>
        <w:rPr>
          <w:rFonts w:ascii="宋体" w:hAnsi="宋体"/>
          <w:b/>
          <w:szCs w:val="21"/>
        </w:rPr>
      </w:pPr>
      <w:r>
        <w:rPr>
          <w:rFonts w:hint="eastAsia" w:ascii="宋体" w:hAnsi="宋体"/>
          <w:b/>
          <w:szCs w:val="21"/>
        </w:rPr>
        <w:t>六、协议期限：</w:t>
      </w:r>
    </w:p>
    <w:p w14:paraId="57954E14">
      <w:pPr>
        <w:spacing w:line="550" w:lineRule="exact"/>
        <w:ind w:left="-636" w:leftChars="-289" w:firstLine="550" w:firstLineChars="250"/>
        <w:rPr>
          <w:rFonts w:ascii="宋体" w:hAnsi="宋体"/>
          <w:szCs w:val="21"/>
        </w:rPr>
      </w:pPr>
      <w:r>
        <w:rPr>
          <w:rFonts w:hint="eastAsia" w:ascii="宋体" w:hAnsi="宋体"/>
          <w:szCs w:val="21"/>
        </w:rPr>
        <w:t>本协议期限应与主合同期限一致。如果主合同因故需要变更期限，本合同应与主同变更至相同期限。</w:t>
      </w:r>
    </w:p>
    <w:p w14:paraId="204AD3A6">
      <w:pPr>
        <w:spacing w:line="360" w:lineRule="auto"/>
        <w:ind w:left="-551" w:leftChars="-289" w:hanging="85" w:hangingChars="39"/>
        <w:rPr>
          <w:rFonts w:ascii="宋体" w:hAnsi="宋体"/>
          <w:szCs w:val="21"/>
        </w:rPr>
      </w:pPr>
      <w:r>
        <w:rPr>
          <w:rFonts w:hint="eastAsia" w:ascii="宋体" w:hAnsi="宋体"/>
          <w:szCs w:val="21"/>
        </w:rPr>
        <w:t>（以下无正文）</w:t>
      </w:r>
    </w:p>
    <w:p w14:paraId="588F78E9">
      <w:pPr>
        <w:pStyle w:val="206"/>
        <w:snapToGrid w:val="0"/>
        <w:spacing w:line="360" w:lineRule="auto"/>
        <w:rPr>
          <w:rFonts w:ascii="宋体" w:hAnsi="宋体"/>
          <w:szCs w:val="21"/>
        </w:rPr>
      </w:pPr>
      <w:r>
        <w:rPr>
          <w:rFonts w:hint="eastAsia" w:ascii="宋体" w:hAnsi="宋体"/>
          <w:szCs w:val="21"/>
        </w:rPr>
        <w:t>甲方 (章)：福建福海创石油化工有限公司         乙方(章)：</w:t>
      </w:r>
    </w:p>
    <w:p w14:paraId="37690023">
      <w:pPr>
        <w:spacing w:line="276" w:lineRule="auto"/>
        <w:ind w:left="-746" w:leftChars="-339" w:firstLine="660" w:firstLineChars="300"/>
        <w:rPr>
          <w:rFonts w:hint="eastAsia"/>
          <w:szCs w:val="21"/>
          <w:lang w:val="en-US" w:eastAsia="zh-CN"/>
        </w:rPr>
      </w:pPr>
      <w:r>
        <w:rPr>
          <w:rFonts w:hint="eastAsia" w:ascii="宋体" w:hAnsi="宋体"/>
          <w:szCs w:val="21"/>
        </w:rPr>
        <w:t>法人代表:                                     法人代表:</w:t>
      </w:r>
      <w:r>
        <w:rPr>
          <w:rFonts w:hint="eastAsia"/>
          <w:szCs w:val="21"/>
          <w:lang w:val="en-US" w:eastAsia="zh-CN"/>
        </w:rPr>
        <w:t xml:space="preserve"> </w:t>
      </w:r>
    </w:p>
    <w:p w14:paraId="4B0B33B2">
      <w:pPr>
        <w:spacing w:line="276" w:lineRule="auto"/>
        <w:ind w:left="-746" w:leftChars="-339" w:firstLine="660" w:firstLineChars="300"/>
        <w:rPr>
          <w:rFonts w:hint="eastAsia"/>
          <w:szCs w:val="21"/>
          <w:lang w:val="en-US" w:eastAsia="zh-CN"/>
        </w:rPr>
      </w:pPr>
    </w:p>
    <w:p w14:paraId="60F75440">
      <w:pPr>
        <w:spacing w:line="276" w:lineRule="auto"/>
        <w:ind w:left="-746" w:leftChars="-339" w:firstLine="660" w:firstLineChars="300"/>
        <w:rPr>
          <w:rFonts w:hint="eastAsia" w:ascii="宋体" w:hAnsi="宋体"/>
          <w:szCs w:val="21"/>
        </w:rPr>
      </w:pPr>
      <w:r>
        <w:rPr>
          <w:rFonts w:hint="eastAsia" w:ascii="宋体" w:hAnsi="宋体"/>
          <w:szCs w:val="21"/>
        </w:rPr>
        <w:t>法人委托代理人 :                              法人委托代理人:</w:t>
      </w:r>
    </w:p>
    <w:p w14:paraId="0E8AB5C4">
      <w:pPr>
        <w:spacing w:line="276" w:lineRule="auto"/>
        <w:ind w:left="-746" w:leftChars="-339" w:firstLine="660" w:firstLineChars="300"/>
        <w:rPr>
          <w:rFonts w:hint="eastAsia" w:ascii="宋体" w:hAnsi="宋体"/>
          <w:szCs w:val="21"/>
        </w:rPr>
      </w:pPr>
    </w:p>
    <w:p w14:paraId="0DB0AB9E">
      <w:pPr>
        <w:spacing w:line="276" w:lineRule="auto"/>
        <w:ind w:left="-746" w:leftChars="-339" w:firstLine="660" w:firstLineChars="300"/>
        <w:rPr>
          <w:rFonts w:ascii="宋体" w:hAnsi="宋体"/>
          <w:szCs w:val="21"/>
        </w:rPr>
      </w:pPr>
      <w:r>
        <w:rPr>
          <w:rFonts w:hint="eastAsia" w:ascii="宋体" w:hAnsi="宋体"/>
          <w:szCs w:val="21"/>
        </w:rPr>
        <w:t>签定日期：</w:t>
      </w:r>
      <w:r>
        <w:rPr>
          <w:rFonts w:ascii="宋体" w:hAnsi="宋体"/>
          <w:szCs w:val="21"/>
        </w:rPr>
        <w:t>2025</w:t>
      </w:r>
      <w:r>
        <w:rPr>
          <w:rFonts w:hint="eastAsia" w:ascii="宋体" w:hAnsi="宋体"/>
          <w:szCs w:val="21"/>
        </w:rPr>
        <w:t xml:space="preserve"> 年</w:t>
      </w:r>
      <w:r>
        <w:rPr>
          <w:rFonts w:hint="eastAsia"/>
          <w:szCs w:val="21"/>
          <w:lang w:val="en-US" w:eastAsia="zh-CN"/>
        </w:rPr>
        <w:t>12</w:t>
      </w:r>
      <w:r>
        <w:rPr>
          <w:rFonts w:hint="eastAsia" w:ascii="宋体" w:hAnsi="宋体"/>
          <w:szCs w:val="21"/>
        </w:rPr>
        <w:t>月</w:t>
      </w:r>
      <w:r>
        <w:rPr>
          <w:rFonts w:hint="eastAsia"/>
          <w:szCs w:val="21"/>
          <w:lang w:val="en-US" w:eastAsia="zh-CN"/>
        </w:rPr>
        <w:t xml:space="preserve"> </w:t>
      </w:r>
      <w:r>
        <w:rPr>
          <w:rFonts w:hint="eastAsia" w:ascii="宋体" w:hAnsi="宋体"/>
          <w:szCs w:val="21"/>
        </w:rPr>
        <w:t xml:space="preserve">日                 </w:t>
      </w:r>
    </w:p>
    <w:p w14:paraId="518066D9">
      <w:pPr>
        <w:spacing w:before="10"/>
        <w:ind w:left="101"/>
        <w:jc w:val="left"/>
        <w:outlineLvl w:val="8"/>
        <w:rPr>
          <w:rFonts w:ascii="宋体" w:hAnsi="宋体"/>
          <w:b/>
          <w:bCs/>
          <w:color w:val="000000"/>
          <w:spacing w:val="7"/>
          <w:kern w:val="0"/>
          <w:sz w:val="24"/>
          <w:szCs w:val="24"/>
        </w:rPr>
      </w:pPr>
    </w:p>
    <w:p w14:paraId="13988B96">
      <w:pPr>
        <w:spacing w:before="10"/>
        <w:ind w:left="101"/>
        <w:jc w:val="left"/>
        <w:outlineLvl w:val="8"/>
        <w:rPr>
          <w:rFonts w:ascii="宋体" w:hAnsi="宋体"/>
          <w:b/>
          <w:bCs/>
          <w:color w:val="000000"/>
          <w:spacing w:val="7"/>
          <w:kern w:val="0"/>
          <w:sz w:val="24"/>
          <w:szCs w:val="24"/>
        </w:rPr>
      </w:pPr>
    </w:p>
    <w:p w14:paraId="4A16849F">
      <w:pPr>
        <w:spacing w:before="10"/>
        <w:ind w:left="101"/>
        <w:jc w:val="left"/>
        <w:outlineLvl w:val="8"/>
        <w:rPr>
          <w:rFonts w:ascii="宋体" w:hAnsi="宋体"/>
          <w:b/>
          <w:bCs/>
          <w:color w:val="000000"/>
          <w:spacing w:val="7"/>
          <w:kern w:val="0"/>
          <w:szCs w:val="21"/>
        </w:rPr>
      </w:pPr>
      <w:r>
        <w:rPr>
          <w:rFonts w:ascii="宋体" w:hAnsi="宋体"/>
          <w:b/>
          <w:bCs/>
          <w:color w:val="000000"/>
          <w:spacing w:val="7"/>
          <w:kern w:val="0"/>
          <w:szCs w:val="21"/>
        </w:rPr>
        <w:t>附件2</w:t>
      </w:r>
      <w:r>
        <w:rPr>
          <w:rFonts w:hint="eastAsia" w:ascii="宋体" w:hAnsi="宋体"/>
          <w:b/>
          <w:bCs/>
          <w:color w:val="000000"/>
          <w:spacing w:val="7"/>
          <w:kern w:val="0"/>
          <w:szCs w:val="21"/>
        </w:rPr>
        <w:t>、</w:t>
      </w:r>
      <w:r>
        <w:rPr>
          <w:rFonts w:ascii="宋体" w:hAnsi="宋体"/>
          <w:b/>
          <w:bCs/>
          <w:color w:val="000000"/>
          <w:spacing w:val="7"/>
          <w:kern w:val="0"/>
          <w:szCs w:val="21"/>
        </w:rPr>
        <w:t>保函格式</w:t>
      </w:r>
    </w:p>
    <w:p w14:paraId="5BED33EC">
      <w:pPr>
        <w:jc w:val="center"/>
        <w:rPr>
          <w:rFonts w:ascii="宋体" w:hAnsi="宋体"/>
          <w:b/>
          <w:bCs/>
          <w:szCs w:val="21"/>
        </w:rPr>
      </w:pPr>
      <w:r>
        <w:rPr>
          <w:rFonts w:hint="eastAsia" w:ascii="宋体" w:hAnsi="宋体"/>
          <w:b/>
          <w:bCs/>
          <w:szCs w:val="21"/>
        </w:rPr>
        <w:t>见索即付（预付款/履约/进度款/质量）保函格式</w:t>
      </w:r>
    </w:p>
    <w:p w14:paraId="1A6DBE61">
      <w:pPr>
        <w:spacing w:line="480" w:lineRule="exact"/>
        <w:ind w:firstLine="4065"/>
        <w:rPr>
          <w:rFonts w:ascii="宋体" w:hAnsi="宋体"/>
          <w:szCs w:val="21"/>
        </w:rPr>
      </w:pPr>
      <w:r>
        <w:rPr>
          <w:rFonts w:hint="eastAsia" w:ascii="宋体" w:hAnsi="宋体"/>
          <w:szCs w:val="21"/>
        </w:rPr>
        <w:t xml:space="preserve">               编号：</w:t>
      </w:r>
    </w:p>
    <w:p w14:paraId="4A672E25">
      <w:pPr>
        <w:rPr>
          <w:rFonts w:ascii="宋体" w:hAnsi="宋体"/>
          <w:szCs w:val="21"/>
        </w:rPr>
      </w:pPr>
      <w:r>
        <w:rPr>
          <w:rFonts w:hint="eastAsia" w:ascii="宋体" w:hAnsi="宋体"/>
          <w:szCs w:val="21"/>
        </w:rPr>
        <w:t xml:space="preserve">致受益人： </w:t>
      </w:r>
      <w:r>
        <w:rPr>
          <w:rFonts w:ascii="宋体" w:hAnsi="宋体"/>
          <w:szCs w:val="21"/>
        </w:rPr>
        <w:t xml:space="preserve">          </w:t>
      </w:r>
      <w:r>
        <w:rPr>
          <w:rFonts w:hint="eastAsia" w:ascii="宋体" w:hAnsi="宋体"/>
          <w:szCs w:val="21"/>
        </w:rPr>
        <w:t>（以下简称“你方”）</w:t>
      </w:r>
    </w:p>
    <w:p w14:paraId="081AB2B1">
      <w:pPr>
        <w:rPr>
          <w:rFonts w:ascii="宋体" w:hAnsi="宋体"/>
          <w:szCs w:val="21"/>
        </w:rPr>
      </w:pPr>
      <w:r>
        <w:rPr>
          <w:rFonts w:hint="eastAsia" w:ascii="宋体" w:hAnsi="宋体"/>
          <w:szCs w:val="21"/>
        </w:rPr>
        <w:t xml:space="preserve">    因保函申请人：</w:t>
      </w:r>
      <w:r>
        <w:rPr>
          <w:rFonts w:hint="eastAsia" w:ascii="宋体" w:hAnsi="宋体"/>
          <w:szCs w:val="21"/>
          <w:u w:val="single"/>
        </w:rPr>
        <w:t>　　**公司名称**　　</w:t>
      </w:r>
      <w:r>
        <w:rPr>
          <w:rFonts w:hint="eastAsia" w:ascii="宋体" w:hAnsi="宋体"/>
          <w:szCs w:val="21"/>
        </w:rPr>
        <w:t>与你方签订</w:t>
      </w:r>
      <w:r>
        <w:rPr>
          <w:rFonts w:hint="eastAsia" w:ascii="宋体" w:hAnsi="宋体"/>
          <w:szCs w:val="21"/>
          <w:u w:val="single"/>
        </w:rPr>
        <w:t>：　　**合同**，合同编号：　　</w:t>
      </w:r>
      <w:r>
        <w:rPr>
          <w:rFonts w:hint="eastAsia" w:ascii="宋体" w:hAnsi="宋体"/>
          <w:szCs w:val="21"/>
        </w:rPr>
        <w:t>（以下称合同），现我行</w:t>
      </w:r>
      <w:r>
        <w:rPr>
          <w:rFonts w:hint="eastAsia" w:ascii="宋体" w:hAnsi="宋体"/>
          <w:szCs w:val="21"/>
          <w:u w:val="single"/>
        </w:rPr>
        <w:t>　　**银行名称**　　</w:t>
      </w:r>
      <w:r>
        <w:rPr>
          <w:rFonts w:hint="eastAsia" w:ascii="宋体" w:hAnsi="宋体"/>
          <w:szCs w:val="21"/>
        </w:rPr>
        <w:t>已接受保函申请人的请求，向你方出具本</w:t>
      </w:r>
      <w:r>
        <w:rPr>
          <w:rFonts w:hint="eastAsia" w:ascii="宋体" w:hAnsi="宋体"/>
          <w:szCs w:val="21"/>
          <w:u w:val="single"/>
        </w:rPr>
        <w:t>预付款/履约/进度款/质量</w:t>
      </w:r>
      <w:r>
        <w:rPr>
          <w:rFonts w:hint="eastAsia" w:ascii="宋体" w:hAnsi="宋体"/>
          <w:szCs w:val="21"/>
        </w:rPr>
        <w:t>保函。</w:t>
      </w:r>
    </w:p>
    <w:p w14:paraId="502DF841">
      <w:pPr>
        <w:rPr>
          <w:rFonts w:ascii="宋体" w:hAnsi="宋体"/>
          <w:szCs w:val="21"/>
        </w:rPr>
      </w:pPr>
      <w:r>
        <w:rPr>
          <w:rFonts w:hint="eastAsia" w:ascii="宋体" w:hAnsi="宋体"/>
          <w:szCs w:val="21"/>
        </w:rPr>
        <w:t>　　我行以及我行的继承人、受让人，在此无条件地、不可撤销地，根据并同意下列条款，保证无追索地向你方支付总额不超过</w:t>
      </w:r>
      <w:r>
        <w:rPr>
          <w:rFonts w:hint="eastAsia" w:ascii="宋体" w:hAnsi="宋体"/>
          <w:szCs w:val="21"/>
          <w:u w:val="single"/>
        </w:rPr>
        <w:t>　　**币种、大写金额**　　　　</w:t>
      </w:r>
      <w:r>
        <w:rPr>
          <w:rFonts w:hint="eastAsia" w:ascii="宋体" w:hAnsi="宋体"/>
          <w:szCs w:val="21"/>
        </w:rPr>
        <w:t>元整的款项：</w:t>
      </w:r>
    </w:p>
    <w:p w14:paraId="1046E754">
      <w:pPr>
        <w:rPr>
          <w:rFonts w:ascii="宋体" w:hAnsi="宋体"/>
          <w:szCs w:val="21"/>
        </w:rPr>
      </w:pPr>
      <w:r>
        <w:rPr>
          <w:rFonts w:hint="eastAsia" w:ascii="宋体" w:hAnsi="宋体"/>
          <w:szCs w:val="21"/>
        </w:rPr>
        <w:t xml:space="preserve">    一、我行向你方保证保函申请人履行合同约定的义务。</w:t>
      </w:r>
    </w:p>
    <w:p w14:paraId="0065D62E">
      <w:pPr>
        <w:ind w:left="840" w:hanging="880" w:hangingChars="400"/>
        <w:rPr>
          <w:rFonts w:ascii="宋体" w:hAnsi="宋体"/>
          <w:szCs w:val="21"/>
        </w:rPr>
      </w:pPr>
      <w:r>
        <w:rPr>
          <w:rFonts w:hint="eastAsia" w:ascii="宋体" w:hAnsi="宋体"/>
          <w:szCs w:val="21"/>
        </w:rPr>
        <w:t xml:space="preserve">    二、本保函于合同项下的保函申请人的保证义务得到充分履行后失效，但最迟不得超过</w:t>
      </w:r>
      <w:r>
        <w:rPr>
          <w:rFonts w:hint="eastAsia" w:ascii="宋体" w:hAnsi="宋体"/>
          <w:szCs w:val="21"/>
          <w:u w:val="single"/>
        </w:rPr>
        <w:t>　　　　年　　月　　日</w:t>
      </w:r>
      <w:r>
        <w:rPr>
          <w:rFonts w:hint="eastAsia" w:ascii="宋体" w:hAnsi="宋体"/>
          <w:szCs w:val="21"/>
        </w:rPr>
        <w:t>。</w:t>
      </w:r>
    </w:p>
    <w:p w14:paraId="3CFDCB24">
      <w:pPr>
        <w:ind w:left="818" w:leftChars="172" w:hanging="440" w:hangingChars="200"/>
        <w:rPr>
          <w:rFonts w:ascii="宋体" w:hAnsi="宋体"/>
          <w:szCs w:val="21"/>
        </w:rPr>
      </w:pPr>
      <w:r>
        <w:rPr>
          <w:rFonts w:hint="eastAsia" w:ascii="宋体" w:hAnsi="宋体"/>
          <w:szCs w:val="21"/>
        </w:rPr>
        <w:t>三、我行在收到你方送交</w:t>
      </w:r>
      <w:r>
        <w:rPr>
          <w:rFonts w:hint="eastAsia" w:ascii="宋体" w:hAnsi="宋体"/>
          <w:color w:val="000000"/>
          <w:szCs w:val="21"/>
        </w:rPr>
        <w:t>的本保函正本复印件（须加盖你方公章）及符合下列条件的索赔通知原件后</w:t>
      </w:r>
      <w:r>
        <w:rPr>
          <w:rFonts w:ascii="宋体" w:hAnsi="宋体"/>
          <w:color w:val="000000"/>
          <w:szCs w:val="21"/>
          <w:u w:val="single"/>
        </w:rPr>
        <w:t xml:space="preserve"> 伍 </w:t>
      </w:r>
      <w:r>
        <w:rPr>
          <w:rFonts w:hint="eastAsia" w:ascii="宋体" w:hAnsi="宋体"/>
          <w:color w:val="000000"/>
          <w:szCs w:val="21"/>
        </w:rPr>
        <w:t>个银行工作</w:t>
      </w:r>
      <w:r>
        <w:rPr>
          <w:rFonts w:hint="eastAsia" w:ascii="宋体" w:hAnsi="宋体"/>
          <w:szCs w:val="21"/>
        </w:rPr>
        <w:t>日内，无条件向你方支付合计不超过</w:t>
      </w:r>
      <w:r>
        <w:rPr>
          <w:rFonts w:hint="eastAsia" w:ascii="宋体" w:hAnsi="宋体"/>
          <w:szCs w:val="21"/>
          <w:u w:val="single"/>
        </w:rPr>
        <w:t>　　**币种、大写金额**　　</w:t>
      </w:r>
      <w:r>
        <w:rPr>
          <w:rFonts w:hint="eastAsia" w:ascii="宋体" w:hAnsi="宋体"/>
          <w:szCs w:val="21"/>
        </w:rPr>
        <w:t>元整的款项：</w:t>
      </w:r>
    </w:p>
    <w:p w14:paraId="78ED00D1">
      <w:pPr>
        <w:ind w:left="1260" w:hanging="1320" w:hangingChars="600"/>
        <w:rPr>
          <w:rFonts w:ascii="宋体" w:hAnsi="宋体"/>
          <w:szCs w:val="21"/>
        </w:rPr>
      </w:pPr>
      <w:r>
        <w:rPr>
          <w:rFonts w:hint="eastAsia" w:ascii="宋体" w:hAnsi="宋体"/>
          <w:szCs w:val="21"/>
        </w:rPr>
        <w:t xml:space="preserve">      　(一)你方的索赔通知必须以书面形式提出，索赔通知应由你方法定代表人或授权代理人签字或加盖你方单位公章；</w:t>
      </w:r>
    </w:p>
    <w:p w14:paraId="0CF74244">
      <w:pPr>
        <w:rPr>
          <w:rFonts w:ascii="宋体" w:hAnsi="宋体"/>
          <w:szCs w:val="21"/>
        </w:rPr>
      </w:pPr>
      <w:r>
        <w:rPr>
          <w:rFonts w:hint="eastAsia" w:ascii="宋体" w:hAnsi="宋体"/>
          <w:szCs w:val="21"/>
        </w:rPr>
        <w:t xml:space="preserve">      　(二)你方的索赔通知必须在本保函有效期内寄出；</w:t>
      </w:r>
    </w:p>
    <w:p w14:paraId="7C582745">
      <w:pPr>
        <w:ind w:left="840" w:hanging="880" w:hangingChars="400"/>
        <w:rPr>
          <w:rFonts w:ascii="宋体" w:hAnsi="宋体"/>
          <w:szCs w:val="21"/>
        </w:rPr>
      </w:pPr>
      <w:r>
        <w:rPr>
          <w:rFonts w:hint="eastAsia" w:ascii="宋体" w:hAnsi="宋体"/>
          <w:szCs w:val="21"/>
        </w:rPr>
        <w:t xml:space="preserve">     　 (三)你方的索赔通知必须具有下列内容：</w:t>
      </w:r>
    </w:p>
    <w:p w14:paraId="5D3DBEC0">
      <w:pPr>
        <w:ind w:left="1179" w:leftChars="386" w:hanging="330" w:hangingChars="150"/>
        <w:rPr>
          <w:rFonts w:ascii="宋体" w:hAnsi="宋体"/>
          <w:szCs w:val="21"/>
        </w:rPr>
      </w:pPr>
      <w:r>
        <w:rPr>
          <w:rFonts w:hint="eastAsia" w:ascii="宋体" w:hAnsi="宋体"/>
          <w:szCs w:val="21"/>
        </w:rPr>
        <w:t>1、声明你方索赔的款项并未由保函申请人或其代理人以其他方式直接或间接地支付给你方；</w:t>
      </w:r>
    </w:p>
    <w:p w14:paraId="116F6FEA">
      <w:pPr>
        <w:ind w:left="757" w:leftChars="344" w:firstLine="110" w:firstLineChars="50"/>
        <w:rPr>
          <w:rFonts w:ascii="宋体" w:hAnsi="宋体"/>
          <w:color w:val="000000"/>
          <w:szCs w:val="21"/>
        </w:rPr>
      </w:pPr>
      <w:r>
        <w:rPr>
          <w:rFonts w:hint="eastAsia" w:ascii="宋体" w:hAnsi="宋体"/>
          <w:szCs w:val="21"/>
        </w:rPr>
        <w:t>2、声明保函申请</w:t>
      </w:r>
      <w:r>
        <w:rPr>
          <w:rFonts w:hint="eastAsia" w:ascii="宋体" w:hAnsi="宋体"/>
          <w:color w:val="000000"/>
          <w:szCs w:val="21"/>
        </w:rPr>
        <w:t>人已经违反合同约定的义务；</w:t>
      </w:r>
    </w:p>
    <w:p w14:paraId="069E55E4">
      <w:pPr>
        <w:ind w:left="1260" w:hanging="1320" w:hangingChars="600"/>
        <w:rPr>
          <w:rFonts w:ascii="宋体" w:hAnsi="宋体"/>
          <w:color w:val="000000"/>
          <w:szCs w:val="21"/>
        </w:rPr>
      </w:pPr>
      <w:r>
        <w:rPr>
          <w:rFonts w:ascii="宋体" w:hAnsi="宋体"/>
          <w:color w:val="000000"/>
          <w:szCs w:val="21"/>
        </w:rPr>
        <w:t xml:space="preserve">     　 (四)你方的索赔通知的格式如所附样本，该样本是本保函不可缺少的一部分。</w:t>
      </w:r>
    </w:p>
    <w:p w14:paraId="4C515FD9">
      <w:pPr>
        <w:ind w:left="818" w:leftChars="172" w:hanging="440" w:hangingChars="200"/>
        <w:rPr>
          <w:rFonts w:ascii="宋体" w:hAnsi="宋体"/>
          <w:szCs w:val="21"/>
        </w:rPr>
      </w:pPr>
      <w:r>
        <w:rPr>
          <w:rFonts w:hint="eastAsia" w:ascii="宋体" w:hAnsi="宋体"/>
          <w:color w:val="000000"/>
          <w:szCs w:val="21"/>
        </w:rPr>
        <w:t>四、（一）本保函第三条所列的索赔通知原件及本保函正本复印件（须加盖你方公章）</w:t>
      </w:r>
      <w:r>
        <w:rPr>
          <w:rFonts w:hint="eastAsia" w:ascii="宋体" w:hAnsi="宋体"/>
          <w:szCs w:val="21"/>
        </w:rPr>
        <w:t>为我行支付索赔款项的唯一的文件要求，我行仅对文件的形式的真实性进行审查。</w:t>
      </w:r>
    </w:p>
    <w:p w14:paraId="2B14C058">
      <w:pPr>
        <w:ind w:left="818" w:leftChars="172" w:hanging="440" w:hangingChars="200"/>
        <w:rPr>
          <w:rFonts w:ascii="宋体" w:hAnsi="宋体"/>
          <w:szCs w:val="21"/>
        </w:rPr>
      </w:pPr>
      <w:r>
        <w:rPr>
          <w:rFonts w:hint="eastAsia" w:ascii="宋体" w:hAnsi="宋体"/>
          <w:szCs w:val="21"/>
        </w:rPr>
        <w:t xml:space="preserve">   （二）我行的营业地址为</w:t>
      </w:r>
      <w:r>
        <w:rPr>
          <w:rFonts w:hint="eastAsia" w:ascii="宋体" w:hAnsi="宋体"/>
          <w:szCs w:val="21"/>
          <w:u w:val="single"/>
        </w:rPr>
        <w:t xml:space="preserve">              </w:t>
      </w:r>
      <w:r>
        <w:rPr>
          <w:rFonts w:hint="eastAsia" w:ascii="宋体" w:hAnsi="宋体"/>
          <w:szCs w:val="21"/>
        </w:rPr>
        <w:t>，我行邮寄送达地址为</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w:t>
      </w:r>
    </w:p>
    <w:p w14:paraId="7B81C9E0">
      <w:pPr>
        <w:ind w:left="818" w:leftChars="172" w:hanging="440" w:hangingChars="200"/>
        <w:rPr>
          <w:rFonts w:ascii="宋体" w:hAnsi="宋体"/>
          <w:szCs w:val="21"/>
        </w:rPr>
      </w:pPr>
      <w:r>
        <w:rPr>
          <w:rFonts w:hint="eastAsia" w:ascii="宋体" w:hAnsi="宋体"/>
          <w:szCs w:val="21"/>
        </w:rPr>
        <w:t>五、对于现在或将来的产生的税收、税费、收费、扣减费用或预提款项，不论这些款项是何种性质和由谁征收，都不应从本保函项下的支付中扣除。</w:t>
      </w:r>
    </w:p>
    <w:p w14:paraId="33D3B4DB">
      <w:pPr>
        <w:ind w:left="818" w:leftChars="172" w:hanging="440" w:hangingChars="200"/>
        <w:rPr>
          <w:rFonts w:ascii="宋体" w:hAnsi="宋体"/>
          <w:szCs w:val="21"/>
        </w:rPr>
      </w:pPr>
      <w:r>
        <w:rPr>
          <w:rFonts w:hint="eastAsia" w:ascii="宋体" w:hAnsi="宋体"/>
          <w:szCs w:val="21"/>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14:paraId="027763BF">
      <w:pPr>
        <w:ind w:firstLine="440" w:firstLineChars="200"/>
        <w:rPr>
          <w:rFonts w:ascii="宋体" w:hAnsi="宋体"/>
          <w:szCs w:val="21"/>
        </w:rPr>
      </w:pPr>
      <w:r>
        <w:rPr>
          <w:rFonts w:hint="eastAsia" w:ascii="宋体" w:hAnsi="宋体"/>
          <w:szCs w:val="21"/>
        </w:rPr>
        <w:t>七、本保函是独立的，其效力不因合同的无效、撤销、变更而改变。</w:t>
      </w:r>
    </w:p>
    <w:p w14:paraId="274077DD">
      <w:pPr>
        <w:ind w:left="818" w:leftChars="172" w:hanging="440" w:hangingChars="200"/>
        <w:rPr>
          <w:rFonts w:ascii="宋体" w:hAnsi="宋体"/>
          <w:szCs w:val="21"/>
        </w:rPr>
      </w:pPr>
      <w:r>
        <w:rPr>
          <w:rFonts w:hint="eastAsia" w:ascii="宋体" w:hAnsi="宋体"/>
          <w:szCs w:val="21"/>
        </w:rPr>
        <w:t>八、本保函终止或失效后受益人应将本保函退还我行。</w:t>
      </w:r>
    </w:p>
    <w:p w14:paraId="4D2750CB">
      <w:pPr>
        <w:ind w:left="818" w:leftChars="172" w:hanging="440" w:hangingChars="200"/>
        <w:rPr>
          <w:rFonts w:ascii="宋体" w:hAnsi="宋体"/>
          <w:szCs w:val="21"/>
        </w:rPr>
      </w:pPr>
      <w:r>
        <w:rPr>
          <w:rFonts w:hint="eastAsia" w:ascii="宋体" w:hAnsi="宋体"/>
          <w:szCs w:val="21"/>
        </w:rPr>
        <w:t>九、本保函项下的权利不得转让，不得设定担保。</w:t>
      </w:r>
    </w:p>
    <w:p w14:paraId="65782448">
      <w:pPr>
        <w:ind w:left="818" w:leftChars="172" w:hanging="440" w:hangingChars="200"/>
        <w:rPr>
          <w:rFonts w:ascii="宋体" w:hAnsi="宋体"/>
          <w:szCs w:val="21"/>
        </w:rPr>
      </w:pPr>
      <w:r>
        <w:rPr>
          <w:rFonts w:hint="eastAsia" w:ascii="宋体" w:hAnsi="宋体"/>
          <w:szCs w:val="21"/>
        </w:rPr>
        <w:t>十、因本保函发生争议协商解决不成，应向受益人所在地人民法院提起诉讼。本保函适用的法律为中华人民共和国法律。</w:t>
      </w:r>
    </w:p>
    <w:p w14:paraId="576CA3DE">
      <w:pPr>
        <w:ind w:firstLine="440" w:firstLineChars="200"/>
        <w:rPr>
          <w:rFonts w:ascii="宋体" w:hAnsi="宋体"/>
          <w:szCs w:val="21"/>
        </w:rPr>
      </w:pPr>
      <w:r>
        <w:rPr>
          <w:rFonts w:hint="eastAsia" w:ascii="宋体" w:hAnsi="宋体"/>
          <w:szCs w:val="21"/>
        </w:rPr>
        <w:t>十一、本保函自我行负责人或授权代理人签字或加盖印章之日起生效。</w:t>
      </w:r>
    </w:p>
    <w:p w14:paraId="27B5CEB9">
      <w:pPr>
        <w:ind w:firstLine="440" w:firstLineChars="200"/>
        <w:rPr>
          <w:rFonts w:ascii="宋体" w:hAnsi="宋体"/>
          <w:szCs w:val="21"/>
        </w:rPr>
      </w:pPr>
    </w:p>
    <w:p w14:paraId="2B45F7AE">
      <w:pPr>
        <w:ind w:firstLine="3080" w:firstLineChars="1400"/>
        <w:rPr>
          <w:rFonts w:ascii="宋体" w:hAnsi="宋体"/>
          <w:szCs w:val="21"/>
        </w:rPr>
      </w:pPr>
      <w:r>
        <w:rPr>
          <w:rFonts w:hint="eastAsia" w:ascii="宋体" w:hAnsi="宋体"/>
          <w:szCs w:val="21"/>
        </w:rPr>
        <w:t>保证人(盖章)：</w:t>
      </w:r>
    </w:p>
    <w:p w14:paraId="7CAA86A7">
      <w:pPr>
        <w:ind w:firstLine="3080" w:firstLineChars="1400"/>
        <w:rPr>
          <w:rFonts w:ascii="宋体" w:hAnsi="宋体"/>
          <w:szCs w:val="21"/>
        </w:rPr>
      </w:pPr>
      <w:r>
        <w:rPr>
          <w:rFonts w:hint="eastAsia" w:ascii="宋体" w:hAnsi="宋体"/>
          <w:szCs w:val="21"/>
        </w:rPr>
        <w:t>负责人或授权代理人(签字)：</w:t>
      </w:r>
    </w:p>
    <w:p w14:paraId="6728FB65">
      <w:pPr>
        <w:ind w:firstLine="3080" w:firstLineChars="1400"/>
        <w:rPr>
          <w:rFonts w:ascii="宋体" w:hAnsi="宋体"/>
          <w:szCs w:val="21"/>
        </w:rPr>
      </w:pPr>
      <w:r>
        <w:rPr>
          <w:rFonts w:hint="eastAsia" w:ascii="宋体" w:hAnsi="宋体"/>
          <w:szCs w:val="21"/>
        </w:rPr>
        <w:t>签发日期       年   月   日</w:t>
      </w:r>
    </w:p>
    <w:p w14:paraId="3B36C366">
      <w:pPr>
        <w:rPr>
          <w:rFonts w:ascii="宋体" w:hAnsi="宋体" w:eastAsia="楷体_GB2312"/>
          <w:b/>
          <w:bCs/>
          <w:szCs w:val="21"/>
        </w:rPr>
      </w:pPr>
    </w:p>
    <w:p w14:paraId="0993D3E8">
      <w:pPr>
        <w:jc w:val="center"/>
        <w:rPr>
          <w:rFonts w:ascii="宋体" w:hAnsi="宋体"/>
          <w:b/>
          <w:bCs/>
          <w:szCs w:val="21"/>
        </w:rPr>
      </w:pPr>
    </w:p>
    <w:p w14:paraId="1699437C">
      <w:pPr>
        <w:jc w:val="center"/>
        <w:rPr>
          <w:rFonts w:ascii="宋体" w:hAnsi="宋体"/>
          <w:b/>
          <w:bCs/>
          <w:szCs w:val="21"/>
        </w:rPr>
      </w:pPr>
      <w:r>
        <w:rPr>
          <w:rFonts w:hint="eastAsia" w:ascii="宋体" w:hAnsi="宋体"/>
          <w:b/>
          <w:bCs/>
          <w:szCs w:val="21"/>
        </w:rPr>
        <w:t>索 赔 通 知</w:t>
      </w:r>
    </w:p>
    <w:p w14:paraId="776FD264">
      <w:pPr>
        <w:spacing w:line="360" w:lineRule="auto"/>
        <w:jc w:val="center"/>
        <w:rPr>
          <w:rFonts w:ascii="宋体" w:hAnsi="宋体"/>
          <w:szCs w:val="21"/>
        </w:rPr>
      </w:pPr>
    </w:p>
    <w:p w14:paraId="662732CB">
      <w:pPr>
        <w:spacing w:line="360" w:lineRule="auto"/>
        <w:rPr>
          <w:rFonts w:ascii="宋体" w:hAnsi="宋体"/>
          <w:szCs w:val="21"/>
          <w:u w:val="single"/>
        </w:rPr>
      </w:pPr>
      <w:r>
        <w:rPr>
          <w:rFonts w:hint="eastAsia" w:ascii="宋体" w:hAnsi="宋体"/>
          <w:szCs w:val="21"/>
        </w:rPr>
        <w:t>致保证人：</w:t>
      </w:r>
      <w:r>
        <w:rPr>
          <w:rFonts w:hint="eastAsia" w:ascii="宋体" w:hAnsi="宋体"/>
          <w:szCs w:val="21"/>
          <w:u w:val="single"/>
        </w:rPr>
        <w:t xml:space="preserve">                </w:t>
      </w:r>
    </w:p>
    <w:p w14:paraId="498965DD">
      <w:pPr>
        <w:spacing w:line="360" w:lineRule="auto"/>
        <w:ind w:firstLine="440" w:firstLineChars="200"/>
        <w:rPr>
          <w:rFonts w:ascii="宋体" w:hAnsi="宋体"/>
          <w:szCs w:val="21"/>
        </w:rPr>
      </w:pPr>
      <w:r>
        <w:rPr>
          <w:rFonts w:hint="eastAsia" w:ascii="宋体" w:hAnsi="宋体"/>
          <w:szCs w:val="21"/>
          <w:u w:val="single"/>
        </w:rPr>
        <w:t xml:space="preserve">　　**公司**   </w:t>
      </w:r>
      <w:r>
        <w:rPr>
          <w:rFonts w:hint="eastAsia" w:ascii="宋体" w:hAnsi="宋体"/>
          <w:szCs w:val="21"/>
        </w:rPr>
        <w:t xml:space="preserve">（以下称 </w:t>
      </w:r>
      <w:r>
        <w:rPr>
          <w:rFonts w:hint="eastAsia" w:ascii="宋体" w:hAnsi="宋体"/>
          <w:szCs w:val="21"/>
          <w:u w:val="single"/>
        </w:rPr>
        <w:t xml:space="preserve"> XX </w:t>
      </w:r>
      <w:r>
        <w:rPr>
          <w:rFonts w:hint="eastAsia" w:ascii="宋体" w:hAnsi="宋体"/>
          <w:szCs w:val="21"/>
        </w:rPr>
        <w:t>）与我方签订</w:t>
      </w:r>
      <w:r>
        <w:rPr>
          <w:rFonts w:hint="eastAsia" w:ascii="宋体" w:hAnsi="宋体"/>
          <w:szCs w:val="21"/>
          <w:u w:val="single"/>
        </w:rPr>
        <w:t>： 　**合同**，合同编号： 　</w:t>
      </w:r>
      <w:r>
        <w:rPr>
          <w:rFonts w:hint="eastAsia" w:ascii="宋体" w:hAnsi="宋体"/>
          <w:szCs w:val="21"/>
        </w:rPr>
        <w:t>(以下称合同），</w:t>
      </w:r>
      <w:r>
        <w:rPr>
          <w:rFonts w:hint="eastAsia" w:ascii="宋体" w:hAnsi="宋体"/>
          <w:szCs w:val="21"/>
          <w:u w:val="single"/>
        </w:rPr>
        <w:t xml:space="preserve"> XX</w:t>
      </w:r>
      <w:r>
        <w:rPr>
          <w:rFonts w:hint="eastAsia" w:ascii="宋体" w:hAnsi="宋体"/>
          <w:szCs w:val="21"/>
        </w:rPr>
        <w:t>已经违反合同约定的义务，根据贵行签发的</w:t>
      </w:r>
      <w:r>
        <w:rPr>
          <w:rFonts w:hint="eastAsia" w:ascii="宋体" w:hAnsi="宋体"/>
          <w:szCs w:val="21"/>
          <w:u w:val="single"/>
        </w:rPr>
        <w:t>见索即付预付款/履约/进度款/质量保函</w:t>
      </w:r>
      <w:r>
        <w:rPr>
          <w:rFonts w:hint="eastAsia" w:ascii="宋体" w:hAnsi="宋体"/>
          <w:szCs w:val="21"/>
        </w:rPr>
        <w:t>（编号：</w:t>
      </w:r>
      <w:r>
        <w:rPr>
          <w:rFonts w:hint="eastAsia" w:ascii="宋体" w:hAnsi="宋体"/>
          <w:szCs w:val="21"/>
          <w:u w:val="single"/>
        </w:rPr>
        <w:t xml:space="preserve">      </w:t>
      </w:r>
      <w:r>
        <w:rPr>
          <w:rFonts w:hint="eastAsia" w:ascii="宋体" w:hAnsi="宋体"/>
          <w:szCs w:val="21"/>
        </w:rPr>
        <w:t>），我方向贵行索赔</w:t>
      </w:r>
      <w:r>
        <w:rPr>
          <w:rFonts w:hint="eastAsia" w:ascii="宋体" w:hAnsi="宋体"/>
          <w:szCs w:val="21"/>
          <w:u w:val="single"/>
        </w:rPr>
        <w:t xml:space="preserve">     **币种、大写金额**       </w:t>
      </w:r>
      <w:r>
        <w:rPr>
          <w:rFonts w:hint="eastAsia" w:ascii="宋体" w:hAnsi="宋体"/>
          <w:szCs w:val="21"/>
        </w:rPr>
        <w:t>，同时声明我方索赔的款项并未由</w:t>
      </w:r>
      <w:r>
        <w:rPr>
          <w:rFonts w:hint="eastAsia" w:ascii="宋体" w:hAnsi="宋体"/>
          <w:szCs w:val="21"/>
          <w:u w:val="single"/>
        </w:rPr>
        <w:t xml:space="preserve"> XX </w:t>
      </w:r>
      <w:r>
        <w:rPr>
          <w:rFonts w:hint="eastAsia" w:ascii="宋体" w:hAnsi="宋体"/>
          <w:szCs w:val="21"/>
        </w:rPr>
        <w:t>或其代理人以其他方式直接或间接地支付给我方。</w:t>
      </w:r>
    </w:p>
    <w:p w14:paraId="002A5BE1">
      <w:pPr>
        <w:spacing w:line="360" w:lineRule="auto"/>
        <w:ind w:firstLine="440" w:firstLineChars="200"/>
        <w:rPr>
          <w:rFonts w:ascii="宋体" w:hAnsi="宋体"/>
          <w:szCs w:val="21"/>
        </w:rPr>
      </w:pPr>
      <w:r>
        <w:rPr>
          <w:rFonts w:hint="eastAsia" w:ascii="宋体" w:hAnsi="宋体"/>
          <w:szCs w:val="21"/>
        </w:rPr>
        <w:t>请贵行在接到本通知后</w:t>
      </w:r>
      <w:r>
        <w:rPr>
          <w:rFonts w:hint="eastAsia" w:ascii="宋体" w:hAnsi="宋体"/>
          <w:szCs w:val="21"/>
          <w:u w:val="single"/>
        </w:rPr>
        <w:t xml:space="preserve"> 伍 </w:t>
      </w:r>
      <w:r>
        <w:rPr>
          <w:rFonts w:hint="eastAsia" w:ascii="宋体" w:hAnsi="宋体"/>
          <w:szCs w:val="21"/>
        </w:rPr>
        <w:t>个银行工作日内，将上述款项汇至我方如下账户：收款人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，开户行</w:t>
      </w:r>
      <w:r>
        <w:rPr>
          <w:rFonts w:hint="eastAsia" w:ascii="宋体" w:hAnsi="宋体"/>
          <w:szCs w:val="21"/>
          <w:u w:val="single"/>
        </w:rPr>
        <w:t xml:space="preserve">                   </w:t>
      </w:r>
      <w:r>
        <w:rPr>
          <w:rFonts w:hint="eastAsia" w:ascii="宋体" w:hAnsi="宋体"/>
          <w:szCs w:val="21"/>
        </w:rPr>
        <w:t>，账号</w:t>
      </w:r>
      <w:r>
        <w:rPr>
          <w:rFonts w:hint="eastAsia" w:ascii="宋体" w:hAnsi="宋体"/>
          <w:szCs w:val="21"/>
          <w:u w:val="single"/>
        </w:rPr>
        <w:t xml:space="preserve">                   </w:t>
      </w:r>
      <w:r>
        <w:rPr>
          <w:rFonts w:hint="eastAsia" w:ascii="宋体" w:hAnsi="宋体"/>
          <w:szCs w:val="21"/>
        </w:rPr>
        <w:t>。</w:t>
      </w:r>
    </w:p>
    <w:p w14:paraId="006A7E44">
      <w:pPr>
        <w:spacing w:line="360" w:lineRule="auto"/>
        <w:ind w:firstLine="705"/>
        <w:rPr>
          <w:rFonts w:ascii="宋体" w:hAnsi="宋体"/>
          <w:szCs w:val="21"/>
        </w:rPr>
      </w:pPr>
    </w:p>
    <w:p w14:paraId="7CB0BAAB">
      <w:pPr>
        <w:spacing w:line="360" w:lineRule="auto"/>
        <w:ind w:firstLine="705"/>
        <w:rPr>
          <w:rFonts w:ascii="宋体" w:hAnsi="宋体"/>
          <w:szCs w:val="21"/>
        </w:rPr>
      </w:pPr>
    </w:p>
    <w:p w14:paraId="35EB4092">
      <w:pPr>
        <w:spacing w:line="360" w:lineRule="auto"/>
        <w:ind w:firstLine="705"/>
        <w:rPr>
          <w:rFonts w:ascii="宋体" w:hAnsi="宋体"/>
          <w:szCs w:val="21"/>
        </w:rPr>
      </w:pPr>
      <w:r>
        <w:rPr>
          <w:rFonts w:hint="eastAsia" w:ascii="宋体" w:hAnsi="宋体"/>
          <w:szCs w:val="21"/>
        </w:rPr>
        <w:t xml:space="preserve">                   索赔人（盖章）</w:t>
      </w:r>
    </w:p>
    <w:p w14:paraId="6E3A2229">
      <w:pPr>
        <w:spacing w:line="360" w:lineRule="auto"/>
        <w:ind w:firstLine="705"/>
        <w:rPr>
          <w:rFonts w:ascii="宋体" w:hAnsi="宋体"/>
          <w:szCs w:val="21"/>
        </w:rPr>
      </w:pPr>
      <w:r>
        <w:rPr>
          <w:rFonts w:hint="eastAsia" w:ascii="宋体" w:hAnsi="宋体"/>
          <w:szCs w:val="21"/>
        </w:rPr>
        <w:t xml:space="preserve">                   法定代表人(负责人)或授权代理人（签字） </w:t>
      </w:r>
    </w:p>
    <w:p w14:paraId="577EE3E3">
      <w:pPr>
        <w:spacing w:line="360" w:lineRule="auto"/>
        <w:ind w:firstLine="705"/>
        <w:rPr>
          <w:szCs w:val="21"/>
        </w:rPr>
      </w:pPr>
      <w:r>
        <w:rPr>
          <w:rFonts w:hint="eastAsia" w:ascii="宋体" w:hAnsi="宋体"/>
          <w:szCs w:val="21"/>
        </w:rPr>
        <w:t xml:space="preserve">                   签发日期      年   月   日   </w:t>
      </w:r>
    </w:p>
    <w:p w14:paraId="1F3E0A5D">
      <w:pPr>
        <w:pStyle w:val="55"/>
      </w:pPr>
    </w:p>
    <w:p w14:paraId="1E53FD7F">
      <w:pPr>
        <w:pStyle w:val="55"/>
      </w:pPr>
    </w:p>
    <w:p w14:paraId="4AB4FA87">
      <w:pPr>
        <w:pStyle w:val="55"/>
      </w:pPr>
    </w:p>
    <w:p w14:paraId="15FBB81E">
      <w:pPr>
        <w:pStyle w:val="55"/>
      </w:pPr>
    </w:p>
    <w:p w14:paraId="6C254668">
      <w:pPr>
        <w:pStyle w:val="55"/>
      </w:pPr>
    </w:p>
    <w:p w14:paraId="1730C44F">
      <w:pPr>
        <w:pStyle w:val="55"/>
      </w:pPr>
    </w:p>
    <w:p w14:paraId="44E7D601">
      <w:pPr>
        <w:pStyle w:val="55"/>
      </w:pPr>
    </w:p>
    <w:p w14:paraId="0D09ACE6">
      <w:pPr>
        <w:pStyle w:val="55"/>
      </w:pPr>
    </w:p>
    <w:p w14:paraId="473AA070">
      <w:pPr>
        <w:pStyle w:val="55"/>
      </w:pPr>
    </w:p>
    <w:p w14:paraId="2F29BAF6">
      <w:pPr>
        <w:pStyle w:val="55"/>
      </w:pPr>
    </w:p>
    <w:p w14:paraId="6EF633C6">
      <w:pPr>
        <w:pStyle w:val="55"/>
      </w:pPr>
    </w:p>
    <w:p w14:paraId="762D2CE9">
      <w:pPr>
        <w:pStyle w:val="55"/>
      </w:pPr>
    </w:p>
    <w:p w14:paraId="6773AFFB">
      <w:pPr>
        <w:pStyle w:val="55"/>
      </w:pPr>
    </w:p>
    <w:p w14:paraId="42CFC663">
      <w:pPr>
        <w:pStyle w:val="55"/>
        <w:rPr>
          <w:b/>
          <w:bCs/>
          <w:sz w:val="24"/>
          <w:szCs w:val="24"/>
        </w:rPr>
      </w:pPr>
      <w:r>
        <w:rPr>
          <w:rFonts w:hint="eastAsia"/>
          <w:b/>
          <w:bCs/>
          <w:sz w:val="24"/>
          <w:szCs w:val="24"/>
        </w:rPr>
        <w:t>附件二、参比文件范本</w:t>
      </w:r>
    </w:p>
    <w:p w14:paraId="37FA9111">
      <w:pPr>
        <w:pStyle w:val="24"/>
        <w:jc w:val="center"/>
        <w:rPr>
          <w:rFonts w:ascii="Times New Roman" w:hAnsi="Times New Roman"/>
          <w:b/>
          <w:sz w:val="52"/>
          <w:szCs w:val="52"/>
          <w:lang w:eastAsia="zh-CN"/>
        </w:rPr>
      </w:pPr>
    </w:p>
    <w:p w14:paraId="229C0F7F">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4"/>
        <w:spacing w:line="615" w:lineRule="exact"/>
        <w:jc w:val="center"/>
        <w:rPr>
          <w:rFonts w:ascii="方正小标宋简体" w:hAnsi="方正小标宋简体" w:eastAsia="方正小标宋简体" w:cs="方正小标宋简体"/>
          <w:b/>
          <w:sz w:val="44"/>
          <w:szCs w:val="44"/>
          <w:lang w:eastAsia="zh-CN"/>
        </w:rPr>
      </w:pPr>
    </w:p>
    <w:p w14:paraId="4177FE27">
      <w:pPr>
        <w:pStyle w:val="24"/>
        <w:spacing w:line="615" w:lineRule="exact"/>
        <w:jc w:val="center"/>
        <w:rPr>
          <w:rFonts w:ascii="方正小标宋简体" w:hAnsi="方正小标宋简体" w:eastAsia="方正小标宋简体" w:cs="方正小标宋简体"/>
          <w:b/>
          <w:sz w:val="44"/>
          <w:szCs w:val="44"/>
          <w:lang w:eastAsia="zh-CN"/>
        </w:rPr>
      </w:pPr>
    </w:p>
    <w:p w14:paraId="3E72C643">
      <w:pPr>
        <w:spacing w:line="1000" w:lineRule="exact"/>
        <w:jc w:val="center"/>
        <w:rPr>
          <w:rFonts w:hint="eastAsia"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PTA装置先进控制（APC）软件包采购及工程服务</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5"/>
      </w:pPr>
    </w:p>
    <w:p w14:paraId="54C8DC60">
      <w:pPr>
        <w:pStyle w:val="24"/>
        <w:rPr>
          <w:rFonts w:ascii="Times New Roman" w:hAnsi="Times New Roman"/>
          <w:lang w:eastAsia="zh-CN"/>
        </w:rPr>
      </w:pPr>
    </w:p>
    <w:p w14:paraId="38BB3959">
      <w:pPr>
        <w:pStyle w:val="24"/>
        <w:rPr>
          <w:rFonts w:ascii="Times New Roman" w:hAnsi="Times New Roman"/>
          <w:lang w:eastAsia="zh-CN"/>
        </w:rPr>
      </w:pPr>
    </w:p>
    <w:p w14:paraId="0193E972">
      <w:pPr>
        <w:pStyle w:val="24"/>
        <w:rPr>
          <w:rFonts w:ascii="Times New Roman" w:hAnsi="Times New Roman"/>
          <w:lang w:eastAsia="zh-CN"/>
        </w:rPr>
      </w:pPr>
    </w:p>
    <w:p w14:paraId="226F7349">
      <w:pPr>
        <w:pStyle w:val="24"/>
        <w:rPr>
          <w:rFonts w:ascii="Times New Roman" w:hAnsi="Times New Roman"/>
          <w:lang w:eastAsia="zh-CN"/>
        </w:rPr>
      </w:pPr>
    </w:p>
    <w:p w14:paraId="28A68C31">
      <w:pPr>
        <w:pStyle w:val="24"/>
        <w:rPr>
          <w:rFonts w:ascii="Times New Roman" w:hAnsi="Times New Roman"/>
          <w:lang w:eastAsia="zh-CN"/>
        </w:rPr>
      </w:pPr>
    </w:p>
    <w:p w14:paraId="185CFC85">
      <w:pPr>
        <w:pStyle w:val="24"/>
        <w:rPr>
          <w:rFonts w:ascii="Times New Roman" w:hAnsi="Times New Roman"/>
          <w:b/>
          <w:bCs/>
          <w:sz w:val="32"/>
          <w:szCs w:val="32"/>
          <w:lang w:eastAsia="zh-CN"/>
        </w:rPr>
      </w:pPr>
    </w:p>
    <w:p w14:paraId="42504BCD">
      <w:pPr>
        <w:pStyle w:val="24"/>
        <w:rPr>
          <w:rFonts w:ascii="Times New Roman" w:hAnsi="Times New Roman"/>
          <w:b/>
          <w:bCs/>
          <w:sz w:val="32"/>
          <w:szCs w:val="32"/>
          <w:lang w:eastAsia="zh-CN"/>
        </w:rPr>
      </w:pPr>
    </w:p>
    <w:p w14:paraId="1D78D2A0">
      <w:pPr>
        <w:pStyle w:val="24"/>
        <w:rPr>
          <w:rFonts w:ascii="Times New Roman" w:hAnsi="Times New Roman"/>
          <w:b/>
          <w:bCs/>
          <w:sz w:val="32"/>
          <w:szCs w:val="32"/>
          <w:lang w:eastAsia="zh-CN"/>
        </w:rPr>
      </w:pPr>
    </w:p>
    <w:p w14:paraId="3F350982">
      <w:pPr>
        <w:pStyle w:val="24"/>
        <w:rPr>
          <w:rFonts w:ascii="Times New Roman" w:hAnsi="Times New Roman"/>
          <w:b/>
          <w:bCs/>
          <w:sz w:val="32"/>
          <w:szCs w:val="36"/>
          <w:lang w:eastAsia="zh-CN"/>
        </w:rPr>
      </w:pPr>
    </w:p>
    <w:p w14:paraId="70BAA1B5">
      <w:pPr>
        <w:pStyle w:val="24"/>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4"/>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5</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12</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55"/>
      </w:pPr>
    </w:p>
    <w:p w14:paraId="435EBD37">
      <w:pPr>
        <w:pStyle w:val="55"/>
      </w:pPr>
    </w:p>
    <w:p w14:paraId="248DBB34">
      <w:pPr>
        <w:pStyle w:val="55"/>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0A5C073A">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纸平装。所有参选文件应增加统一外层包封。</w:t>
      </w:r>
    </w:p>
    <w:p w14:paraId="078E00D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 提交参选文件封口处均需加盖骑缝章。商务参选文件和技术参选文件盖章扫描P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电子拷贝一份（随参选文件包装）。</w:t>
      </w:r>
    </w:p>
    <w:p w14:paraId="6DC3A1A8">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4F1CC3DE">
      <w:pPr>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6DEB4517">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75C66B0E">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5805E0E9">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749228FA">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263AF2F6">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3E878FD3">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71A55DED">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1D92FD5B">
      <w:pPr>
        <w:rPr>
          <w:szCs w:val="21"/>
          <w:lang w:eastAsia="zh-CN"/>
        </w:rPr>
      </w:pPr>
    </w:p>
    <w:p w14:paraId="2B0E6081">
      <w:pPr>
        <w:rPr>
          <w:szCs w:val="21"/>
          <w:lang w:eastAsia="zh-CN"/>
        </w:rPr>
      </w:pPr>
    </w:p>
    <w:p w14:paraId="61990389">
      <w:pPr>
        <w:rPr>
          <w:szCs w:val="21"/>
          <w:lang w:eastAsia="zh-CN"/>
        </w:rPr>
      </w:pPr>
    </w:p>
    <w:p w14:paraId="46299455">
      <w:pPr>
        <w:rPr>
          <w:szCs w:val="21"/>
          <w:lang w:eastAsia="zh-CN"/>
        </w:rPr>
      </w:pPr>
    </w:p>
    <w:p w14:paraId="442C5A7E">
      <w:pPr>
        <w:rPr>
          <w:szCs w:val="21"/>
          <w:lang w:eastAsia="zh-CN"/>
        </w:rPr>
      </w:pPr>
    </w:p>
    <w:p w14:paraId="749876E7">
      <w:pPr>
        <w:rPr>
          <w:szCs w:val="21"/>
          <w:lang w:eastAsia="zh-CN"/>
        </w:rPr>
      </w:pPr>
    </w:p>
    <w:p w14:paraId="181661AC">
      <w:pPr>
        <w:rPr>
          <w:szCs w:val="21"/>
          <w:lang w:eastAsia="zh-CN"/>
        </w:rPr>
      </w:pPr>
    </w:p>
    <w:p w14:paraId="2DADD0BD">
      <w:pPr>
        <w:pStyle w:val="73"/>
        <w:spacing w:beforeLines="0" w:afterLines="0" w:line="240" w:lineRule="auto"/>
        <w:ind w:firstLine="618" w:firstLineChars="221"/>
        <w:rPr>
          <w:rFonts w:cs="Times New Roman"/>
          <w:bCs w:val="0"/>
          <w:color w:val="C00000"/>
          <w:lang w:eastAsia="zh-CN"/>
        </w:rPr>
      </w:pPr>
    </w:p>
    <w:p w14:paraId="002DA08E">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71751C68">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34CFC429">
      <w:pPr>
        <w:rPr>
          <w:szCs w:val="21"/>
          <w:lang w:eastAsia="zh-CN"/>
        </w:rPr>
      </w:pPr>
    </w:p>
    <w:p w14:paraId="21A51CDB">
      <w:pPr>
        <w:pStyle w:val="55"/>
      </w:pPr>
    </w:p>
    <w:p w14:paraId="5650CDBB">
      <w:pPr>
        <w:pStyle w:val="55"/>
      </w:pPr>
    </w:p>
    <w:p w14:paraId="24D3FEBF">
      <w:pPr>
        <w:pStyle w:val="55"/>
      </w:pPr>
    </w:p>
    <w:p w14:paraId="74F16668">
      <w:pPr>
        <w:pStyle w:val="55"/>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6A7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495B0E4">
            <w:pPr>
              <w:spacing w:line="500" w:lineRule="exact"/>
              <w:jc w:val="center"/>
              <w:rPr>
                <w:sz w:val="24"/>
              </w:rPr>
            </w:pPr>
            <w:r>
              <w:rPr>
                <w:rFonts w:hint="eastAsia"/>
                <w:sz w:val="24"/>
              </w:rPr>
              <w:t>7</w:t>
            </w:r>
          </w:p>
        </w:tc>
        <w:tc>
          <w:tcPr>
            <w:tcW w:w="6023" w:type="dxa"/>
          </w:tcPr>
          <w:p w14:paraId="2DB01DE1">
            <w:pPr>
              <w:spacing w:line="500" w:lineRule="exact"/>
              <w:rPr>
                <w:sz w:val="24"/>
                <w:lang w:eastAsia="zh-CN"/>
              </w:rPr>
            </w:pPr>
            <w:r>
              <w:rPr>
                <w:rFonts w:hint="eastAsia" w:ascii="宋体" w:hAnsi="宋体" w:eastAsia="宋体" w:cs="宋体"/>
                <w:sz w:val="24"/>
                <w:lang w:val="en-US" w:eastAsia="zh-CN"/>
              </w:rPr>
              <w:t>自主产品权证明文件</w:t>
            </w:r>
          </w:p>
        </w:tc>
        <w:tc>
          <w:tcPr>
            <w:tcW w:w="1843" w:type="dxa"/>
          </w:tcPr>
          <w:p w14:paraId="58770EBD">
            <w:pPr>
              <w:spacing w:line="500" w:lineRule="exact"/>
              <w:jc w:val="center"/>
              <w:rPr>
                <w:sz w:val="24"/>
              </w:rPr>
            </w:pPr>
          </w:p>
        </w:tc>
      </w:tr>
      <w:tr w14:paraId="309E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EE545A">
            <w:pPr>
              <w:spacing w:line="500" w:lineRule="exact"/>
              <w:jc w:val="center"/>
              <w:rPr>
                <w:sz w:val="24"/>
                <w:lang w:eastAsia="zh-CN"/>
              </w:rPr>
            </w:pPr>
            <w:r>
              <w:rPr>
                <w:rFonts w:hint="eastAsia"/>
                <w:sz w:val="24"/>
                <w:lang w:eastAsia="zh-CN"/>
              </w:rPr>
              <w:t>8</w:t>
            </w:r>
          </w:p>
        </w:tc>
        <w:tc>
          <w:tcPr>
            <w:tcW w:w="6023" w:type="dxa"/>
          </w:tcPr>
          <w:p w14:paraId="6C26E074">
            <w:pPr>
              <w:spacing w:line="500" w:lineRule="exact"/>
              <w:rPr>
                <w:sz w:val="24"/>
                <w:lang w:eastAsia="zh-CN"/>
              </w:rPr>
            </w:pPr>
            <w:r>
              <w:rPr>
                <w:rFonts w:hint="eastAsia" w:ascii="宋体" w:hAnsi="宋体" w:eastAsia="宋体" w:cs="宋体"/>
                <w:sz w:val="24"/>
                <w:lang w:val="en-US" w:eastAsia="zh-CN"/>
              </w:rPr>
              <w:t>项目经理、项目实施负责人简历及业绩证明文件</w:t>
            </w:r>
          </w:p>
        </w:tc>
        <w:tc>
          <w:tcPr>
            <w:tcW w:w="1843" w:type="dxa"/>
          </w:tcPr>
          <w:p w14:paraId="2A7DA13A">
            <w:pPr>
              <w:spacing w:line="500" w:lineRule="exact"/>
              <w:jc w:val="center"/>
              <w:rPr>
                <w:sz w:val="24"/>
                <w:lang w:eastAsia="zh-CN"/>
              </w:rPr>
            </w:pPr>
          </w:p>
        </w:tc>
      </w:tr>
      <w:tr w14:paraId="0462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D25282A">
            <w:pPr>
              <w:spacing w:line="500" w:lineRule="exact"/>
              <w:jc w:val="center"/>
              <w:rPr>
                <w:sz w:val="24"/>
                <w:lang w:eastAsia="zh-CN"/>
              </w:rPr>
            </w:pPr>
            <w:r>
              <w:rPr>
                <w:sz w:val="24"/>
                <w:lang w:eastAsia="zh-CN"/>
              </w:rPr>
              <w:t>9</w:t>
            </w:r>
          </w:p>
        </w:tc>
        <w:tc>
          <w:tcPr>
            <w:tcW w:w="6023" w:type="dxa"/>
          </w:tcPr>
          <w:p w14:paraId="7582B795">
            <w:pPr>
              <w:spacing w:line="500" w:lineRule="exact"/>
              <w:rPr>
                <w:rFonts w:hint="eastAsia" w:eastAsia="宋体"/>
                <w:sz w:val="24"/>
                <w:lang w:val="en-US" w:eastAsia="zh-CN"/>
              </w:rPr>
            </w:pPr>
            <w:r>
              <w:rPr>
                <w:rFonts w:hint="eastAsia"/>
                <w:sz w:val="24"/>
                <w:szCs w:val="28"/>
              </w:rPr>
              <w:t>业绩的证明</w:t>
            </w:r>
            <w:r>
              <w:rPr>
                <w:rFonts w:hint="eastAsia"/>
                <w:sz w:val="24"/>
                <w:szCs w:val="28"/>
                <w:lang w:val="en-US" w:eastAsia="zh-CN"/>
              </w:rPr>
              <w:t>文件</w:t>
            </w:r>
          </w:p>
        </w:tc>
        <w:tc>
          <w:tcPr>
            <w:tcW w:w="1843" w:type="dxa"/>
          </w:tcPr>
          <w:p w14:paraId="32C9D7A6">
            <w:pPr>
              <w:spacing w:line="500" w:lineRule="exact"/>
              <w:jc w:val="center"/>
              <w:rPr>
                <w:sz w:val="24"/>
              </w:rPr>
            </w:pPr>
          </w:p>
        </w:tc>
      </w:tr>
      <w:tr w14:paraId="08D2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E52C137">
            <w:pPr>
              <w:spacing w:line="500" w:lineRule="exact"/>
              <w:jc w:val="center"/>
              <w:rPr>
                <w:sz w:val="24"/>
                <w:lang w:eastAsia="zh-CN"/>
              </w:rPr>
            </w:pPr>
            <w:r>
              <w:rPr>
                <w:sz w:val="24"/>
                <w:lang w:eastAsia="zh-CN"/>
              </w:rPr>
              <w:t>10</w:t>
            </w:r>
          </w:p>
        </w:tc>
        <w:tc>
          <w:tcPr>
            <w:tcW w:w="6023" w:type="dxa"/>
          </w:tcPr>
          <w:p w14:paraId="27CB4A8D">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技术方案</w:t>
            </w:r>
          </w:p>
        </w:tc>
        <w:tc>
          <w:tcPr>
            <w:tcW w:w="1843" w:type="dxa"/>
          </w:tcPr>
          <w:p w14:paraId="3CF7C875">
            <w:pPr>
              <w:spacing w:line="500" w:lineRule="exact"/>
              <w:jc w:val="center"/>
              <w:rPr>
                <w:sz w:val="24"/>
              </w:rPr>
            </w:pPr>
          </w:p>
        </w:tc>
      </w:tr>
      <w:tr w14:paraId="6034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BF22E80">
            <w:pPr>
              <w:spacing w:line="500" w:lineRule="exact"/>
              <w:jc w:val="center"/>
              <w:rPr>
                <w:sz w:val="24"/>
                <w:lang w:eastAsia="zh-CN"/>
              </w:rPr>
            </w:pPr>
            <w:r>
              <w:rPr>
                <w:rFonts w:hint="eastAsia"/>
                <w:sz w:val="24"/>
                <w:lang w:eastAsia="zh-CN"/>
              </w:rPr>
              <w:t>1</w:t>
            </w:r>
            <w:r>
              <w:rPr>
                <w:sz w:val="24"/>
                <w:lang w:eastAsia="zh-CN"/>
              </w:rPr>
              <w:t>1</w:t>
            </w:r>
          </w:p>
        </w:tc>
        <w:tc>
          <w:tcPr>
            <w:tcW w:w="6023" w:type="dxa"/>
          </w:tcPr>
          <w:p w14:paraId="14EEE528">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项目组织及实施方案</w:t>
            </w:r>
          </w:p>
        </w:tc>
        <w:tc>
          <w:tcPr>
            <w:tcW w:w="1843" w:type="dxa"/>
          </w:tcPr>
          <w:p w14:paraId="2BD9DE5D">
            <w:pPr>
              <w:spacing w:line="500" w:lineRule="exact"/>
              <w:jc w:val="center"/>
              <w:rPr>
                <w:sz w:val="24"/>
                <w:lang w:eastAsia="zh-CN"/>
              </w:rPr>
            </w:pPr>
          </w:p>
        </w:tc>
      </w:tr>
      <w:tr w14:paraId="3BA5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58F49DE">
            <w:pPr>
              <w:spacing w:line="500" w:lineRule="exact"/>
              <w:jc w:val="center"/>
              <w:rPr>
                <w:sz w:val="24"/>
                <w:lang w:eastAsia="zh-CN"/>
              </w:rPr>
            </w:pPr>
            <w:r>
              <w:rPr>
                <w:sz w:val="24"/>
                <w:lang w:eastAsia="zh-CN"/>
              </w:rPr>
              <w:t>1</w:t>
            </w:r>
            <w:r>
              <w:rPr>
                <w:rFonts w:hint="eastAsia"/>
                <w:sz w:val="24"/>
                <w:lang w:val="en-US" w:eastAsia="zh-CN"/>
              </w:rPr>
              <w:t>2</w:t>
            </w:r>
          </w:p>
        </w:tc>
        <w:tc>
          <w:tcPr>
            <w:tcW w:w="6023" w:type="dxa"/>
          </w:tcPr>
          <w:p w14:paraId="55118956">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其他（技术参比评分项相关关注点）</w:t>
            </w:r>
          </w:p>
        </w:tc>
        <w:tc>
          <w:tcPr>
            <w:tcW w:w="1843" w:type="dxa"/>
          </w:tcPr>
          <w:p w14:paraId="1CCE9138">
            <w:pPr>
              <w:spacing w:line="500" w:lineRule="exact"/>
              <w:jc w:val="center"/>
              <w:rPr>
                <w:sz w:val="24"/>
                <w:lang w:eastAsia="zh-CN"/>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rFonts w:hint="default"/>
                <w:sz w:val="24"/>
                <w:lang w:val="en-US" w:eastAsia="zh-CN"/>
              </w:rPr>
            </w:pPr>
            <w:r>
              <w:rPr>
                <w:rFonts w:hint="eastAsia"/>
                <w:sz w:val="24"/>
                <w:lang w:val="en-US" w:eastAsia="zh-CN"/>
              </w:rPr>
              <w:t>13</w:t>
            </w:r>
          </w:p>
        </w:tc>
        <w:tc>
          <w:tcPr>
            <w:tcW w:w="6023" w:type="dxa"/>
          </w:tcPr>
          <w:p w14:paraId="095C76F9">
            <w:pPr>
              <w:spacing w:line="500" w:lineRule="exact"/>
              <w:rPr>
                <w:rFonts w:hint="eastAsia" w:eastAsia="宋体"/>
                <w:sz w:val="24"/>
                <w:lang w:eastAsia="zh-CN"/>
              </w:rPr>
            </w:pPr>
            <w:r>
              <w:rPr>
                <w:rFonts w:hint="eastAsia"/>
                <w:sz w:val="24"/>
                <w:lang w:val="en-US" w:eastAsia="zh-CN"/>
              </w:rPr>
              <w:t>商务</w:t>
            </w:r>
            <w:r>
              <w:rPr>
                <w:rFonts w:hint="eastAsia"/>
                <w:sz w:val="24"/>
              </w:rPr>
              <w:t>报价</w:t>
            </w:r>
            <w:r>
              <w:rPr>
                <w:rFonts w:hint="eastAsia"/>
                <w:sz w:val="24"/>
                <w:lang w:val="en-US" w:eastAsia="zh-CN"/>
              </w:rPr>
              <w:t>文件</w:t>
            </w:r>
          </w:p>
        </w:tc>
        <w:tc>
          <w:tcPr>
            <w:tcW w:w="1843" w:type="dxa"/>
          </w:tcPr>
          <w:p w14:paraId="3B4CE561">
            <w:pPr>
              <w:spacing w:line="500" w:lineRule="exact"/>
              <w:jc w:val="center"/>
              <w:rPr>
                <w:sz w:val="24"/>
              </w:rPr>
            </w:pPr>
          </w:p>
        </w:tc>
      </w:tr>
    </w:tbl>
    <w:p w14:paraId="34F76B7F">
      <w:pPr>
        <w:spacing w:line="500" w:lineRule="exact"/>
        <w:jc w:val="center"/>
        <w:rPr>
          <w:b/>
          <w:bCs/>
          <w:sz w:val="24"/>
        </w:rPr>
      </w:pPr>
    </w:p>
    <w:p w14:paraId="47469ECB">
      <w:pPr>
        <w:pStyle w:val="55"/>
        <w:rPr>
          <w:b/>
          <w:bCs/>
          <w:sz w:val="36"/>
          <w:szCs w:val="36"/>
        </w:rPr>
      </w:pPr>
    </w:p>
    <w:p w14:paraId="2369C83D">
      <w:pPr>
        <w:pStyle w:val="55"/>
        <w:rPr>
          <w:b/>
          <w:bCs/>
          <w:sz w:val="36"/>
          <w:szCs w:val="36"/>
        </w:rPr>
      </w:pPr>
    </w:p>
    <w:p w14:paraId="7B46A8F6">
      <w:pPr>
        <w:pStyle w:val="55"/>
        <w:rPr>
          <w:b/>
          <w:bCs/>
          <w:sz w:val="36"/>
          <w:szCs w:val="36"/>
        </w:rPr>
      </w:pPr>
    </w:p>
    <w:p w14:paraId="60CCCFB0">
      <w:pPr>
        <w:spacing w:line="500" w:lineRule="exact"/>
        <w:rPr>
          <w:b/>
          <w:bCs/>
          <w:sz w:val="36"/>
          <w:szCs w:val="36"/>
          <w:lang w:eastAsia="zh-CN"/>
        </w:rPr>
      </w:pPr>
    </w:p>
    <w:p w14:paraId="2C48898D">
      <w:pPr>
        <w:pStyle w:val="55"/>
        <w:rPr>
          <w:b/>
          <w:bCs/>
          <w:sz w:val="36"/>
          <w:szCs w:val="36"/>
        </w:rPr>
      </w:pPr>
    </w:p>
    <w:p w14:paraId="75D1AE4D">
      <w:pPr>
        <w:pStyle w:val="55"/>
        <w:rPr>
          <w:b/>
          <w:bCs/>
          <w:sz w:val="36"/>
          <w:szCs w:val="36"/>
        </w:rPr>
      </w:pPr>
    </w:p>
    <w:p w14:paraId="0818B623">
      <w:pPr>
        <w:pStyle w:val="55"/>
      </w:pPr>
    </w:p>
    <w:p w14:paraId="3710216D">
      <w:pPr>
        <w:pStyle w:val="55"/>
      </w:pPr>
    </w:p>
    <w:p w14:paraId="00DF1BBB">
      <w:pPr>
        <w:pStyle w:val="55"/>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5"/>
      </w:pPr>
    </w:p>
    <w:p w14:paraId="2D9283E2">
      <w:pPr>
        <w:pStyle w:val="55"/>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5"/>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5"/>
        <w:jc w:val="center"/>
      </w:pPr>
    </w:p>
    <w:p w14:paraId="39BC4322">
      <w:pPr>
        <w:pStyle w:val="55"/>
        <w:jc w:val="center"/>
      </w:pPr>
    </w:p>
    <w:p w14:paraId="066842E7">
      <w:pPr>
        <w:pStyle w:val="55"/>
        <w:jc w:val="center"/>
      </w:pPr>
    </w:p>
    <w:p w14:paraId="68DB3955">
      <w:pPr>
        <w:pStyle w:val="55"/>
        <w:jc w:val="center"/>
      </w:pPr>
    </w:p>
    <w:p w14:paraId="3D337288">
      <w:pPr>
        <w:pStyle w:val="55"/>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5"/>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PTA装置先进控制（APC）软件包采购及工程服务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5</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12</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5"/>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5"/>
      </w:pPr>
    </w:p>
    <w:p w14:paraId="4A7A6043">
      <w:pPr>
        <w:pStyle w:val="55"/>
      </w:pPr>
    </w:p>
    <w:p w14:paraId="53CBD1E4">
      <w:pPr>
        <w:pStyle w:val="55"/>
      </w:pPr>
    </w:p>
    <w:p w14:paraId="4D3FF2B7">
      <w:pPr>
        <w:pStyle w:val="55"/>
      </w:pPr>
    </w:p>
    <w:p w14:paraId="294F3CFC">
      <w:pPr>
        <w:pStyle w:val="55"/>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5"/>
        <w:jc w:val="center"/>
        <w:rPr>
          <w:color w:val="4E6127"/>
        </w:rPr>
      </w:pPr>
    </w:p>
    <w:p w14:paraId="2F57EEC8">
      <w:pPr>
        <w:pStyle w:val="55"/>
        <w:jc w:val="center"/>
      </w:pPr>
    </w:p>
    <w:p w14:paraId="5B702F78">
      <w:pPr>
        <w:pStyle w:val="55"/>
        <w:jc w:val="center"/>
      </w:pPr>
    </w:p>
    <w:p w14:paraId="79D9ED00">
      <w:pPr>
        <w:pStyle w:val="55"/>
        <w:jc w:val="center"/>
      </w:pPr>
    </w:p>
    <w:p w14:paraId="3866141C">
      <w:pPr>
        <w:pStyle w:val="55"/>
        <w:jc w:val="center"/>
      </w:pPr>
    </w:p>
    <w:p w14:paraId="3F1E3A6F">
      <w:pPr>
        <w:pStyle w:val="55"/>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5"/>
        <w:rPr>
          <w:b/>
          <w:bCs/>
          <w:color w:val="4E6127"/>
          <w:sz w:val="36"/>
          <w:szCs w:val="36"/>
        </w:rPr>
      </w:pPr>
    </w:p>
    <w:p w14:paraId="79261888">
      <w:pPr>
        <w:pStyle w:val="55"/>
        <w:rPr>
          <w:b/>
          <w:bCs/>
          <w:color w:val="4E6127"/>
          <w:sz w:val="36"/>
          <w:szCs w:val="36"/>
        </w:rPr>
      </w:pPr>
    </w:p>
    <w:p w14:paraId="4588254C">
      <w:pPr>
        <w:pStyle w:val="55"/>
        <w:rPr>
          <w:b/>
          <w:bCs/>
          <w:color w:val="4E6127"/>
          <w:sz w:val="36"/>
          <w:szCs w:val="36"/>
        </w:rPr>
      </w:pPr>
    </w:p>
    <w:p w14:paraId="130BB33F">
      <w:pPr>
        <w:pStyle w:val="55"/>
        <w:rPr>
          <w:b/>
          <w:bCs/>
          <w:color w:val="4E6127"/>
          <w:sz w:val="36"/>
          <w:szCs w:val="36"/>
        </w:rPr>
      </w:pPr>
    </w:p>
    <w:p w14:paraId="42E83B2C">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5"/>
        <w:rPr>
          <w:b/>
          <w:bCs/>
          <w:sz w:val="36"/>
          <w:szCs w:val="36"/>
        </w:rPr>
      </w:pPr>
    </w:p>
    <w:p w14:paraId="33F04666">
      <w:pPr>
        <w:pStyle w:val="55"/>
        <w:rPr>
          <w:b/>
          <w:bCs/>
          <w:sz w:val="36"/>
          <w:szCs w:val="36"/>
        </w:rPr>
      </w:pPr>
    </w:p>
    <w:p w14:paraId="23C989C7">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5"/>
        <w:jc w:val="center"/>
        <w:rPr>
          <w:color w:val="FF0000"/>
        </w:rPr>
      </w:pPr>
    </w:p>
    <w:p w14:paraId="71BD34CF">
      <w:pPr>
        <w:pStyle w:val="55"/>
        <w:jc w:val="center"/>
      </w:pPr>
    </w:p>
    <w:p w14:paraId="029FD09B">
      <w:pPr>
        <w:pStyle w:val="55"/>
        <w:jc w:val="center"/>
      </w:pPr>
    </w:p>
    <w:p w14:paraId="481270E6">
      <w:pPr>
        <w:pStyle w:val="55"/>
        <w:jc w:val="center"/>
      </w:pPr>
    </w:p>
    <w:p w14:paraId="0681EFF1">
      <w:pPr>
        <w:pStyle w:val="55"/>
        <w:jc w:val="center"/>
      </w:pPr>
    </w:p>
    <w:p w14:paraId="41DEA680">
      <w:pPr>
        <w:pStyle w:val="55"/>
        <w:jc w:val="center"/>
      </w:pPr>
    </w:p>
    <w:p w14:paraId="15A64DF3">
      <w:pPr>
        <w:pStyle w:val="55"/>
        <w:jc w:val="center"/>
      </w:pPr>
    </w:p>
    <w:p w14:paraId="280927C3">
      <w:pPr>
        <w:pStyle w:val="55"/>
        <w:jc w:val="center"/>
      </w:pPr>
    </w:p>
    <w:p w14:paraId="02473E6F">
      <w:pPr>
        <w:pStyle w:val="55"/>
        <w:jc w:val="center"/>
      </w:pPr>
    </w:p>
    <w:p w14:paraId="0232CC98">
      <w:pPr>
        <w:pStyle w:val="55"/>
        <w:jc w:val="center"/>
      </w:pPr>
    </w:p>
    <w:p w14:paraId="71DF9366">
      <w:pPr>
        <w:pStyle w:val="55"/>
        <w:jc w:val="center"/>
      </w:pPr>
    </w:p>
    <w:p w14:paraId="29269907">
      <w:pPr>
        <w:pStyle w:val="55"/>
        <w:jc w:val="center"/>
      </w:pPr>
    </w:p>
    <w:p w14:paraId="48C95FCF">
      <w:pPr>
        <w:pStyle w:val="55"/>
        <w:jc w:val="center"/>
      </w:pPr>
    </w:p>
    <w:p w14:paraId="706D5FDD">
      <w:pPr>
        <w:pStyle w:val="55"/>
        <w:jc w:val="center"/>
      </w:pPr>
    </w:p>
    <w:p w14:paraId="2F038F0E">
      <w:pPr>
        <w:pStyle w:val="55"/>
        <w:jc w:val="center"/>
      </w:pPr>
    </w:p>
    <w:p w14:paraId="3693E9F9">
      <w:pPr>
        <w:pStyle w:val="55"/>
        <w:jc w:val="center"/>
      </w:pPr>
    </w:p>
    <w:p w14:paraId="6383BFC9">
      <w:pPr>
        <w:pStyle w:val="55"/>
        <w:jc w:val="center"/>
      </w:pPr>
    </w:p>
    <w:p w14:paraId="5061630D">
      <w:pPr>
        <w:pStyle w:val="55"/>
        <w:jc w:val="center"/>
      </w:pPr>
    </w:p>
    <w:p w14:paraId="4321CC2E">
      <w:pPr>
        <w:pStyle w:val="55"/>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5"/>
        <w:jc w:val="center"/>
      </w:pPr>
    </w:p>
    <w:p w14:paraId="0B9A4F61">
      <w:pPr>
        <w:pStyle w:val="55"/>
        <w:jc w:val="center"/>
      </w:pPr>
    </w:p>
    <w:p w14:paraId="39E3EE84">
      <w:pPr>
        <w:pStyle w:val="55"/>
        <w:jc w:val="center"/>
      </w:pPr>
    </w:p>
    <w:p w14:paraId="78421338">
      <w:pPr>
        <w:pStyle w:val="55"/>
        <w:jc w:val="center"/>
      </w:pPr>
    </w:p>
    <w:p w14:paraId="19E8404F">
      <w:pPr>
        <w:pStyle w:val="55"/>
        <w:jc w:val="center"/>
      </w:pPr>
    </w:p>
    <w:p w14:paraId="7DF7DF00">
      <w:pPr>
        <w:pStyle w:val="55"/>
        <w:jc w:val="center"/>
      </w:pPr>
    </w:p>
    <w:p w14:paraId="29330E12">
      <w:pPr>
        <w:pStyle w:val="55"/>
        <w:jc w:val="center"/>
      </w:pPr>
    </w:p>
    <w:p w14:paraId="26AF80D0">
      <w:pPr>
        <w:pStyle w:val="55"/>
        <w:jc w:val="center"/>
      </w:pPr>
    </w:p>
    <w:p w14:paraId="35ED6ED9">
      <w:pPr>
        <w:pStyle w:val="55"/>
        <w:jc w:val="center"/>
      </w:pPr>
    </w:p>
    <w:p w14:paraId="70C25904">
      <w:pPr>
        <w:pStyle w:val="55"/>
        <w:jc w:val="center"/>
      </w:pPr>
    </w:p>
    <w:p w14:paraId="6ADDD4A7">
      <w:pPr>
        <w:pStyle w:val="55"/>
        <w:jc w:val="center"/>
      </w:pPr>
    </w:p>
    <w:p w14:paraId="5B340194">
      <w:pPr>
        <w:pStyle w:val="55"/>
        <w:jc w:val="center"/>
      </w:pPr>
    </w:p>
    <w:p w14:paraId="752D6ECB">
      <w:pPr>
        <w:pStyle w:val="55"/>
        <w:jc w:val="center"/>
      </w:pPr>
    </w:p>
    <w:p w14:paraId="6B004E64">
      <w:pPr>
        <w:pStyle w:val="55"/>
        <w:jc w:val="center"/>
      </w:pPr>
    </w:p>
    <w:p w14:paraId="05CC3ADB">
      <w:pPr>
        <w:pStyle w:val="55"/>
        <w:jc w:val="center"/>
      </w:pPr>
    </w:p>
    <w:p w14:paraId="06FAA606">
      <w:pPr>
        <w:pStyle w:val="55"/>
        <w:jc w:val="center"/>
      </w:pPr>
    </w:p>
    <w:p w14:paraId="58BFEC13">
      <w:pPr>
        <w:pStyle w:val="55"/>
        <w:jc w:val="center"/>
      </w:pPr>
    </w:p>
    <w:p w14:paraId="55D08212">
      <w:pPr>
        <w:pStyle w:val="55"/>
        <w:jc w:val="center"/>
      </w:pPr>
    </w:p>
    <w:p w14:paraId="3B1ADF54">
      <w:pPr>
        <w:pStyle w:val="55"/>
        <w:jc w:val="center"/>
      </w:pPr>
    </w:p>
    <w:p w14:paraId="10F67DD9">
      <w:pPr>
        <w:pStyle w:val="55"/>
      </w:pPr>
    </w:p>
    <w:p w14:paraId="5B46A9A0">
      <w:pPr>
        <w:pStyle w:val="55"/>
        <w:jc w:val="center"/>
        <w:rPr>
          <w:rFonts w:ascii="Times New Roman" w:hAnsi="Times New Roman"/>
          <w:b/>
          <w:bCs/>
          <w:kern w:val="2"/>
          <w:sz w:val="36"/>
          <w:szCs w:val="36"/>
        </w:rPr>
      </w:pPr>
    </w:p>
    <w:p w14:paraId="40E63704">
      <w:pPr>
        <w:pStyle w:val="55"/>
        <w:jc w:val="center"/>
        <w:rPr>
          <w:rFonts w:ascii="Times New Roman" w:hAnsi="Times New Roman"/>
          <w:b/>
          <w:bCs/>
          <w:kern w:val="2"/>
          <w:sz w:val="36"/>
          <w:szCs w:val="36"/>
        </w:rPr>
      </w:pPr>
    </w:p>
    <w:p w14:paraId="62C7E0A6">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自主产品权证明文件</w:t>
      </w:r>
    </w:p>
    <w:p w14:paraId="29022B27">
      <w:pPr>
        <w:pStyle w:val="55"/>
        <w:tabs>
          <w:tab w:val="left" w:pos="4944"/>
        </w:tabs>
        <w:jc w:val="left"/>
        <w:rPr>
          <w:color w:val="0000FF"/>
        </w:rPr>
      </w:pPr>
    </w:p>
    <w:p w14:paraId="533E51C1">
      <w:pPr>
        <w:pStyle w:val="55"/>
        <w:tabs>
          <w:tab w:val="left" w:pos="4944"/>
        </w:tabs>
        <w:jc w:val="left"/>
        <w:rPr>
          <w:color w:val="0000FF"/>
        </w:rPr>
      </w:pPr>
    </w:p>
    <w:p w14:paraId="18D34A1C">
      <w:pPr>
        <w:pStyle w:val="55"/>
        <w:tabs>
          <w:tab w:val="left" w:pos="4944"/>
        </w:tabs>
        <w:jc w:val="left"/>
        <w:rPr>
          <w:color w:val="0000FF"/>
        </w:rPr>
      </w:pPr>
    </w:p>
    <w:p w14:paraId="7CCEC459">
      <w:pPr>
        <w:pStyle w:val="55"/>
        <w:tabs>
          <w:tab w:val="left" w:pos="4944"/>
        </w:tabs>
        <w:jc w:val="left"/>
        <w:rPr>
          <w:color w:val="0000FF"/>
        </w:rPr>
      </w:pPr>
    </w:p>
    <w:p w14:paraId="234F82AB">
      <w:pPr>
        <w:pStyle w:val="55"/>
        <w:tabs>
          <w:tab w:val="left" w:pos="4944"/>
        </w:tabs>
        <w:jc w:val="left"/>
        <w:rPr>
          <w:color w:val="0000FF"/>
        </w:rPr>
      </w:pPr>
    </w:p>
    <w:p w14:paraId="3C54A92C">
      <w:pPr>
        <w:pStyle w:val="55"/>
        <w:tabs>
          <w:tab w:val="left" w:pos="4944"/>
        </w:tabs>
        <w:jc w:val="left"/>
        <w:rPr>
          <w:color w:val="0000FF"/>
        </w:rPr>
      </w:pPr>
    </w:p>
    <w:p w14:paraId="16EAC8AA">
      <w:pPr>
        <w:pStyle w:val="55"/>
        <w:tabs>
          <w:tab w:val="left" w:pos="4944"/>
        </w:tabs>
        <w:jc w:val="left"/>
        <w:rPr>
          <w:color w:val="0000FF"/>
        </w:rPr>
      </w:pPr>
    </w:p>
    <w:p w14:paraId="4820E6C4">
      <w:pPr>
        <w:pStyle w:val="55"/>
        <w:tabs>
          <w:tab w:val="left" w:pos="4944"/>
        </w:tabs>
        <w:jc w:val="left"/>
        <w:rPr>
          <w:color w:val="0000FF"/>
        </w:rPr>
      </w:pPr>
    </w:p>
    <w:p w14:paraId="3141D235">
      <w:pPr>
        <w:pStyle w:val="55"/>
        <w:tabs>
          <w:tab w:val="left" w:pos="4944"/>
        </w:tabs>
        <w:jc w:val="left"/>
        <w:rPr>
          <w:color w:val="0000FF"/>
        </w:rPr>
      </w:pPr>
    </w:p>
    <w:p w14:paraId="452A0F66">
      <w:pPr>
        <w:pStyle w:val="55"/>
        <w:tabs>
          <w:tab w:val="left" w:pos="4944"/>
        </w:tabs>
        <w:jc w:val="left"/>
        <w:rPr>
          <w:color w:val="0000FF"/>
        </w:rPr>
      </w:pPr>
    </w:p>
    <w:p w14:paraId="799D9537">
      <w:pPr>
        <w:pStyle w:val="55"/>
        <w:tabs>
          <w:tab w:val="left" w:pos="4944"/>
        </w:tabs>
        <w:jc w:val="left"/>
        <w:rPr>
          <w:color w:val="0000FF"/>
        </w:rPr>
      </w:pPr>
    </w:p>
    <w:p w14:paraId="2D726507">
      <w:pPr>
        <w:pStyle w:val="55"/>
        <w:tabs>
          <w:tab w:val="left" w:pos="4944"/>
        </w:tabs>
        <w:jc w:val="left"/>
        <w:rPr>
          <w:color w:val="0000FF"/>
        </w:rPr>
      </w:pPr>
    </w:p>
    <w:p w14:paraId="189A95BC">
      <w:pPr>
        <w:pStyle w:val="55"/>
        <w:tabs>
          <w:tab w:val="left" w:pos="4944"/>
        </w:tabs>
        <w:jc w:val="left"/>
        <w:rPr>
          <w:color w:val="0000FF"/>
        </w:rPr>
      </w:pPr>
    </w:p>
    <w:p w14:paraId="7D6F1F1D">
      <w:pPr>
        <w:pStyle w:val="55"/>
        <w:tabs>
          <w:tab w:val="left" w:pos="4944"/>
        </w:tabs>
        <w:jc w:val="left"/>
        <w:rPr>
          <w:color w:val="0000FF"/>
        </w:rPr>
      </w:pPr>
    </w:p>
    <w:p w14:paraId="2B09A93A">
      <w:pPr>
        <w:pStyle w:val="55"/>
        <w:tabs>
          <w:tab w:val="left" w:pos="4944"/>
        </w:tabs>
        <w:jc w:val="left"/>
        <w:rPr>
          <w:color w:val="0000FF"/>
        </w:rPr>
      </w:pPr>
    </w:p>
    <w:p w14:paraId="2CADDC21">
      <w:pPr>
        <w:pStyle w:val="55"/>
        <w:tabs>
          <w:tab w:val="left" w:pos="4944"/>
        </w:tabs>
        <w:jc w:val="left"/>
        <w:rPr>
          <w:color w:val="0000FF"/>
        </w:rPr>
      </w:pPr>
    </w:p>
    <w:p w14:paraId="24E2B176">
      <w:pPr>
        <w:pStyle w:val="55"/>
        <w:tabs>
          <w:tab w:val="left" w:pos="4944"/>
        </w:tabs>
        <w:jc w:val="left"/>
        <w:rPr>
          <w:color w:val="0000FF"/>
        </w:rPr>
      </w:pPr>
    </w:p>
    <w:p w14:paraId="27BEBCAF">
      <w:pPr>
        <w:pStyle w:val="55"/>
        <w:tabs>
          <w:tab w:val="left" w:pos="4944"/>
        </w:tabs>
        <w:jc w:val="left"/>
        <w:rPr>
          <w:color w:val="0000FF"/>
        </w:rPr>
      </w:pPr>
    </w:p>
    <w:p w14:paraId="5B593D9F">
      <w:pPr>
        <w:pStyle w:val="55"/>
        <w:tabs>
          <w:tab w:val="left" w:pos="4944"/>
        </w:tabs>
        <w:jc w:val="left"/>
        <w:rPr>
          <w:color w:val="0000FF"/>
        </w:rPr>
      </w:pPr>
    </w:p>
    <w:p w14:paraId="099DD182">
      <w:pPr>
        <w:pStyle w:val="55"/>
        <w:jc w:val="center"/>
        <w:rPr>
          <w:rFonts w:ascii="Times New Roman" w:hAnsi="Times New Roman"/>
          <w:b/>
          <w:bCs/>
          <w:kern w:val="2"/>
          <w:sz w:val="36"/>
          <w:szCs w:val="36"/>
        </w:rPr>
      </w:pPr>
    </w:p>
    <w:p w14:paraId="067B2C6A">
      <w:pPr>
        <w:pStyle w:val="55"/>
        <w:jc w:val="center"/>
        <w:rPr>
          <w:rFonts w:ascii="Times New Roman" w:hAnsi="Times New Roman"/>
          <w:b/>
          <w:bCs/>
          <w:kern w:val="2"/>
          <w:sz w:val="36"/>
          <w:szCs w:val="36"/>
        </w:rPr>
      </w:pPr>
    </w:p>
    <w:p w14:paraId="26F355EA">
      <w:pPr>
        <w:pStyle w:val="55"/>
        <w:jc w:val="center"/>
        <w:rPr>
          <w:rFonts w:ascii="Times New Roman" w:hAnsi="Times New Roman"/>
          <w:b/>
          <w:bCs/>
          <w:kern w:val="2"/>
          <w:sz w:val="36"/>
          <w:szCs w:val="36"/>
        </w:rPr>
      </w:pPr>
    </w:p>
    <w:p w14:paraId="3E639D39">
      <w:pPr>
        <w:pStyle w:val="55"/>
        <w:jc w:val="center"/>
        <w:rPr>
          <w:rFonts w:hint="eastAsia" w:ascii="Times New Roman" w:hAnsi="Times New Roman" w:eastAsia="宋体"/>
          <w:b/>
          <w:bCs/>
          <w:kern w:val="2"/>
          <w:sz w:val="36"/>
          <w:szCs w:val="36"/>
          <w:lang w:val="en-US" w:eastAsia="zh-CN"/>
        </w:rPr>
      </w:pPr>
      <w:r>
        <w:rPr>
          <w:rFonts w:hint="eastAsia" w:ascii="Times New Roman" w:hAnsi="Times New Roman"/>
          <w:b/>
          <w:bCs/>
          <w:kern w:val="2"/>
          <w:sz w:val="36"/>
          <w:szCs w:val="36"/>
        </w:rPr>
        <w:t>业绩证明</w:t>
      </w:r>
      <w:r>
        <w:rPr>
          <w:rFonts w:hint="eastAsia" w:ascii="Times New Roman" w:hAnsi="Times New Roman"/>
          <w:b/>
          <w:bCs/>
          <w:kern w:val="2"/>
          <w:sz w:val="36"/>
          <w:szCs w:val="36"/>
          <w:lang w:val="en-US" w:eastAsia="zh-CN"/>
        </w:rPr>
        <w:t>文件</w:t>
      </w:r>
    </w:p>
    <w:p w14:paraId="0E936ED3">
      <w:pPr>
        <w:pStyle w:val="73"/>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14:paraId="490F4355">
      <w:pPr>
        <w:pStyle w:val="73"/>
        <w:spacing w:beforeLines="0" w:afterLines="0" w:line="240" w:lineRule="auto"/>
        <w:rPr>
          <w:rFonts w:cs="Times New Roman"/>
          <w:bCs w:val="0"/>
          <w:color w:val="4E6127"/>
          <w:lang w:eastAsia="zh-CN"/>
        </w:rPr>
      </w:pPr>
    </w:p>
    <w:p w14:paraId="6996F3EF">
      <w:pPr>
        <w:pStyle w:val="73"/>
        <w:spacing w:beforeLines="0" w:afterLines="0" w:line="240" w:lineRule="auto"/>
        <w:rPr>
          <w:rFonts w:cs="Times New Roman"/>
          <w:bCs w:val="0"/>
          <w:lang w:eastAsia="zh-CN"/>
        </w:rPr>
      </w:pPr>
    </w:p>
    <w:p w14:paraId="5F1912C8">
      <w:pPr>
        <w:pStyle w:val="73"/>
        <w:spacing w:beforeLines="0" w:afterLines="0" w:line="240" w:lineRule="auto"/>
        <w:rPr>
          <w:rFonts w:cs="Times New Roman"/>
          <w:bCs w:val="0"/>
          <w:lang w:eastAsia="zh-CN"/>
        </w:rPr>
      </w:pPr>
    </w:p>
    <w:p w14:paraId="5FF25F44">
      <w:pPr>
        <w:pStyle w:val="73"/>
        <w:spacing w:beforeLines="0" w:afterLines="0" w:line="240" w:lineRule="auto"/>
        <w:rPr>
          <w:rFonts w:cs="Times New Roman"/>
          <w:bCs w:val="0"/>
          <w:lang w:eastAsia="zh-CN"/>
        </w:rPr>
      </w:pPr>
    </w:p>
    <w:p w14:paraId="703DA105">
      <w:pPr>
        <w:pStyle w:val="73"/>
        <w:spacing w:beforeLines="0" w:afterLines="0" w:line="240" w:lineRule="auto"/>
        <w:rPr>
          <w:rFonts w:cs="Times New Roman"/>
          <w:bCs w:val="0"/>
          <w:lang w:eastAsia="zh-CN"/>
        </w:rPr>
      </w:pPr>
    </w:p>
    <w:p w14:paraId="07573D8C">
      <w:pPr>
        <w:pStyle w:val="73"/>
        <w:spacing w:beforeLines="0" w:afterLines="0" w:line="240" w:lineRule="auto"/>
        <w:rPr>
          <w:rFonts w:cs="Times New Roman"/>
          <w:bCs w:val="0"/>
          <w:lang w:eastAsia="zh-CN"/>
        </w:rPr>
      </w:pPr>
    </w:p>
    <w:p w14:paraId="38E0D9BC">
      <w:pPr>
        <w:pStyle w:val="73"/>
        <w:spacing w:beforeLines="0" w:afterLines="0" w:line="240" w:lineRule="auto"/>
        <w:rPr>
          <w:rFonts w:cs="Times New Roman"/>
          <w:bCs w:val="0"/>
          <w:lang w:eastAsia="zh-CN"/>
        </w:rPr>
      </w:pPr>
    </w:p>
    <w:p w14:paraId="250DCBC7">
      <w:pPr>
        <w:pStyle w:val="73"/>
        <w:spacing w:beforeLines="0" w:afterLines="0" w:line="240" w:lineRule="auto"/>
        <w:rPr>
          <w:rFonts w:cs="Times New Roman"/>
          <w:bCs w:val="0"/>
          <w:lang w:eastAsia="zh-CN"/>
        </w:rPr>
      </w:pPr>
    </w:p>
    <w:p w14:paraId="1D4F59E7">
      <w:pPr>
        <w:pStyle w:val="73"/>
        <w:spacing w:beforeLines="0" w:afterLines="0" w:line="240" w:lineRule="auto"/>
        <w:rPr>
          <w:rFonts w:cs="Times New Roman"/>
          <w:bCs w:val="0"/>
          <w:lang w:eastAsia="zh-CN"/>
        </w:rPr>
      </w:pPr>
    </w:p>
    <w:p w14:paraId="0838A6C6">
      <w:pPr>
        <w:pStyle w:val="73"/>
        <w:spacing w:beforeLines="0" w:afterLines="0" w:line="240" w:lineRule="auto"/>
        <w:rPr>
          <w:rFonts w:cs="Times New Roman"/>
          <w:bCs w:val="0"/>
          <w:lang w:eastAsia="zh-CN"/>
        </w:rPr>
      </w:pPr>
    </w:p>
    <w:p w14:paraId="0062A1B9">
      <w:pPr>
        <w:pStyle w:val="73"/>
        <w:spacing w:beforeLines="0" w:afterLines="0" w:line="240" w:lineRule="auto"/>
        <w:rPr>
          <w:rFonts w:cs="Times New Roman"/>
          <w:bCs w:val="0"/>
          <w:lang w:eastAsia="zh-CN"/>
        </w:rPr>
      </w:pPr>
    </w:p>
    <w:p w14:paraId="62E2D4A0">
      <w:pPr>
        <w:pStyle w:val="73"/>
        <w:spacing w:beforeLines="0" w:afterLines="0" w:line="240" w:lineRule="auto"/>
        <w:rPr>
          <w:rFonts w:cs="Times New Roman"/>
          <w:bCs w:val="0"/>
          <w:lang w:eastAsia="zh-CN"/>
        </w:rPr>
      </w:pPr>
    </w:p>
    <w:p w14:paraId="3303F497">
      <w:pPr>
        <w:pStyle w:val="73"/>
        <w:spacing w:beforeLines="0" w:afterLines="0" w:line="240" w:lineRule="auto"/>
        <w:rPr>
          <w:rFonts w:cs="Times New Roman"/>
          <w:bCs w:val="0"/>
          <w:lang w:eastAsia="zh-CN"/>
        </w:rPr>
      </w:pPr>
    </w:p>
    <w:p w14:paraId="39CB0D63">
      <w:pPr>
        <w:pStyle w:val="73"/>
        <w:spacing w:beforeLines="0" w:afterLines="0" w:line="240" w:lineRule="auto"/>
        <w:rPr>
          <w:rFonts w:cs="Times New Roman"/>
          <w:bCs w:val="0"/>
          <w:lang w:eastAsia="zh-CN"/>
        </w:rPr>
      </w:pPr>
    </w:p>
    <w:p w14:paraId="3DCD6236">
      <w:pPr>
        <w:pStyle w:val="73"/>
        <w:spacing w:beforeLines="0" w:afterLines="0" w:line="240" w:lineRule="auto"/>
        <w:rPr>
          <w:rFonts w:cs="Times New Roman"/>
          <w:bCs w:val="0"/>
          <w:lang w:eastAsia="zh-CN"/>
        </w:rPr>
      </w:pPr>
    </w:p>
    <w:p w14:paraId="0B3D83E4">
      <w:pPr>
        <w:pStyle w:val="73"/>
        <w:spacing w:beforeLines="0" w:afterLines="0" w:line="240" w:lineRule="auto"/>
        <w:rPr>
          <w:rFonts w:cs="Times New Roman"/>
          <w:bCs w:val="0"/>
          <w:lang w:eastAsia="zh-CN"/>
        </w:rPr>
      </w:pPr>
    </w:p>
    <w:p w14:paraId="51F9863D">
      <w:pPr>
        <w:pStyle w:val="73"/>
        <w:spacing w:beforeLines="0" w:afterLines="0" w:line="240" w:lineRule="auto"/>
        <w:rPr>
          <w:rFonts w:cs="Times New Roman"/>
          <w:bCs w:val="0"/>
          <w:lang w:eastAsia="zh-CN"/>
        </w:rPr>
      </w:pPr>
    </w:p>
    <w:p w14:paraId="6C9FA5C7">
      <w:pPr>
        <w:pStyle w:val="73"/>
        <w:spacing w:beforeLines="0" w:afterLines="0" w:line="240" w:lineRule="auto"/>
        <w:rPr>
          <w:rFonts w:cs="Times New Roman"/>
          <w:bCs w:val="0"/>
          <w:lang w:eastAsia="zh-CN"/>
        </w:rPr>
      </w:pPr>
    </w:p>
    <w:p w14:paraId="43A7B868">
      <w:pPr>
        <w:pStyle w:val="73"/>
        <w:spacing w:beforeLines="0" w:afterLines="0" w:line="240" w:lineRule="auto"/>
        <w:rPr>
          <w:rFonts w:cs="Times New Roman"/>
          <w:bCs w:val="0"/>
          <w:lang w:eastAsia="zh-CN"/>
        </w:rPr>
      </w:pPr>
    </w:p>
    <w:p w14:paraId="145A4407">
      <w:pPr>
        <w:pStyle w:val="73"/>
        <w:spacing w:beforeLines="0" w:afterLines="0" w:line="240" w:lineRule="auto"/>
        <w:rPr>
          <w:rFonts w:cs="Times New Roman"/>
          <w:bCs w:val="0"/>
          <w:lang w:eastAsia="zh-CN"/>
        </w:rPr>
      </w:pPr>
    </w:p>
    <w:p w14:paraId="65F076A4">
      <w:pPr>
        <w:pStyle w:val="73"/>
        <w:spacing w:beforeLines="0" w:afterLines="0" w:line="240" w:lineRule="auto"/>
        <w:rPr>
          <w:rFonts w:cs="Times New Roman"/>
          <w:bCs w:val="0"/>
          <w:lang w:eastAsia="zh-CN"/>
        </w:rPr>
      </w:pPr>
    </w:p>
    <w:p w14:paraId="550450F6">
      <w:pPr>
        <w:pStyle w:val="73"/>
        <w:spacing w:beforeLines="0" w:afterLines="0" w:line="240" w:lineRule="auto"/>
        <w:rPr>
          <w:rFonts w:cs="Times New Roman"/>
          <w:bCs w:val="0"/>
          <w:lang w:eastAsia="zh-CN"/>
        </w:rPr>
      </w:pPr>
    </w:p>
    <w:p w14:paraId="7E115ECB">
      <w:pPr>
        <w:pStyle w:val="55"/>
        <w:jc w:val="center"/>
        <w:rPr>
          <w:rFonts w:hint="eastAsia" w:ascii="Times New Roman" w:hAnsi="Times New Roman" w:eastAsia="宋体" w:cs="Times New Roman"/>
          <w:b/>
          <w:bCs/>
          <w:kern w:val="2"/>
          <w:sz w:val="36"/>
          <w:szCs w:val="36"/>
          <w:lang w:eastAsia="zh-CN"/>
        </w:rPr>
      </w:pPr>
      <w:r>
        <w:rPr>
          <w:rFonts w:hint="eastAsia" w:ascii="Times New Roman" w:hAnsi="Times New Roman" w:eastAsia="宋体" w:cs="Times New Roman"/>
          <w:b/>
          <w:bCs/>
          <w:kern w:val="2"/>
          <w:sz w:val="36"/>
          <w:szCs w:val="36"/>
          <w:lang w:val="en-US" w:eastAsia="zh-CN"/>
        </w:rPr>
        <w:t>项目经理、项目实施负责人简历及业绩证明文件</w:t>
      </w:r>
    </w:p>
    <w:p w14:paraId="7B6E7BB1">
      <w:pPr>
        <w:pStyle w:val="73"/>
        <w:spacing w:beforeLines="0" w:afterLines="0" w:line="240" w:lineRule="auto"/>
        <w:rPr>
          <w:rFonts w:cs="Times New Roman"/>
          <w:bCs w:val="0"/>
          <w:lang w:eastAsia="zh-CN"/>
        </w:rPr>
      </w:pPr>
    </w:p>
    <w:p w14:paraId="588C2F82">
      <w:pPr>
        <w:pStyle w:val="73"/>
        <w:spacing w:beforeLines="0" w:afterLines="0" w:line="240" w:lineRule="auto"/>
        <w:rPr>
          <w:rFonts w:cs="Times New Roman"/>
          <w:bCs w:val="0"/>
          <w:lang w:eastAsia="zh-CN"/>
        </w:rPr>
      </w:pPr>
    </w:p>
    <w:p w14:paraId="150771F6">
      <w:pPr>
        <w:pStyle w:val="73"/>
        <w:spacing w:beforeLines="0" w:afterLines="0" w:line="240" w:lineRule="auto"/>
        <w:rPr>
          <w:rFonts w:cs="Times New Roman"/>
          <w:bCs w:val="0"/>
          <w:lang w:eastAsia="zh-CN"/>
        </w:rPr>
      </w:pPr>
    </w:p>
    <w:p w14:paraId="59AB94C6">
      <w:pPr>
        <w:pStyle w:val="73"/>
        <w:spacing w:beforeLines="0" w:afterLines="0" w:line="240" w:lineRule="auto"/>
        <w:rPr>
          <w:rFonts w:cs="Times New Roman"/>
          <w:bCs w:val="0"/>
          <w:lang w:eastAsia="zh-CN"/>
        </w:rPr>
      </w:pPr>
    </w:p>
    <w:p w14:paraId="267768CA">
      <w:pPr>
        <w:pStyle w:val="73"/>
        <w:spacing w:beforeLines="0" w:afterLines="0" w:line="240" w:lineRule="auto"/>
        <w:rPr>
          <w:rFonts w:cs="Times New Roman"/>
          <w:bCs w:val="0"/>
          <w:lang w:eastAsia="zh-CN"/>
        </w:rPr>
      </w:pPr>
    </w:p>
    <w:p w14:paraId="4DFBE6B2">
      <w:pPr>
        <w:pStyle w:val="73"/>
        <w:spacing w:beforeLines="0" w:afterLines="0" w:line="240" w:lineRule="auto"/>
        <w:rPr>
          <w:rFonts w:cs="Times New Roman"/>
          <w:bCs w:val="0"/>
          <w:lang w:eastAsia="zh-CN"/>
        </w:rPr>
      </w:pPr>
    </w:p>
    <w:p w14:paraId="53CE2849">
      <w:pPr>
        <w:pStyle w:val="73"/>
        <w:spacing w:beforeLines="0" w:afterLines="0" w:line="240" w:lineRule="auto"/>
        <w:rPr>
          <w:rFonts w:cs="Times New Roman"/>
          <w:bCs w:val="0"/>
          <w:lang w:eastAsia="zh-CN"/>
        </w:rPr>
      </w:pPr>
    </w:p>
    <w:p w14:paraId="26EC4865">
      <w:pPr>
        <w:pStyle w:val="73"/>
        <w:spacing w:beforeLines="0" w:afterLines="0" w:line="240" w:lineRule="auto"/>
        <w:rPr>
          <w:rFonts w:cs="Times New Roman"/>
          <w:bCs w:val="0"/>
          <w:lang w:eastAsia="zh-CN"/>
        </w:rPr>
      </w:pPr>
    </w:p>
    <w:p w14:paraId="51A2164B">
      <w:pPr>
        <w:pStyle w:val="73"/>
        <w:spacing w:beforeLines="0" w:afterLines="0" w:line="240" w:lineRule="auto"/>
        <w:rPr>
          <w:rFonts w:cs="Times New Roman"/>
          <w:bCs w:val="0"/>
          <w:lang w:eastAsia="zh-CN"/>
        </w:rPr>
      </w:pPr>
    </w:p>
    <w:p w14:paraId="523E1FA6">
      <w:pPr>
        <w:pStyle w:val="73"/>
        <w:spacing w:beforeLines="0" w:afterLines="0" w:line="240" w:lineRule="auto"/>
        <w:rPr>
          <w:rFonts w:cs="Times New Roman"/>
          <w:bCs w:val="0"/>
          <w:lang w:eastAsia="zh-CN"/>
        </w:rPr>
      </w:pPr>
    </w:p>
    <w:p w14:paraId="34510C6E">
      <w:pPr>
        <w:pStyle w:val="73"/>
        <w:spacing w:beforeLines="0" w:afterLines="0" w:line="240" w:lineRule="auto"/>
        <w:rPr>
          <w:rFonts w:cs="Times New Roman"/>
          <w:bCs w:val="0"/>
          <w:lang w:eastAsia="zh-CN"/>
        </w:rPr>
      </w:pPr>
    </w:p>
    <w:p w14:paraId="2456ABBC">
      <w:pPr>
        <w:pStyle w:val="73"/>
        <w:spacing w:beforeLines="0" w:afterLines="0" w:line="240" w:lineRule="auto"/>
        <w:rPr>
          <w:rFonts w:cs="Times New Roman"/>
          <w:bCs w:val="0"/>
          <w:lang w:eastAsia="zh-CN"/>
        </w:rPr>
      </w:pPr>
    </w:p>
    <w:p w14:paraId="2C07019F">
      <w:pPr>
        <w:pStyle w:val="73"/>
        <w:spacing w:beforeLines="0" w:afterLines="0" w:line="240" w:lineRule="auto"/>
        <w:rPr>
          <w:rFonts w:cs="Times New Roman"/>
          <w:bCs w:val="0"/>
          <w:lang w:eastAsia="zh-CN"/>
        </w:rPr>
      </w:pPr>
    </w:p>
    <w:p w14:paraId="23D5FEB0">
      <w:pPr>
        <w:pStyle w:val="73"/>
        <w:spacing w:beforeLines="0" w:afterLines="0" w:line="240" w:lineRule="auto"/>
        <w:rPr>
          <w:rFonts w:cs="Times New Roman"/>
          <w:bCs w:val="0"/>
          <w:lang w:eastAsia="zh-CN"/>
        </w:rPr>
      </w:pPr>
    </w:p>
    <w:p w14:paraId="63987C2E">
      <w:pPr>
        <w:pStyle w:val="73"/>
        <w:spacing w:beforeLines="0" w:afterLines="0" w:line="240" w:lineRule="auto"/>
        <w:rPr>
          <w:rFonts w:cs="Times New Roman"/>
          <w:bCs w:val="0"/>
          <w:lang w:eastAsia="zh-CN"/>
        </w:rPr>
      </w:pPr>
    </w:p>
    <w:p w14:paraId="6BE0CD2C">
      <w:pPr>
        <w:pStyle w:val="73"/>
        <w:spacing w:beforeLines="0" w:afterLines="0" w:line="240" w:lineRule="auto"/>
        <w:rPr>
          <w:rFonts w:cs="Times New Roman"/>
          <w:bCs w:val="0"/>
          <w:lang w:eastAsia="zh-CN"/>
        </w:rPr>
      </w:pPr>
    </w:p>
    <w:p w14:paraId="2A2BF05F">
      <w:pPr>
        <w:pStyle w:val="73"/>
        <w:spacing w:beforeLines="0" w:afterLines="0" w:line="240" w:lineRule="auto"/>
        <w:rPr>
          <w:rFonts w:cs="Times New Roman"/>
          <w:bCs w:val="0"/>
          <w:lang w:eastAsia="zh-CN"/>
        </w:rPr>
      </w:pPr>
    </w:p>
    <w:p w14:paraId="72B128D4">
      <w:pPr>
        <w:pStyle w:val="73"/>
        <w:spacing w:beforeLines="0" w:afterLines="0" w:line="240" w:lineRule="auto"/>
        <w:rPr>
          <w:rFonts w:cs="Times New Roman"/>
          <w:bCs w:val="0"/>
          <w:lang w:eastAsia="zh-CN"/>
        </w:rPr>
      </w:pPr>
    </w:p>
    <w:p w14:paraId="11782F53">
      <w:pPr>
        <w:pStyle w:val="73"/>
        <w:spacing w:beforeLines="0" w:afterLines="0" w:line="240" w:lineRule="auto"/>
        <w:rPr>
          <w:rFonts w:cs="Times New Roman"/>
          <w:bCs w:val="0"/>
          <w:lang w:eastAsia="zh-CN"/>
        </w:rPr>
      </w:pPr>
    </w:p>
    <w:p w14:paraId="4ABC429E">
      <w:pPr>
        <w:pStyle w:val="73"/>
        <w:spacing w:beforeLines="0" w:afterLines="0" w:line="240" w:lineRule="auto"/>
        <w:rPr>
          <w:rFonts w:cs="Times New Roman"/>
          <w:bCs w:val="0"/>
          <w:lang w:eastAsia="zh-CN"/>
        </w:rPr>
      </w:pPr>
    </w:p>
    <w:p w14:paraId="7DF71DE1">
      <w:pPr>
        <w:pStyle w:val="73"/>
        <w:spacing w:beforeLines="0" w:afterLines="0" w:line="240" w:lineRule="auto"/>
        <w:rPr>
          <w:rFonts w:cs="Times New Roman"/>
          <w:bCs w:val="0"/>
          <w:lang w:eastAsia="zh-CN"/>
        </w:rPr>
      </w:pPr>
    </w:p>
    <w:p w14:paraId="33547B78">
      <w:pPr>
        <w:pStyle w:val="73"/>
        <w:spacing w:beforeLines="0" w:afterLines="0" w:line="240" w:lineRule="auto"/>
        <w:rPr>
          <w:rFonts w:cs="Times New Roman"/>
          <w:bCs w:val="0"/>
          <w:lang w:eastAsia="zh-CN"/>
        </w:rPr>
      </w:pPr>
    </w:p>
    <w:p w14:paraId="4B117CCA">
      <w:pPr>
        <w:pStyle w:val="55"/>
        <w:jc w:val="center"/>
        <w:rPr>
          <w:rFonts w:ascii="Times New Roman" w:hAnsi="Times New Roman"/>
          <w:b/>
          <w:bCs/>
          <w:kern w:val="2"/>
          <w:sz w:val="36"/>
          <w:szCs w:val="36"/>
        </w:rPr>
      </w:pPr>
      <w:r>
        <w:rPr>
          <w:rFonts w:hint="eastAsia" w:ascii="Times New Roman" w:hAnsi="Times New Roman"/>
          <w:b/>
          <w:bCs/>
          <w:kern w:val="2"/>
          <w:sz w:val="36"/>
          <w:szCs w:val="36"/>
        </w:rPr>
        <w:t>技术方案</w:t>
      </w:r>
    </w:p>
    <w:p w14:paraId="78ED352F">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w:t>
      </w:r>
    </w:p>
    <w:p w14:paraId="3F1E4A2E">
      <w:pPr>
        <w:spacing w:line="360" w:lineRule="auto"/>
        <w:jc w:val="center"/>
        <w:rPr>
          <w:rFonts w:ascii="Times New Roman" w:hAnsi="Times New Roman" w:cs="Times New Roman"/>
          <w:b/>
          <w:sz w:val="36"/>
          <w:szCs w:val="36"/>
          <w:lang w:eastAsia="zh-CN"/>
        </w:rPr>
      </w:pPr>
    </w:p>
    <w:p w14:paraId="0810952A">
      <w:pPr>
        <w:spacing w:line="360" w:lineRule="auto"/>
        <w:jc w:val="center"/>
        <w:rPr>
          <w:rFonts w:ascii="Times New Roman" w:hAnsi="Times New Roman" w:cs="Times New Roman"/>
          <w:b/>
          <w:sz w:val="36"/>
          <w:szCs w:val="36"/>
          <w:lang w:eastAsia="zh-CN"/>
        </w:rPr>
      </w:pPr>
    </w:p>
    <w:p w14:paraId="7F37268C">
      <w:pPr>
        <w:spacing w:line="360" w:lineRule="auto"/>
        <w:jc w:val="center"/>
        <w:rPr>
          <w:rFonts w:ascii="Times New Roman" w:hAnsi="Times New Roman" w:cs="Times New Roman"/>
          <w:b/>
          <w:sz w:val="36"/>
          <w:szCs w:val="36"/>
          <w:lang w:eastAsia="zh-CN"/>
        </w:rPr>
      </w:pPr>
    </w:p>
    <w:p w14:paraId="01CED534">
      <w:pPr>
        <w:spacing w:line="360" w:lineRule="auto"/>
        <w:jc w:val="center"/>
        <w:rPr>
          <w:rFonts w:ascii="Times New Roman" w:hAnsi="Times New Roman" w:cs="Times New Roman"/>
          <w:b/>
          <w:sz w:val="36"/>
          <w:szCs w:val="36"/>
          <w:lang w:eastAsia="zh-CN"/>
        </w:rPr>
      </w:pPr>
    </w:p>
    <w:p w14:paraId="76D5E79B">
      <w:pPr>
        <w:spacing w:line="360" w:lineRule="auto"/>
        <w:jc w:val="center"/>
        <w:rPr>
          <w:rFonts w:ascii="Times New Roman" w:hAnsi="Times New Roman" w:cs="Times New Roman"/>
          <w:b/>
          <w:sz w:val="36"/>
          <w:szCs w:val="36"/>
          <w:lang w:eastAsia="zh-CN"/>
        </w:rPr>
      </w:pPr>
    </w:p>
    <w:p w14:paraId="07231C9A">
      <w:pPr>
        <w:spacing w:line="360" w:lineRule="auto"/>
        <w:jc w:val="center"/>
        <w:rPr>
          <w:rFonts w:ascii="Times New Roman" w:hAnsi="Times New Roman" w:cs="Times New Roman"/>
          <w:b/>
          <w:sz w:val="36"/>
          <w:szCs w:val="36"/>
          <w:lang w:eastAsia="zh-CN"/>
        </w:rPr>
      </w:pPr>
    </w:p>
    <w:p w14:paraId="690CEABA">
      <w:pPr>
        <w:spacing w:line="360" w:lineRule="auto"/>
        <w:jc w:val="center"/>
        <w:rPr>
          <w:rFonts w:ascii="Times New Roman" w:hAnsi="Times New Roman" w:cs="Times New Roman"/>
          <w:b/>
          <w:sz w:val="36"/>
          <w:szCs w:val="36"/>
          <w:lang w:eastAsia="zh-CN"/>
        </w:rPr>
      </w:pPr>
    </w:p>
    <w:p w14:paraId="2F95D6E9">
      <w:pPr>
        <w:spacing w:line="360" w:lineRule="auto"/>
        <w:jc w:val="center"/>
        <w:rPr>
          <w:rFonts w:ascii="Times New Roman" w:hAnsi="Times New Roman" w:cs="Times New Roman"/>
          <w:b/>
          <w:sz w:val="36"/>
          <w:szCs w:val="36"/>
          <w:lang w:eastAsia="zh-CN"/>
        </w:rPr>
      </w:pPr>
    </w:p>
    <w:p w14:paraId="22626D5B">
      <w:pPr>
        <w:spacing w:line="360" w:lineRule="auto"/>
        <w:jc w:val="center"/>
        <w:rPr>
          <w:rFonts w:ascii="Times New Roman" w:hAnsi="Times New Roman" w:cs="Times New Roman"/>
          <w:b/>
          <w:sz w:val="36"/>
          <w:szCs w:val="36"/>
          <w:lang w:eastAsia="zh-CN"/>
        </w:rPr>
      </w:pPr>
    </w:p>
    <w:p w14:paraId="350A0531">
      <w:pPr>
        <w:spacing w:line="360" w:lineRule="auto"/>
        <w:jc w:val="center"/>
        <w:rPr>
          <w:rFonts w:ascii="Times New Roman" w:hAnsi="Times New Roman" w:cs="Times New Roman"/>
          <w:b/>
          <w:sz w:val="36"/>
          <w:szCs w:val="36"/>
          <w:lang w:eastAsia="zh-CN"/>
        </w:rPr>
      </w:pPr>
    </w:p>
    <w:p w14:paraId="5C75E711">
      <w:pPr>
        <w:spacing w:line="360" w:lineRule="auto"/>
        <w:jc w:val="center"/>
        <w:rPr>
          <w:rFonts w:ascii="Times New Roman" w:hAnsi="Times New Roman" w:cs="Times New Roman"/>
          <w:b/>
          <w:sz w:val="36"/>
          <w:szCs w:val="36"/>
          <w:lang w:eastAsia="zh-CN"/>
        </w:rPr>
      </w:pPr>
    </w:p>
    <w:p w14:paraId="322E4ED8">
      <w:pPr>
        <w:spacing w:line="360" w:lineRule="auto"/>
        <w:jc w:val="center"/>
        <w:rPr>
          <w:rFonts w:ascii="Times New Roman" w:hAnsi="Times New Roman" w:cs="Times New Roman"/>
          <w:b/>
          <w:sz w:val="36"/>
          <w:szCs w:val="36"/>
          <w:lang w:eastAsia="zh-CN"/>
        </w:rPr>
      </w:pPr>
    </w:p>
    <w:p w14:paraId="35937BE0">
      <w:pPr>
        <w:spacing w:line="360" w:lineRule="auto"/>
        <w:jc w:val="center"/>
        <w:rPr>
          <w:rFonts w:ascii="Times New Roman" w:hAnsi="Times New Roman" w:cs="Times New Roman"/>
          <w:b/>
          <w:sz w:val="36"/>
          <w:szCs w:val="36"/>
          <w:lang w:eastAsia="zh-CN"/>
        </w:rPr>
      </w:pPr>
    </w:p>
    <w:p w14:paraId="76041E2F">
      <w:pPr>
        <w:spacing w:line="360" w:lineRule="auto"/>
        <w:jc w:val="center"/>
        <w:rPr>
          <w:rFonts w:ascii="Times New Roman" w:hAnsi="Times New Roman" w:cs="Times New Roman"/>
          <w:b/>
          <w:sz w:val="36"/>
          <w:szCs w:val="36"/>
          <w:lang w:eastAsia="zh-CN"/>
        </w:rPr>
      </w:pPr>
    </w:p>
    <w:p w14:paraId="1706DACD">
      <w:pPr>
        <w:spacing w:line="360" w:lineRule="auto"/>
        <w:jc w:val="center"/>
        <w:rPr>
          <w:rFonts w:ascii="Times New Roman" w:hAnsi="Times New Roman" w:cs="Times New Roman"/>
          <w:b/>
          <w:sz w:val="36"/>
          <w:szCs w:val="36"/>
          <w:lang w:eastAsia="zh-CN"/>
        </w:rPr>
      </w:pPr>
    </w:p>
    <w:p w14:paraId="7D04A956">
      <w:pPr>
        <w:spacing w:line="360" w:lineRule="auto"/>
        <w:jc w:val="center"/>
        <w:rPr>
          <w:rFonts w:ascii="Times New Roman" w:hAnsi="Times New Roman" w:cs="Times New Roman"/>
          <w:b/>
          <w:sz w:val="36"/>
          <w:szCs w:val="36"/>
          <w:lang w:eastAsia="zh-CN"/>
        </w:rPr>
      </w:pPr>
    </w:p>
    <w:p w14:paraId="36E1314B">
      <w:pPr>
        <w:spacing w:line="360" w:lineRule="auto"/>
        <w:jc w:val="center"/>
        <w:rPr>
          <w:rFonts w:ascii="Times New Roman" w:hAnsi="Times New Roman" w:cs="Times New Roman"/>
          <w:b/>
          <w:sz w:val="36"/>
          <w:szCs w:val="36"/>
          <w:lang w:eastAsia="zh-CN"/>
        </w:rPr>
      </w:pPr>
    </w:p>
    <w:p w14:paraId="782CD732">
      <w:pPr>
        <w:spacing w:line="360" w:lineRule="auto"/>
        <w:jc w:val="center"/>
        <w:rPr>
          <w:rFonts w:ascii="Times New Roman" w:hAnsi="Times New Roman" w:cs="Times New Roman"/>
          <w:b/>
          <w:sz w:val="36"/>
          <w:szCs w:val="36"/>
          <w:lang w:eastAsia="zh-CN"/>
        </w:rPr>
      </w:pPr>
    </w:p>
    <w:p w14:paraId="6B4887E8">
      <w:pPr>
        <w:spacing w:line="360" w:lineRule="auto"/>
        <w:jc w:val="center"/>
        <w:rPr>
          <w:rFonts w:ascii="Times New Roman" w:hAnsi="Times New Roman" w:cs="Times New Roman"/>
          <w:b/>
          <w:sz w:val="36"/>
          <w:szCs w:val="36"/>
          <w:lang w:eastAsia="zh-CN"/>
        </w:rPr>
      </w:pPr>
    </w:p>
    <w:p w14:paraId="5892BB1A">
      <w:pPr>
        <w:spacing w:line="360" w:lineRule="auto"/>
        <w:jc w:val="center"/>
        <w:rPr>
          <w:rFonts w:ascii="Times New Roman" w:hAnsi="Times New Roman" w:cs="Times New Roman"/>
          <w:b/>
          <w:sz w:val="36"/>
          <w:szCs w:val="36"/>
          <w:lang w:eastAsia="zh-CN"/>
        </w:rPr>
      </w:pPr>
    </w:p>
    <w:p w14:paraId="0461EE21">
      <w:pPr>
        <w:pStyle w:val="55"/>
      </w:pPr>
    </w:p>
    <w:p w14:paraId="53517BBD">
      <w:pPr>
        <w:pStyle w:val="55"/>
        <w:jc w:val="center"/>
        <w:rPr>
          <w:rFonts w:hint="eastAsia" w:ascii="Times New Roman" w:hAnsi="Times New Roman" w:eastAsia="宋体" w:cs="Times New Roman"/>
          <w:b/>
          <w:bCs/>
          <w:kern w:val="2"/>
          <w:sz w:val="36"/>
          <w:szCs w:val="36"/>
          <w:lang w:eastAsia="zh-CN"/>
        </w:rPr>
      </w:pPr>
      <w:r>
        <w:rPr>
          <w:rFonts w:hint="eastAsia" w:ascii="Times New Roman" w:hAnsi="Times New Roman" w:eastAsia="宋体" w:cs="Times New Roman"/>
          <w:b/>
          <w:bCs/>
          <w:kern w:val="2"/>
          <w:sz w:val="36"/>
          <w:szCs w:val="36"/>
          <w:lang w:val="en-US" w:eastAsia="zh-CN"/>
        </w:rPr>
        <w:t>项目组织及实施方案</w:t>
      </w:r>
    </w:p>
    <w:p w14:paraId="08C1D80C">
      <w:pPr>
        <w:pStyle w:val="55"/>
      </w:pPr>
    </w:p>
    <w:p w14:paraId="52539EDA">
      <w:pPr>
        <w:pStyle w:val="55"/>
      </w:pPr>
    </w:p>
    <w:p w14:paraId="5B3007CC">
      <w:pPr>
        <w:spacing w:line="360" w:lineRule="auto"/>
        <w:jc w:val="center"/>
        <w:rPr>
          <w:rFonts w:hint="eastAsia" w:ascii="Times New Roman" w:hAnsi="Times New Roman" w:cs="Times New Roman"/>
          <w:b/>
          <w:sz w:val="36"/>
          <w:szCs w:val="36"/>
          <w:lang w:eastAsia="zh-CN"/>
        </w:rPr>
      </w:pPr>
    </w:p>
    <w:p w14:paraId="7791F759">
      <w:pPr>
        <w:spacing w:line="360" w:lineRule="auto"/>
        <w:jc w:val="center"/>
        <w:rPr>
          <w:rFonts w:hint="eastAsia" w:ascii="Times New Roman" w:hAnsi="Times New Roman" w:cs="Times New Roman"/>
          <w:b/>
          <w:sz w:val="36"/>
          <w:szCs w:val="36"/>
          <w:lang w:eastAsia="zh-CN"/>
        </w:rPr>
      </w:pPr>
    </w:p>
    <w:p w14:paraId="74E01C74">
      <w:pPr>
        <w:spacing w:line="360" w:lineRule="auto"/>
        <w:jc w:val="center"/>
        <w:rPr>
          <w:rFonts w:hint="eastAsia" w:ascii="Times New Roman" w:hAnsi="Times New Roman" w:cs="Times New Roman"/>
          <w:b/>
          <w:sz w:val="36"/>
          <w:szCs w:val="36"/>
          <w:lang w:eastAsia="zh-CN"/>
        </w:rPr>
      </w:pPr>
    </w:p>
    <w:p w14:paraId="0860AE39">
      <w:pPr>
        <w:spacing w:line="360" w:lineRule="auto"/>
        <w:jc w:val="center"/>
        <w:rPr>
          <w:rFonts w:hint="eastAsia" w:ascii="Times New Roman" w:hAnsi="Times New Roman" w:cs="Times New Roman"/>
          <w:b/>
          <w:sz w:val="36"/>
          <w:szCs w:val="36"/>
          <w:lang w:eastAsia="zh-CN"/>
        </w:rPr>
      </w:pPr>
    </w:p>
    <w:p w14:paraId="73F69DBA">
      <w:pPr>
        <w:spacing w:line="360" w:lineRule="auto"/>
        <w:jc w:val="center"/>
        <w:rPr>
          <w:rFonts w:hint="eastAsia" w:ascii="Times New Roman" w:hAnsi="Times New Roman" w:cs="Times New Roman"/>
          <w:b/>
          <w:sz w:val="36"/>
          <w:szCs w:val="36"/>
          <w:lang w:eastAsia="zh-CN"/>
        </w:rPr>
      </w:pPr>
    </w:p>
    <w:p w14:paraId="75F09BA2">
      <w:pPr>
        <w:spacing w:line="360" w:lineRule="auto"/>
        <w:jc w:val="center"/>
        <w:rPr>
          <w:rFonts w:hint="eastAsia" w:ascii="Times New Roman" w:hAnsi="Times New Roman" w:cs="Times New Roman"/>
          <w:b/>
          <w:sz w:val="36"/>
          <w:szCs w:val="36"/>
          <w:lang w:eastAsia="zh-CN"/>
        </w:rPr>
      </w:pPr>
    </w:p>
    <w:p w14:paraId="6067926F">
      <w:pPr>
        <w:spacing w:line="360" w:lineRule="auto"/>
        <w:jc w:val="center"/>
        <w:rPr>
          <w:rFonts w:hint="eastAsia" w:ascii="Times New Roman" w:hAnsi="Times New Roman" w:cs="Times New Roman"/>
          <w:b/>
          <w:sz w:val="36"/>
          <w:szCs w:val="36"/>
          <w:lang w:eastAsia="zh-CN"/>
        </w:rPr>
      </w:pPr>
    </w:p>
    <w:p w14:paraId="4F87EC6B">
      <w:pPr>
        <w:spacing w:line="360" w:lineRule="auto"/>
        <w:jc w:val="center"/>
        <w:rPr>
          <w:rFonts w:hint="eastAsia" w:ascii="Times New Roman" w:hAnsi="Times New Roman" w:cs="Times New Roman"/>
          <w:b/>
          <w:sz w:val="36"/>
          <w:szCs w:val="36"/>
          <w:lang w:eastAsia="zh-CN"/>
        </w:rPr>
      </w:pPr>
    </w:p>
    <w:p w14:paraId="35712ECA">
      <w:pPr>
        <w:spacing w:line="360" w:lineRule="auto"/>
        <w:jc w:val="center"/>
        <w:rPr>
          <w:rFonts w:hint="eastAsia" w:ascii="Times New Roman" w:hAnsi="Times New Roman" w:cs="Times New Roman"/>
          <w:b/>
          <w:sz w:val="36"/>
          <w:szCs w:val="36"/>
          <w:lang w:eastAsia="zh-CN"/>
        </w:rPr>
      </w:pPr>
    </w:p>
    <w:p w14:paraId="15678A9C">
      <w:pPr>
        <w:spacing w:line="360" w:lineRule="auto"/>
        <w:jc w:val="center"/>
        <w:rPr>
          <w:rFonts w:hint="eastAsia" w:ascii="Times New Roman" w:hAnsi="Times New Roman" w:cs="Times New Roman"/>
          <w:b/>
          <w:sz w:val="36"/>
          <w:szCs w:val="36"/>
          <w:lang w:eastAsia="zh-CN"/>
        </w:rPr>
      </w:pPr>
    </w:p>
    <w:p w14:paraId="12B3ED9C">
      <w:pPr>
        <w:spacing w:line="360" w:lineRule="auto"/>
        <w:jc w:val="center"/>
        <w:rPr>
          <w:rFonts w:hint="eastAsia" w:ascii="Times New Roman" w:hAnsi="Times New Roman" w:cs="Times New Roman"/>
          <w:b/>
          <w:sz w:val="36"/>
          <w:szCs w:val="36"/>
          <w:lang w:eastAsia="zh-CN"/>
        </w:rPr>
      </w:pPr>
    </w:p>
    <w:p w14:paraId="51FAF90C">
      <w:pPr>
        <w:spacing w:line="360" w:lineRule="auto"/>
        <w:jc w:val="center"/>
        <w:rPr>
          <w:rFonts w:hint="eastAsia" w:ascii="Times New Roman" w:hAnsi="Times New Roman" w:cs="Times New Roman"/>
          <w:b/>
          <w:sz w:val="36"/>
          <w:szCs w:val="36"/>
          <w:lang w:eastAsia="zh-CN"/>
        </w:rPr>
      </w:pPr>
    </w:p>
    <w:p w14:paraId="26448FC4">
      <w:pPr>
        <w:spacing w:line="360" w:lineRule="auto"/>
        <w:jc w:val="center"/>
        <w:rPr>
          <w:rFonts w:hint="eastAsia" w:ascii="Times New Roman" w:hAnsi="Times New Roman" w:cs="Times New Roman"/>
          <w:b/>
          <w:sz w:val="36"/>
          <w:szCs w:val="36"/>
          <w:lang w:eastAsia="zh-CN"/>
        </w:rPr>
      </w:pPr>
    </w:p>
    <w:p w14:paraId="2BAB8D98">
      <w:pPr>
        <w:spacing w:line="360" w:lineRule="auto"/>
        <w:jc w:val="center"/>
        <w:rPr>
          <w:rFonts w:hint="eastAsia" w:ascii="Times New Roman" w:hAnsi="Times New Roman" w:cs="Times New Roman"/>
          <w:b/>
          <w:sz w:val="36"/>
          <w:szCs w:val="36"/>
          <w:lang w:eastAsia="zh-CN"/>
        </w:rPr>
      </w:pPr>
    </w:p>
    <w:p w14:paraId="6D02E310">
      <w:pPr>
        <w:spacing w:line="360" w:lineRule="auto"/>
        <w:jc w:val="center"/>
        <w:rPr>
          <w:rFonts w:hint="eastAsia" w:ascii="Times New Roman" w:hAnsi="Times New Roman" w:cs="Times New Roman"/>
          <w:b/>
          <w:sz w:val="36"/>
          <w:szCs w:val="36"/>
          <w:lang w:eastAsia="zh-CN"/>
        </w:rPr>
      </w:pPr>
    </w:p>
    <w:p w14:paraId="2490E6F7">
      <w:pPr>
        <w:spacing w:line="360" w:lineRule="auto"/>
        <w:jc w:val="center"/>
        <w:rPr>
          <w:rFonts w:hint="eastAsia" w:ascii="Times New Roman" w:hAnsi="Times New Roman" w:cs="Times New Roman"/>
          <w:b/>
          <w:sz w:val="36"/>
          <w:szCs w:val="36"/>
          <w:lang w:eastAsia="zh-CN"/>
        </w:rPr>
      </w:pPr>
    </w:p>
    <w:p w14:paraId="7F2EE552">
      <w:pPr>
        <w:spacing w:line="360" w:lineRule="auto"/>
        <w:jc w:val="center"/>
        <w:rPr>
          <w:rFonts w:hint="eastAsia" w:ascii="Times New Roman" w:hAnsi="Times New Roman" w:cs="Times New Roman"/>
          <w:b/>
          <w:sz w:val="36"/>
          <w:szCs w:val="36"/>
          <w:lang w:eastAsia="zh-CN"/>
        </w:rPr>
      </w:pPr>
    </w:p>
    <w:p w14:paraId="170AA33A">
      <w:pPr>
        <w:spacing w:line="360" w:lineRule="auto"/>
        <w:jc w:val="center"/>
        <w:rPr>
          <w:rFonts w:hint="eastAsia" w:ascii="Times New Roman" w:hAnsi="Times New Roman" w:cs="Times New Roman"/>
          <w:b/>
          <w:sz w:val="36"/>
          <w:szCs w:val="36"/>
          <w:lang w:eastAsia="zh-CN"/>
        </w:rPr>
      </w:pPr>
    </w:p>
    <w:p w14:paraId="1FF1D11A">
      <w:pPr>
        <w:spacing w:line="360" w:lineRule="auto"/>
        <w:jc w:val="center"/>
        <w:rPr>
          <w:rFonts w:hint="eastAsia" w:ascii="Times New Roman" w:hAnsi="Times New Roman" w:cs="Times New Roman"/>
          <w:b/>
          <w:sz w:val="36"/>
          <w:szCs w:val="36"/>
          <w:lang w:eastAsia="zh-CN"/>
        </w:rPr>
      </w:pPr>
    </w:p>
    <w:p w14:paraId="48B1AEF6">
      <w:pPr>
        <w:spacing w:line="360" w:lineRule="auto"/>
        <w:jc w:val="center"/>
        <w:rPr>
          <w:rFonts w:hint="eastAsia" w:ascii="Times New Roman" w:hAnsi="Times New Roman" w:cs="Times New Roman"/>
          <w:b/>
          <w:sz w:val="36"/>
          <w:szCs w:val="36"/>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color w:val="auto"/>
          <w:sz w:val="28"/>
          <w:szCs w:val="28"/>
          <w:u w:val="single"/>
          <w:lang w:eastAsia="zh-CN"/>
        </w:rPr>
        <w:t>PTA装置先进控制（APC）软件包采购及工程服务</w:t>
      </w:r>
      <w:r>
        <w:rPr>
          <w:rFonts w:hint="eastAsia" w:ascii="Times New Roman" w:hAnsi="ˎ̥"/>
          <w:color w:val="auto"/>
          <w:sz w:val="28"/>
          <w:szCs w:val="28"/>
          <w:lang w:eastAsia="zh-CN"/>
        </w:rPr>
        <w:t>采</w:t>
      </w:r>
      <w:r>
        <w:rPr>
          <w:rFonts w:hint="eastAsia" w:ascii="Times New Roman" w:hAnsi="ˎ̥"/>
          <w:sz w:val="28"/>
          <w:szCs w:val="28"/>
          <w:lang w:eastAsia="zh-CN"/>
        </w:rPr>
        <w:t>购文件的全部内容后，我方愿以以下报价，严格按照采购文件的要求，交付本项目并维修其中的任何缺陷。</w:t>
      </w:r>
    </w:p>
    <w:tbl>
      <w:tblPr>
        <w:tblStyle w:val="46"/>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w:t>
            </w:r>
            <w:r>
              <w:rPr>
                <w:rFonts w:hint="eastAsia" w:ascii="Times New Roman" w:hAnsi="Times New Roman"/>
                <w:sz w:val="28"/>
                <w:szCs w:val="28"/>
                <w:u w:val="single"/>
                <w:lang w:val="en-US" w:eastAsia="zh-CN"/>
              </w:rPr>
              <w:t>含税</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具体各项报价清单如下：</w:t>
            </w:r>
          </w:p>
          <w:tbl>
            <w:tblPr>
              <w:tblStyle w:val="46"/>
              <w:tblW w:w="7684" w:type="dxa"/>
              <w:jc w:val="center"/>
              <w:tblLayout w:type="autofit"/>
              <w:tblCellMar>
                <w:top w:w="0" w:type="dxa"/>
                <w:left w:w="108" w:type="dxa"/>
                <w:bottom w:w="0" w:type="dxa"/>
                <w:right w:w="108" w:type="dxa"/>
              </w:tblCellMar>
            </w:tblPr>
            <w:tblGrid>
              <w:gridCol w:w="1080"/>
              <w:gridCol w:w="2320"/>
              <w:gridCol w:w="1695"/>
              <w:gridCol w:w="1370"/>
              <w:gridCol w:w="1219"/>
            </w:tblGrid>
            <w:tr w14:paraId="14E80D3A">
              <w:tblPrEx>
                <w:tblCellMar>
                  <w:top w:w="0" w:type="dxa"/>
                  <w:left w:w="108" w:type="dxa"/>
                  <w:bottom w:w="0" w:type="dxa"/>
                  <w:right w:w="108" w:type="dxa"/>
                </w:tblCellMar>
              </w:tblPrEx>
              <w:trPr>
                <w:trHeight w:val="54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F08B3F">
                  <w:pPr>
                    <w:widowControl/>
                    <w:autoSpaceDE/>
                    <w:autoSpaceDN/>
                    <w:jc w:val="center"/>
                    <w:rPr>
                      <w:b/>
                      <w:bCs/>
                      <w:color w:val="auto"/>
                      <w:lang w:eastAsia="zh-CN"/>
                    </w:rPr>
                  </w:pPr>
                  <w:r>
                    <w:rPr>
                      <w:rFonts w:hint="eastAsia"/>
                      <w:b/>
                      <w:bCs/>
                      <w:color w:val="auto"/>
                      <w:lang w:eastAsia="zh-CN"/>
                    </w:rPr>
                    <w:t>序号</w:t>
                  </w:r>
                </w:p>
              </w:tc>
              <w:tc>
                <w:tcPr>
                  <w:tcW w:w="2320" w:type="dxa"/>
                  <w:tcBorders>
                    <w:top w:val="single" w:color="auto" w:sz="4" w:space="0"/>
                    <w:left w:val="nil"/>
                    <w:bottom w:val="single" w:color="auto" w:sz="4" w:space="0"/>
                    <w:right w:val="single" w:color="auto" w:sz="4" w:space="0"/>
                  </w:tcBorders>
                  <w:shd w:val="clear" w:color="auto" w:fill="auto"/>
                  <w:noWrap/>
                  <w:vAlign w:val="bottom"/>
                </w:tcPr>
                <w:p w14:paraId="181AB114">
                  <w:pPr>
                    <w:widowControl/>
                    <w:autoSpaceDE/>
                    <w:autoSpaceDN/>
                    <w:jc w:val="center"/>
                    <w:rPr>
                      <w:b/>
                      <w:bCs/>
                      <w:color w:val="auto"/>
                      <w:lang w:eastAsia="zh-CN"/>
                    </w:rPr>
                  </w:pPr>
                  <w:r>
                    <w:rPr>
                      <w:rFonts w:hint="eastAsia"/>
                      <w:b/>
                      <w:bCs/>
                      <w:color w:val="auto"/>
                      <w:lang w:val="en-US" w:eastAsia="zh-CN"/>
                    </w:rPr>
                    <w:t>项目</w:t>
                  </w:r>
                  <w:r>
                    <w:rPr>
                      <w:rFonts w:hint="eastAsia"/>
                      <w:b/>
                      <w:bCs/>
                      <w:color w:val="auto"/>
                      <w:lang w:eastAsia="zh-CN"/>
                    </w:rPr>
                    <w:t>名称</w:t>
                  </w:r>
                </w:p>
              </w:tc>
              <w:tc>
                <w:tcPr>
                  <w:tcW w:w="1695" w:type="dxa"/>
                  <w:tcBorders>
                    <w:top w:val="single" w:color="auto" w:sz="4" w:space="0"/>
                    <w:left w:val="nil"/>
                    <w:bottom w:val="single" w:color="auto" w:sz="4" w:space="0"/>
                    <w:right w:val="single" w:color="auto" w:sz="4" w:space="0"/>
                  </w:tcBorders>
                  <w:shd w:val="clear" w:color="auto" w:fill="auto"/>
                  <w:noWrap/>
                  <w:vAlign w:val="bottom"/>
                </w:tcPr>
                <w:p w14:paraId="530800CA">
                  <w:pPr>
                    <w:widowControl/>
                    <w:autoSpaceDE/>
                    <w:autoSpaceDN/>
                    <w:jc w:val="center"/>
                    <w:rPr>
                      <w:b/>
                      <w:bCs/>
                      <w:color w:val="auto"/>
                      <w:lang w:eastAsia="zh-CN"/>
                    </w:rPr>
                  </w:pPr>
                  <w:r>
                    <w:rPr>
                      <w:rFonts w:hint="eastAsia"/>
                      <w:b/>
                      <w:bCs/>
                      <w:color w:val="auto"/>
                      <w:lang w:eastAsia="zh-CN"/>
                    </w:rPr>
                    <w:t>费用（元）</w:t>
                  </w:r>
                </w:p>
              </w:tc>
              <w:tc>
                <w:tcPr>
                  <w:tcW w:w="1370" w:type="dxa"/>
                  <w:tcBorders>
                    <w:top w:val="single" w:color="auto" w:sz="4" w:space="0"/>
                    <w:left w:val="nil"/>
                    <w:bottom w:val="single" w:color="auto" w:sz="4" w:space="0"/>
                    <w:right w:val="single" w:color="auto" w:sz="4" w:space="0"/>
                  </w:tcBorders>
                  <w:shd w:val="clear" w:color="auto" w:fill="auto"/>
                  <w:vAlign w:val="bottom"/>
                </w:tcPr>
                <w:p w14:paraId="75132BE2">
                  <w:pPr>
                    <w:widowControl/>
                    <w:autoSpaceDE/>
                    <w:autoSpaceDN/>
                    <w:jc w:val="center"/>
                    <w:rPr>
                      <w:b/>
                      <w:bCs/>
                      <w:color w:val="auto"/>
                      <w:lang w:eastAsia="zh-CN"/>
                    </w:rPr>
                  </w:pPr>
                  <w:r>
                    <w:rPr>
                      <w:rFonts w:hint="eastAsia"/>
                      <w:b/>
                      <w:bCs/>
                      <w:color w:val="auto"/>
                      <w:lang w:eastAsia="zh-CN"/>
                    </w:rPr>
                    <w:t>所含税率</w:t>
                  </w:r>
                </w:p>
              </w:tc>
              <w:tc>
                <w:tcPr>
                  <w:tcW w:w="1219" w:type="dxa"/>
                  <w:tcBorders>
                    <w:top w:val="single" w:color="auto" w:sz="4" w:space="0"/>
                    <w:left w:val="nil"/>
                    <w:bottom w:val="single" w:color="auto" w:sz="4" w:space="0"/>
                    <w:right w:val="single" w:color="auto" w:sz="4" w:space="0"/>
                  </w:tcBorders>
                  <w:shd w:val="clear" w:color="auto" w:fill="auto"/>
                  <w:noWrap/>
                  <w:vAlign w:val="bottom"/>
                </w:tcPr>
                <w:p w14:paraId="7B876985">
                  <w:pPr>
                    <w:widowControl/>
                    <w:autoSpaceDE/>
                    <w:autoSpaceDN/>
                    <w:jc w:val="center"/>
                    <w:rPr>
                      <w:b/>
                      <w:bCs/>
                      <w:color w:val="auto"/>
                      <w:lang w:eastAsia="zh-CN"/>
                    </w:rPr>
                  </w:pPr>
                  <w:r>
                    <w:rPr>
                      <w:rFonts w:hint="eastAsia"/>
                      <w:b/>
                      <w:bCs/>
                      <w:color w:val="auto"/>
                      <w:lang w:eastAsia="zh-CN"/>
                    </w:rPr>
                    <w:t>备注</w:t>
                  </w:r>
                </w:p>
              </w:tc>
            </w:tr>
            <w:tr w14:paraId="4C09362A">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255031EE">
                  <w:pPr>
                    <w:widowControl/>
                    <w:autoSpaceDE/>
                    <w:autoSpaceDN/>
                    <w:jc w:val="center"/>
                    <w:rPr>
                      <w:rFonts w:hint="default"/>
                      <w:b/>
                      <w:bCs/>
                      <w:color w:val="auto"/>
                      <w:lang w:val="en-US" w:eastAsia="zh-CN"/>
                    </w:rPr>
                  </w:pPr>
                  <w:r>
                    <w:rPr>
                      <w:rFonts w:hint="eastAsia"/>
                      <w:b/>
                      <w:bCs/>
                      <w:color w:val="auto"/>
                      <w:lang w:val="en-US" w:eastAsia="zh-CN"/>
                    </w:rPr>
                    <w:t>1</w:t>
                  </w:r>
                </w:p>
              </w:tc>
              <w:tc>
                <w:tcPr>
                  <w:tcW w:w="2320" w:type="dxa"/>
                  <w:tcBorders>
                    <w:top w:val="nil"/>
                    <w:left w:val="nil"/>
                    <w:bottom w:val="single" w:color="auto" w:sz="4" w:space="0"/>
                    <w:right w:val="single" w:color="auto" w:sz="4" w:space="0"/>
                  </w:tcBorders>
                  <w:shd w:val="clear" w:color="auto" w:fill="auto"/>
                  <w:noWrap/>
                  <w:vAlign w:val="bottom"/>
                </w:tcPr>
                <w:p w14:paraId="1098325C">
                  <w:pPr>
                    <w:widowControl/>
                    <w:autoSpaceDE/>
                    <w:autoSpaceDN/>
                    <w:jc w:val="center"/>
                    <w:rPr>
                      <w:b/>
                      <w:bCs/>
                      <w:color w:val="auto"/>
                      <w:lang w:eastAsia="zh-CN"/>
                    </w:rPr>
                  </w:pPr>
                </w:p>
              </w:tc>
              <w:tc>
                <w:tcPr>
                  <w:tcW w:w="1695" w:type="dxa"/>
                  <w:tcBorders>
                    <w:top w:val="nil"/>
                    <w:left w:val="nil"/>
                    <w:bottom w:val="single" w:color="auto" w:sz="4" w:space="0"/>
                    <w:right w:val="single" w:color="auto" w:sz="4" w:space="0"/>
                  </w:tcBorders>
                  <w:shd w:val="clear" w:color="auto" w:fill="auto"/>
                  <w:noWrap/>
                  <w:vAlign w:val="bottom"/>
                </w:tcPr>
                <w:p w14:paraId="39D09E0F">
                  <w:pPr>
                    <w:widowControl/>
                    <w:autoSpaceDE/>
                    <w:autoSpaceDN/>
                    <w:jc w:val="center"/>
                    <w:rPr>
                      <w:b/>
                      <w:bCs/>
                      <w:color w:val="auto"/>
                      <w:lang w:eastAsia="zh-CN"/>
                    </w:rPr>
                  </w:pPr>
                </w:p>
              </w:tc>
              <w:tc>
                <w:tcPr>
                  <w:tcW w:w="1370" w:type="dxa"/>
                  <w:tcBorders>
                    <w:top w:val="nil"/>
                    <w:left w:val="nil"/>
                    <w:bottom w:val="single" w:color="auto" w:sz="4" w:space="0"/>
                    <w:right w:val="single" w:color="auto" w:sz="4" w:space="0"/>
                  </w:tcBorders>
                  <w:shd w:val="clear" w:color="auto" w:fill="auto"/>
                  <w:vAlign w:val="bottom"/>
                </w:tcPr>
                <w:p w14:paraId="134C667D">
                  <w:pPr>
                    <w:widowControl/>
                    <w:autoSpaceDE/>
                    <w:autoSpaceDN/>
                    <w:jc w:val="center"/>
                    <w:rPr>
                      <w:b/>
                      <w:bCs/>
                      <w:color w:val="auto"/>
                      <w:lang w:eastAsia="zh-CN"/>
                    </w:rPr>
                  </w:pPr>
                </w:p>
              </w:tc>
              <w:tc>
                <w:tcPr>
                  <w:tcW w:w="1219" w:type="dxa"/>
                  <w:tcBorders>
                    <w:top w:val="nil"/>
                    <w:left w:val="nil"/>
                    <w:bottom w:val="single" w:color="auto" w:sz="4" w:space="0"/>
                    <w:right w:val="single" w:color="auto" w:sz="4" w:space="0"/>
                  </w:tcBorders>
                  <w:shd w:val="clear" w:color="auto" w:fill="auto"/>
                  <w:noWrap/>
                  <w:vAlign w:val="bottom"/>
                </w:tcPr>
                <w:p w14:paraId="7504965C">
                  <w:pPr>
                    <w:widowControl/>
                    <w:autoSpaceDE/>
                    <w:autoSpaceDN/>
                    <w:jc w:val="center"/>
                    <w:rPr>
                      <w:b/>
                      <w:bCs/>
                      <w:color w:val="auto"/>
                      <w:lang w:eastAsia="zh-CN"/>
                    </w:rPr>
                  </w:pPr>
                </w:p>
              </w:tc>
            </w:tr>
            <w:tr w14:paraId="63F6A8B1">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186FD515">
                  <w:pPr>
                    <w:widowControl/>
                    <w:autoSpaceDE/>
                    <w:autoSpaceDN/>
                    <w:jc w:val="center"/>
                    <w:rPr>
                      <w:rFonts w:hint="default"/>
                      <w:b/>
                      <w:bCs/>
                      <w:color w:val="auto"/>
                      <w:lang w:val="en-US" w:eastAsia="zh-CN"/>
                    </w:rPr>
                  </w:pPr>
                  <w:r>
                    <w:rPr>
                      <w:rFonts w:hint="eastAsia"/>
                      <w:b/>
                      <w:bCs/>
                      <w:color w:val="auto"/>
                      <w:lang w:val="en-US" w:eastAsia="zh-CN"/>
                    </w:rPr>
                    <w:t>2</w:t>
                  </w:r>
                </w:p>
              </w:tc>
              <w:tc>
                <w:tcPr>
                  <w:tcW w:w="2320" w:type="dxa"/>
                  <w:tcBorders>
                    <w:top w:val="nil"/>
                    <w:left w:val="nil"/>
                    <w:bottom w:val="single" w:color="auto" w:sz="4" w:space="0"/>
                    <w:right w:val="single" w:color="auto" w:sz="4" w:space="0"/>
                  </w:tcBorders>
                  <w:shd w:val="clear" w:color="auto" w:fill="auto"/>
                  <w:noWrap/>
                  <w:vAlign w:val="bottom"/>
                </w:tcPr>
                <w:p w14:paraId="154E48B8">
                  <w:pPr>
                    <w:widowControl/>
                    <w:autoSpaceDE/>
                    <w:autoSpaceDN/>
                    <w:jc w:val="center"/>
                    <w:rPr>
                      <w:b/>
                      <w:bCs/>
                      <w:color w:val="auto"/>
                      <w:lang w:eastAsia="zh-CN"/>
                    </w:rPr>
                  </w:pPr>
                </w:p>
              </w:tc>
              <w:tc>
                <w:tcPr>
                  <w:tcW w:w="1695" w:type="dxa"/>
                  <w:tcBorders>
                    <w:top w:val="nil"/>
                    <w:left w:val="nil"/>
                    <w:bottom w:val="single" w:color="auto" w:sz="4" w:space="0"/>
                    <w:right w:val="single" w:color="auto" w:sz="4" w:space="0"/>
                  </w:tcBorders>
                  <w:shd w:val="clear" w:color="auto" w:fill="auto"/>
                  <w:noWrap/>
                  <w:vAlign w:val="bottom"/>
                </w:tcPr>
                <w:p w14:paraId="77487642">
                  <w:pPr>
                    <w:widowControl/>
                    <w:autoSpaceDE/>
                    <w:autoSpaceDN/>
                    <w:jc w:val="center"/>
                    <w:rPr>
                      <w:b/>
                      <w:bCs/>
                      <w:color w:val="auto"/>
                      <w:lang w:eastAsia="zh-CN"/>
                    </w:rPr>
                  </w:pPr>
                </w:p>
              </w:tc>
              <w:tc>
                <w:tcPr>
                  <w:tcW w:w="1370" w:type="dxa"/>
                  <w:tcBorders>
                    <w:top w:val="nil"/>
                    <w:left w:val="nil"/>
                    <w:bottom w:val="single" w:color="auto" w:sz="4" w:space="0"/>
                    <w:right w:val="single" w:color="auto" w:sz="4" w:space="0"/>
                  </w:tcBorders>
                  <w:shd w:val="clear" w:color="auto" w:fill="auto"/>
                  <w:vAlign w:val="bottom"/>
                </w:tcPr>
                <w:p w14:paraId="31EDC3C1">
                  <w:pPr>
                    <w:widowControl/>
                    <w:autoSpaceDE/>
                    <w:autoSpaceDN/>
                    <w:jc w:val="center"/>
                    <w:rPr>
                      <w:b/>
                      <w:bCs/>
                      <w:color w:val="auto"/>
                      <w:lang w:eastAsia="zh-CN"/>
                    </w:rPr>
                  </w:pPr>
                </w:p>
              </w:tc>
              <w:tc>
                <w:tcPr>
                  <w:tcW w:w="1219" w:type="dxa"/>
                  <w:tcBorders>
                    <w:top w:val="nil"/>
                    <w:left w:val="nil"/>
                    <w:bottom w:val="single" w:color="auto" w:sz="4" w:space="0"/>
                    <w:right w:val="single" w:color="auto" w:sz="4" w:space="0"/>
                  </w:tcBorders>
                  <w:shd w:val="clear" w:color="auto" w:fill="auto"/>
                  <w:noWrap/>
                  <w:vAlign w:val="bottom"/>
                </w:tcPr>
                <w:p w14:paraId="097B8DAC">
                  <w:pPr>
                    <w:widowControl/>
                    <w:autoSpaceDE/>
                    <w:autoSpaceDN/>
                    <w:jc w:val="center"/>
                    <w:rPr>
                      <w:b/>
                      <w:bCs/>
                      <w:color w:val="auto"/>
                      <w:lang w:eastAsia="zh-CN"/>
                    </w:rPr>
                  </w:pPr>
                </w:p>
              </w:tc>
            </w:tr>
            <w:tr w14:paraId="04058D1D">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08B28AC3">
                  <w:pPr>
                    <w:widowControl/>
                    <w:autoSpaceDE/>
                    <w:autoSpaceDN/>
                    <w:jc w:val="center"/>
                    <w:rPr>
                      <w:rFonts w:hint="default"/>
                      <w:b/>
                      <w:bCs/>
                      <w:color w:val="auto"/>
                      <w:lang w:val="en-US" w:eastAsia="zh-CN"/>
                    </w:rPr>
                  </w:pPr>
                  <w:r>
                    <w:rPr>
                      <w:rFonts w:hint="eastAsia"/>
                      <w:b/>
                      <w:bCs/>
                      <w:color w:val="auto"/>
                      <w:lang w:val="en-US" w:eastAsia="zh-CN"/>
                    </w:rPr>
                    <w:t>3</w:t>
                  </w:r>
                </w:p>
              </w:tc>
              <w:tc>
                <w:tcPr>
                  <w:tcW w:w="2320" w:type="dxa"/>
                  <w:tcBorders>
                    <w:top w:val="nil"/>
                    <w:left w:val="nil"/>
                    <w:bottom w:val="single" w:color="auto" w:sz="4" w:space="0"/>
                    <w:right w:val="single" w:color="auto" w:sz="4" w:space="0"/>
                  </w:tcBorders>
                  <w:shd w:val="clear" w:color="auto" w:fill="auto"/>
                  <w:noWrap/>
                  <w:vAlign w:val="bottom"/>
                </w:tcPr>
                <w:p w14:paraId="44820300">
                  <w:pPr>
                    <w:widowControl/>
                    <w:autoSpaceDE/>
                    <w:autoSpaceDN/>
                    <w:jc w:val="center"/>
                    <w:rPr>
                      <w:b/>
                      <w:bCs/>
                      <w:color w:val="auto"/>
                      <w:lang w:eastAsia="zh-CN"/>
                    </w:rPr>
                  </w:pPr>
                </w:p>
              </w:tc>
              <w:tc>
                <w:tcPr>
                  <w:tcW w:w="1695" w:type="dxa"/>
                  <w:tcBorders>
                    <w:top w:val="nil"/>
                    <w:left w:val="nil"/>
                    <w:bottom w:val="single" w:color="auto" w:sz="4" w:space="0"/>
                    <w:right w:val="single" w:color="auto" w:sz="4" w:space="0"/>
                  </w:tcBorders>
                  <w:shd w:val="clear" w:color="auto" w:fill="auto"/>
                  <w:noWrap/>
                  <w:vAlign w:val="bottom"/>
                </w:tcPr>
                <w:p w14:paraId="4AB9FEA0">
                  <w:pPr>
                    <w:widowControl/>
                    <w:autoSpaceDE/>
                    <w:autoSpaceDN/>
                    <w:jc w:val="center"/>
                    <w:rPr>
                      <w:b/>
                      <w:bCs/>
                      <w:color w:val="auto"/>
                      <w:lang w:eastAsia="zh-CN"/>
                    </w:rPr>
                  </w:pPr>
                </w:p>
              </w:tc>
              <w:tc>
                <w:tcPr>
                  <w:tcW w:w="1370" w:type="dxa"/>
                  <w:tcBorders>
                    <w:top w:val="nil"/>
                    <w:left w:val="nil"/>
                    <w:bottom w:val="single" w:color="auto" w:sz="4" w:space="0"/>
                    <w:right w:val="single" w:color="auto" w:sz="4" w:space="0"/>
                  </w:tcBorders>
                  <w:shd w:val="clear" w:color="auto" w:fill="auto"/>
                  <w:vAlign w:val="bottom"/>
                </w:tcPr>
                <w:p w14:paraId="5C6A21FB">
                  <w:pPr>
                    <w:widowControl/>
                    <w:autoSpaceDE/>
                    <w:autoSpaceDN/>
                    <w:jc w:val="center"/>
                    <w:rPr>
                      <w:b/>
                      <w:bCs/>
                      <w:color w:val="auto"/>
                      <w:lang w:eastAsia="zh-CN"/>
                    </w:rPr>
                  </w:pPr>
                </w:p>
              </w:tc>
              <w:tc>
                <w:tcPr>
                  <w:tcW w:w="1219" w:type="dxa"/>
                  <w:tcBorders>
                    <w:top w:val="nil"/>
                    <w:left w:val="nil"/>
                    <w:bottom w:val="single" w:color="auto" w:sz="4" w:space="0"/>
                    <w:right w:val="single" w:color="auto" w:sz="4" w:space="0"/>
                  </w:tcBorders>
                  <w:shd w:val="clear" w:color="auto" w:fill="auto"/>
                  <w:noWrap/>
                  <w:vAlign w:val="bottom"/>
                </w:tcPr>
                <w:p w14:paraId="6EA67C90">
                  <w:pPr>
                    <w:widowControl/>
                    <w:autoSpaceDE/>
                    <w:autoSpaceDN/>
                    <w:jc w:val="center"/>
                    <w:rPr>
                      <w:b/>
                      <w:bCs/>
                      <w:color w:val="auto"/>
                      <w:lang w:eastAsia="zh-CN"/>
                    </w:rPr>
                  </w:pPr>
                </w:p>
              </w:tc>
            </w:tr>
            <w:tr w14:paraId="1FA9D6E5">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64033B1E">
                  <w:pPr>
                    <w:widowControl/>
                    <w:autoSpaceDE/>
                    <w:autoSpaceDN/>
                    <w:jc w:val="center"/>
                    <w:rPr>
                      <w:rFonts w:hint="default"/>
                      <w:b/>
                      <w:bCs/>
                      <w:color w:val="auto"/>
                      <w:lang w:val="en-US" w:eastAsia="zh-CN"/>
                    </w:rPr>
                  </w:pPr>
                  <w:r>
                    <w:rPr>
                      <w:rFonts w:hint="eastAsia"/>
                      <w:b/>
                      <w:bCs/>
                      <w:color w:val="auto"/>
                      <w:lang w:val="en-US" w:eastAsia="zh-CN"/>
                    </w:rPr>
                    <w:t>4</w:t>
                  </w:r>
                </w:p>
              </w:tc>
              <w:tc>
                <w:tcPr>
                  <w:tcW w:w="2320" w:type="dxa"/>
                  <w:tcBorders>
                    <w:top w:val="nil"/>
                    <w:left w:val="nil"/>
                    <w:bottom w:val="single" w:color="auto" w:sz="4" w:space="0"/>
                    <w:right w:val="single" w:color="auto" w:sz="4" w:space="0"/>
                  </w:tcBorders>
                  <w:shd w:val="clear" w:color="auto" w:fill="auto"/>
                  <w:noWrap/>
                  <w:vAlign w:val="bottom"/>
                </w:tcPr>
                <w:p w14:paraId="6AFFE6D5">
                  <w:pPr>
                    <w:widowControl/>
                    <w:autoSpaceDE/>
                    <w:autoSpaceDN/>
                    <w:jc w:val="center"/>
                    <w:rPr>
                      <w:b/>
                      <w:bCs/>
                      <w:color w:val="auto"/>
                      <w:lang w:eastAsia="zh-CN"/>
                    </w:rPr>
                  </w:pPr>
                </w:p>
              </w:tc>
              <w:tc>
                <w:tcPr>
                  <w:tcW w:w="1695" w:type="dxa"/>
                  <w:tcBorders>
                    <w:top w:val="nil"/>
                    <w:left w:val="nil"/>
                    <w:bottom w:val="single" w:color="auto" w:sz="4" w:space="0"/>
                    <w:right w:val="single" w:color="auto" w:sz="4" w:space="0"/>
                  </w:tcBorders>
                  <w:shd w:val="clear" w:color="auto" w:fill="auto"/>
                  <w:noWrap/>
                  <w:vAlign w:val="bottom"/>
                </w:tcPr>
                <w:p w14:paraId="764759A9">
                  <w:pPr>
                    <w:widowControl/>
                    <w:autoSpaceDE/>
                    <w:autoSpaceDN/>
                    <w:jc w:val="center"/>
                    <w:rPr>
                      <w:b/>
                      <w:bCs/>
                      <w:color w:val="auto"/>
                      <w:lang w:eastAsia="zh-CN"/>
                    </w:rPr>
                  </w:pPr>
                </w:p>
              </w:tc>
              <w:tc>
                <w:tcPr>
                  <w:tcW w:w="1370" w:type="dxa"/>
                  <w:tcBorders>
                    <w:top w:val="nil"/>
                    <w:left w:val="nil"/>
                    <w:bottom w:val="single" w:color="auto" w:sz="4" w:space="0"/>
                    <w:right w:val="single" w:color="auto" w:sz="4" w:space="0"/>
                  </w:tcBorders>
                  <w:shd w:val="clear" w:color="auto" w:fill="auto"/>
                  <w:vAlign w:val="bottom"/>
                </w:tcPr>
                <w:p w14:paraId="2A4791F8">
                  <w:pPr>
                    <w:widowControl/>
                    <w:autoSpaceDE/>
                    <w:autoSpaceDN/>
                    <w:jc w:val="center"/>
                    <w:rPr>
                      <w:b/>
                      <w:bCs/>
                      <w:color w:val="auto"/>
                      <w:lang w:eastAsia="zh-CN"/>
                    </w:rPr>
                  </w:pPr>
                </w:p>
              </w:tc>
              <w:tc>
                <w:tcPr>
                  <w:tcW w:w="1219" w:type="dxa"/>
                  <w:tcBorders>
                    <w:top w:val="nil"/>
                    <w:left w:val="nil"/>
                    <w:bottom w:val="single" w:color="auto" w:sz="4" w:space="0"/>
                    <w:right w:val="single" w:color="auto" w:sz="4" w:space="0"/>
                  </w:tcBorders>
                  <w:shd w:val="clear" w:color="auto" w:fill="auto"/>
                  <w:noWrap/>
                  <w:vAlign w:val="bottom"/>
                </w:tcPr>
                <w:p w14:paraId="16B7AE63">
                  <w:pPr>
                    <w:widowControl/>
                    <w:autoSpaceDE/>
                    <w:autoSpaceDN/>
                    <w:jc w:val="center"/>
                    <w:rPr>
                      <w:b/>
                      <w:bCs/>
                      <w:color w:val="auto"/>
                      <w:lang w:eastAsia="zh-CN"/>
                    </w:rPr>
                  </w:pPr>
                </w:p>
              </w:tc>
            </w:tr>
            <w:tr w14:paraId="2D067AA1">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14:paraId="51A5DB3E">
                  <w:pPr>
                    <w:widowControl/>
                    <w:autoSpaceDE/>
                    <w:autoSpaceDN/>
                    <w:jc w:val="center"/>
                    <w:rPr>
                      <w:b/>
                      <w:bCs/>
                      <w:color w:val="auto"/>
                      <w:lang w:eastAsia="zh-CN"/>
                    </w:rPr>
                  </w:pPr>
                  <w:r>
                    <w:rPr>
                      <w:rFonts w:hint="eastAsia"/>
                      <w:b/>
                      <w:bCs/>
                      <w:color w:val="auto"/>
                      <w:lang w:eastAsia="zh-CN"/>
                    </w:rPr>
                    <w:t>5</w:t>
                  </w:r>
                </w:p>
              </w:tc>
              <w:tc>
                <w:tcPr>
                  <w:tcW w:w="2320" w:type="dxa"/>
                  <w:tcBorders>
                    <w:top w:val="nil"/>
                    <w:left w:val="nil"/>
                    <w:bottom w:val="single" w:color="auto" w:sz="4" w:space="0"/>
                    <w:right w:val="single" w:color="auto" w:sz="4" w:space="0"/>
                  </w:tcBorders>
                  <w:shd w:val="clear" w:color="auto" w:fill="auto"/>
                  <w:noWrap/>
                  <w:vAlign w:val="bottom"/>
                </w:tcPr>
                <w:p w14:paraId="62D8C15F">
                  <w:pPr>
                    <w:widowControl/>
                    <w:autoSpaceDE/>
                    <w:autoSpaceDN/>
                    <w:jc w:val="center"/>
                    <w:rPr>
                      <w:b/>
                      <w:bCs/>
                      <w:color w:val="auto"/>
                      <w:lang w:eastAsia="zh-CN"/>
                    </w:rPr>
                  </w:pPr>
                  <w:r>
                    <w:rPr>
                      <w:rFonts w:hint="eastAsia"/>
                      <w:b/>
                      <w:bCs/>
                      <w:color w:val="auto"/>
                      <w:lang w:eastAsia="zh-CN"/>
                    </w:rPr>
                    <w:t>总合计</w:t>
                  </w:r>
                </w:p>
              </w:tc>
              <w:tc>
                <w:tcPr>
                  <w:tcW w:w="1695" w:type="dxa"/>
                  <w:tcBorders>
                    <w:top w:val="nil"/>
                    <w:left w:val="nil"/>
                    <w:bottom w:val="single" w:color="auto" w:sz="4" w:space="0"/>
                    <w:right w:val="single" w:color="auto" w:sz="4" w:space="0"/>
                  </w:tcBorders>
                  <w:shd w:val="clear" w:color="auto" w:fill="auto"/>
                  <w:noWrap/>
                  <w:vAlign w:val="bottom"/>
                </w:tcPr>
                <w:p w14:paraId="307F5046">
                  <w:pPr>
                    <w:widowControl/>
                    <w:autoSpaceDE/>
                    <w:autoSpaceDN/>
                    <w:jc w:val="center"/>
                    <w:rPr>
                      <w:b/>
                      <w:bCs/>
                      <w:color w:val="auto"/>
                      <w:lang w:eastAsia="zh-CN"/>
                    </w:rPr>
                  </w:pPr>
                  <w:r>
                    <w:rPr>
                      <w:rFonts w:hint="eastAsia"/>
                      <w:b/>
                      <w:bCs/>
                      <w:color w:val="auto"/>
                      <w:lang w:eastAsia="zh-CN"/>
                    </w:rPr>
                    <w:t>　</w:t>
                  </w:r>
                </w:p>
              </w:tc>
              <w:tc>
                <w:tcPr>
                  <w:tcW w:w="1370" w:type="dxa"/>
                  <w:tcBorders>
                    <w:top w:val="nil"/>
                    <w:left w:val="nil"/>
                    <w:bottom w:val="single" w:color="auto" w:sz="4" w:space="0"/>
                    <w:right w:val="single" w:color="auto" w:sz="4" w:space="0"/>
                  </w:tcBorders>
                  <w:shd w:val="clear" w:color="auto" w:fill="auto"/>
                  <w:vAlign w:val="bottom"/>
                </w:tcPr>
                <w:p w14:paraId="1F376373">
                  <w:pPr>
                    <w:widowControl/>
                    <w:autoSpaceDE/>
                    <w:autoSpaceDN/>
                    <w:jc w:val="center"/>
                    <w:rPr>
                      <w:b/>
                      <w:bCs/>
                      <w:color w:val="auto"/>
                      <w:lang w:eastAsia="zh-CN"/>
                    </w:rPr>
                  </w:pPr>
                </w:p>
              </w:tc>
              <w:tc>
                <w:tcPr>
                  <w:tcW w:w="1219" w:type="dxa"/>
                  <w:tcBorders>
                    <w:top w:val="nil"/>
                    <w:left w:val="nil"/>
                    <w:bottom w:val="single" w:color="auto" w:sz="4" w:space="0"/>
                    <w:right w:val="single" w:color="auto" w:sz="4" w:space="0"/>
                  </w:tcBorders>
                  <w:shd w:val="clear" w:color="auto" w:fill="auto"/>
                  <w:noWrap/>
                  <w:vAlign w:val="bottom"/>
                </w:tcPr>
                <w:p w14:paraId="2AEEFA56">
                  <w:pPr>
                    <w:widowControl/>
                    <w:autoSpaceDE/>
                    <w:autoSpaceDN/>
                    <w:jc w:val="center"/>
                    <w:rPr>
                      <w:b/>
                      <w:bCs/>
                      <w:color w:val="auto"/>
                      <w:lang w:eastAsia="zh-CN"/>
                    </w:rPr>
                  </w:pPr>
                  <w:r>
                    <w:rPr>
                      <w:rFonts w:hint="eastAsia"/>
                      <w:b/>
                      <w:bCs/>
                      <w:color w:val="auto"/>
                      <w:lang w:eastAsia="zh-CN"/>
                    </w:rPr>
                    <w:t>　</w:t>
                  </w:r>
                </w:p>
              </w:tc>
            </w:tr>
          </w:tbl>
          <w:p w14:paraId="70A14B6D">
            <w:pPr>
              <w:pStyle w:val="55"/>
            </w:pP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5"/>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昆仑仿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SOF0FAC8413">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7552A791">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2D1A21">
    <w:pPr>
      <w:pStyle w:val="1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19"/>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0971780D"/>
    <w:multiLevelType w:val="singleLevel"/>
    <w:tmpl w:val="0971780D"/>
    <w:lvl w:ilvl="0" w:tentative="0">
      <w:start w:val="1"/>
      <w:numFmt w:val="decimal"/>
      <w:lvlText w:val="（%1）"/>
      <w:lvlJc w:val="left"/>
      <w:pPr>
        <w:tabs>
          <w:tab w:val="left" w:pos="630"/>
        </w:tabs>
        <w:ind w:left="630" w:hanging="630"/>
      </w:pPr>
      <w:rPr>
        <w:rFonts w:hint="eastAsia" w:cs="Times New Roman"/>
      </w:rPr>
    </w:lvl>
  </w:abstractNum>
  <w:abstractNum w:abstractNumId="5">
    <w:nsid w:val="1D6C6D26"/>
    <w:multiLevelType w:val="multilevel"/>
    <w:tmpl w:val="1D6C6D26"/>
    <w:lvl w:ilvl="0" w:tentative="0">
      <w:start w:val="2"/>
      <w:numFmt w:val="decimal"/>
      <w:lvlText w:val="%1."/>
      <w:lvlJc w:val="left"/>
      <w:pPr>
        <w:ind w:left="735" w:hanging="735"/>
      </w:pPr>
      <w:rPr>
        <w:rFonts w:hint="default"/>
      </w:rPr>
    </w:lvl>
    <w:lvl w:ilvl="1" w:tentative="0">
      <w:start w:val="3"/>
      <w:numFmt w:val="decimal"/>
      <w:lvlText w:val="%1.%2."/>
      <w:lvlJc w:val="left"/>
      <w:pPr>
        <w:ind w:left="735" w:hanging="735"/>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27982A59"/>
    <w:multiLevelType w:val="multilevel"/>
    <w:tmpl w:val="27982A59"/>
    <w:lvl w:ilvl="0" w:tentative="0">
      <w:start w:val="1"/>
      <w:numFmt w:val="bullet"/>
      <w:lvlText w:val=""/>
      <w:lvlJc w:val="left"/>
      <w:pPr>
        <w:ind w:left="1077" w:hanging="360"/>
      </w:pPr>
      <w:rPr>
        <w:rFonts w:hint="default" w:ascii="Wingdings" w:hAnsi="Wingdings"/>
      </w:rPr>
    </w:lvl>
    <w:lvl w:ilvl="1" w:tentative="0">
      <w:start w:val="1"/>
      <w:numFmt w:val="bullet"/>
      <w:lvlText w:val="o"/>
      <w:lvlJc w:val="left"/>
      <w:pPr>
        <w:ind w:left="1797" w:hanging="360"/>
      </w:pPr>
      <w:rPr>
        <w:rFonts w:hint="default" w:ascii="Courier New" w:hAnsi="Courier New" w:cs="Courier New"/>
      </w:rPr>
    </w:lvl>
    <w:lvl w:ilvl="2" w:tentative="0">
      <w:start w:val="1"/>
      <w:numFmt w:val="bullet"/>
      <w:lvlText w:val=""/>
      <w:lvlJc w:val="left"/>
      <w:pPr>
        <w:ind w:left="2517" w:hanging="360"/>
      </w:pPr>
      <w:rPr>
        <w:rFonts w:hint="default" w:ascii="Wingdings" w:hAnsi="Wingdings"/>
      </w:rPr>
    </w:lvl>
    <w:lvl w:ilvl="3" w:tentative="0">
      <w:start w:val="1"/>
      <w:numFmt w:val="bullet"/>
      <w:lvlText w:val=""/>
      <w:lvlJc w:val="left"/>
      <w:pPr>
        <w:ind w:left="3237" w:hanging="360"/>
      </w:pPr>
      <w:rPr>
        <w:rFonts w:hint="default" w:ascii="Symbol" w:hAnsi="Symbol"/>
      </w:rPr>
    </w:lvl>
    <w:lvl w:ilvl="4" w:tentative="0">
      <w:start w:val="1"/>
      <w:numFmt w:val="bullet"/>
      <w:lvlText w:val="o"/>
      <w:lvlJc w:val="left"/>
      <w:pPr>
        <w:ind w:left="3957" w:hanging="360"/>
      </w:pPr>
      <w:rPr>
        <w:rFonts w:hint="default" w:ascii="Courier New" w:hAnsi="Courier New" w:cs="Courier New"/>
      </w:rPr>
    </w:lvl>
    <w:lvl w:ilvl="5" w:tentative="0">
      <w:start w:val="1"/>
      <w:numFmt w:val="bullet"/>
      <w:lvlText w:val=""/>
      <w:lvlJc w:val="left"/>
      <w:pPr>
        <w:ind w:left="4677" w:hanging="360"/>
      </w:pPr>
      <w:rPr>
        <w:rFonts w:hint="default" w:ascii="Wingdings" w:hAnsi="Wingdings"/>
      </w:rPr>
    </w:lvl>
    <w:lvl w:ilvl="6" w:tentative="0">
      <w:start w:val="1"/>
      <w:numFmt w:val="bullet"/>
      <w:lvlText w:val=""/>
      <w:lvlJc w:val="left"/>
      <w:pPr>
        <w:ind w:left="5397" w:hanging="360"/>
      </w:pPr>
      <w:rPr>
        <w:rFonts w:hint="default" w:ascii="Symbol" w:hAnsi="Symbol"/>
      </w:rPr>
    </w:lvl>
    <w:lvl w:ilvl="7" w:tentative="0">
      <w:start w:val="1"/>
      <w:numFmt w:val="bullet"/>
      <w:lvlText w:val="o"/>
      <w:lvlJc w:val="left"/>
      <w:pPr>
        <w:ind w:left="6117" w:hanging="360"/>
      </w:pPr>
      <w:rPr>
        <w:rFonts w:hint="default" w:ascii="Courier New" w:hAnsi="Courier New" w:cs="Courier New"/>
      </w:rPr>
    </w:lvl>
    <w:lvl w:ilvl="8" w:tentative="0">
      <w:start w:val="1"/>
      <w:numFmt w:val="bullet"/>
      <w:lvlText w:val=""/>
      <w:lvlJc w:val="left"/>
      <w:pPr>
        <w:ind w:left="6837" w:hanging="360"/>
      </w:pPr>
      <w:rPr>
        <w:rFonts w:hint="default" w:ascii="Wingdings" w:hAnsi="Wingdings"/>
      </w:rPr>
    </w:lvl>
  </w:abstractNum>
  <w:abstractNum w:abstractNumId="7">
    <w:nsid w:val="2B86DC3C"/>
    <w:multiLevelType w:val="singleLevel"/>
    <w:tmpl w:val="2B86DC3C"/>
    <w:lvl w:ilvl="0" w:tentative="0">
      <w:start w:val="1"/>
      <w:numFmt w:val="decimal"/>
      <w:suff w:val="nothing"/>
      <w:lvlText w:val="%1、"/>
      <w:lvlJc w:val="left"/>
    </w:lvl>
  </w:abstractNum>
  <w:abstractNum w:abstractNumId="8">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9">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0">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3E6F6590"/>
    <w:multiLevelType w:val="multilevel"/>
    <w:tmpl w:val="3E6F659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F05766F"/>
    <w:multiLevelType w:val="multilevel"/>
    <w:tmpl w:val="3F05766F"/>
    <w:lvl w:ilvl="0" w:tentative="0">
      <w:start w:val="2"/>
      <w:numFmt w:val="decimal"/>
      <w:lvlText w:val="%1."/>
      <w:lvlJc w:val="left"/>
      <w:pPr>
        <w:ind w:left="525" w:hanging="525"/>
      </w:pPr>
      <w:rPr>
        <w:rFonts w:hint="default" w:cs="Times New Roman"/>
      </w:rPr>
    </w:lvl>
    <w:lvl w:ilvl="1" w:tentative="0">
      <w:start w:val="1"/>
      <w:numFmt w:val="decimal"/>
      <w:lvlText w:val="%1.%2、"/>
      <w:lvlJc w:val="left"/>
      <w:pPr>
        <w:ind w:left="720" w:hanging="720"/>
      </w:pPr>
      <w:rPr>
        <w:rFonts w:hint="default" w:cs="Times New Roman"/>
      </w:rPr>
    </w:lvl>
    <w:lvl w:ilvl="2" w:tentative="0">
      <w:start w:val="1"/>
      <w:numFmt w:val="decimal"/>
      <w:lvlText w:val="%1.%2、%3."/>
      <w:lvlJc w:val="left"/>
      <w:pPr>
        <w:ind w:left="1080" w:hanging="108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440" w:hanging="144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800" w:hanging="180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13">
    <w:nsid w:val="4B44014A"/>
    <w:multiLevelType w:val="singleLevel"/>
    <w:tmpl w:val="4B44014A"/>
    <w:lvl w:ilvl="0" w:tentative="0">
      <w:start w:val="9"/>
      <w:numFmt w:val="chineseCounting"/>
      <w:suff w:val="nothing"/>
      <w:lvlText w:val="%1、"/>
      <w:lvlJc w:val="left"/>
      <w:rPr>
        <w:rFonts w:hint="eastAsia"/>
      </w:rPr>
    </w:lvl>
  </w:abstractNum>
  <w:abstractNum w:abstractNumId="14">
    <w:nsid w:val="5997975C"/>
    <w:multiLevelType w:val="singleLevel"/>
    <w:tmpl w:val="5997975C"/>
    <w:lvl w:ilvl="0" w:tentative="0">
      <w:start w:val="9"/>
      <w:numFmt w:val="decimal"/>
      <w:suff w:val="nothing"/>
      <w:lvlText w:val="%1）"/>
      <w:lvlJc w:val="left"/>
    </w:lvl>
  </w:abstractNum>
  <w:abstractNum w:abstractNumId="15">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6">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17">
    <w:nsid w:val="77B4549D"/>
    <w:multiLevelType w:val="singleLevel"/>
    <w:tmpl w:val="77B4549D"/>
    <w:lvl w:ilvl="0" w:tentative="0">
      <w:start w:val="3"/>
      <w:numFmt w:val="decimal"/>
      <w:suff w:val="nothing"/>
      <w:lvlText w:val="%1）"/>
      <w:lvlJc w:val="left"/>
    </w:lvl>
  </w:abstractNum>
  <w:num w:numId="1">
    <w:abstractNumId w:val="15"/>
  </w:num>
  <w:num w:numId="2">
    <w:abstractNumId w:val="3"/>
  </w:num>
  <w:num w:numId="3">
    <w:abstractNumId w:val="13"/>
  </w:num>
  <w:num w:numId="4">
    <w:abstractNumId w:val="8"/>
  </w:num>
  <w:num w:numId="5">
    <w:abstractNumId w:val="9"/>
  </w:num>
  <w:num w:numId="6">
    <w:abstractNumId w:val="10"/>
  </w:num>
  <w:num w:numId="7">
    <w:abstractNumId w:val="16"/>
  </w:num>
  <w:num w:numId="8">
    <w:abstractNumId w:val="17"/>
  </w:num>
  <w:num w:numId="9">
    <w:abstractNumId w:val="14"/>
  </w:num>
  <w:num w:numId="10">
    <w:abstractNumId w:val="12"/>
  </w:num>
  <w:num w:numId="11">
    <w:abstractNumId w:val="5"/>
  </w:num>
  <w:num w:numId="12">
    <w:abstractNumId w:val="11"/>
  </w:num>
  <w:num w:numId="13">
    <w:abstractNumId w:val="6"/>
  </w:num>
  <w:num w:numId="14">
    <w:abstractNumId w:val="4"/>
  </w:num>
  <w:num w:numId="15">
    <w:abstractNumId w:val="1"/>
  </w:num>
  <w:num w:numId="16">
    <w:abstractNumId w:val="7"/>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0C022BE0"/>
    <w:rsid w:val="0C952E53"/>
    <w:rsid w:val="0DD22C14"/>
    <w:rsid w:val="0EB015FA"/>
    <w:rsid w:val="10294AA3"/>
    <w:rsid w:val="10E40CA0"/>
    <w:rsid w:val="1169573E"/>
    <w:rsid w:val="11B86CFD"/>
    <w:rsid w:val="136130D9"/>
    <w:rsid w:val="13C33F1E"/>
    <w:rsid w:val="18DD4F7E"/>
    <w:rsid w:val="195B58A2"/>
    <w:rsid w:val="1E085A14"/>
    <w:rsid w:val="1FF43DDB"/>
    <w:rsid w:val="21933AA2"/>
    <w:rsid w:val="2274776E"/>
    <w:rsid w:val="25BF356F"/>
    <w:rsid w:val="25DB0C2D"/>
    <w:rsid w:val="269469E7"/>
    <w:rsid w:val="291C15FD"/>
    <w:rsid w:val="29FC3B14"/>
    <w:rsid w:val="2B11792E"/>
    <w:rsid w:val="2D9D235F"/>
    <w:rsid w:val="2FBC12EA"/>
    <w:rsid w:val="302E66E2"/>
    <w:rsid w:val="304D65F8"/>
    <w:rsid w:val="31C54755"/>
    <w:rsid w:val="3216608C"/>
    <w:rsid w:val="34CE14C6"/>
    <w:rsid w:val="34D84CEC"/>
    <w:rsid w:val="37AF5AB7"/>
    <w:rsid w:val="3B1C3371"/>
    <w:rsid w:val="3CC23198"/>
    <w:rsid w:val="3DDF4815"/>
    <w:rsid w:val="3FE669E5"/>
    <w:rsid w:val="47DE45D6"/>
    <w:rsid w:val="4CC465DF"/>
    <w:rsid w:val="50F63E28"/>
    <w:rsid w:val="5221007F"/>
    <w:rsid w:val="52926B5A"/>
    <w:rsid w:val="545C5E51"/>
    <w:rsid w:val="5486175B"/>
    <w:rsid w:val="57667D24"/>
    <w:rsid w:val="57CE5BC3"/>
    <w:rsid w:val="5AE1516A"/>
    <w:rsid w:val="5B6A3A79"/>
    <w:rsid w:val="5C1A5F7B"/>
    <w:rsid w:val="645771F8"/>
    <w:rsid w:val="65DF1F88"/>
    <w:rsid w:val="6A54112D"/>
    <w:rsid w:val="6AA035AE"/>
    <w:rsid w:val="6AFF3A2A"/>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6"/>
    <w:qFormat/>
    <w:uiPriority w:val="1"/>
    <w:rPr>
      <w:sz w:val="24"/>
      <w:szCs w:val="24"/>
    </w:rPr>
  </w:style>
  <w:style w:type="paragraph" w:styleId="20">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7"/>
    <w:qFormat/>
    <w:uiPriority w:val="99"/>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8"/>
    <w:qFormat/>
    <w:uiPriority w:val="99"/>
    <w:pPr>
      <w:tabs>
        <w:tab w:val="center" w:pos="4153"/>
        <w:tab w:val="right" w:pos="8306"/>
      </w:tabs>
      <w:snapToGrid w:val="0"/>
    </w:pPr>
    <w:rPr>
      <w:sz w:val="18"/>
      <w:szCs w:val="18"/>
    </w:rPr>
  </w:style>
  <w:style w:type="paragraph" w:styleId="30">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9"/>
    <w:qFormat/>
    <w:uiPriority w:val="0"/>
    <w:pPr>
      <w:widowControl/>
    </w:pPr>
    <w:rPr>
      <w:b/>
      <w:bCs/>
      <w:sz w:val="24"/>
      <w:szCs w:val="24"/>
    </w:rPr>
  </w:style>
  <w:style w:type="paragraph" w:styleId="44">
    <w:name w:val="Body Text First Indent"/>
    <w:basedOn w:val="19"/>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5">
    <w:name w:val="Body Text First Indent 2"/>
    <w:basedOn w:val="20"/>
    <w:next w:val="1"/>
    <w:qFormat/>
    <w:uiPriority w:val="0"/>
    <w:pPr>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Char"/>
    <w:basedOn w:val="48"/>
    <w:link w:val="2"/>
    <w:qFormat/>
    <w:uiPriority w:val="0"/>
    <w:rPr>
      <w:rFonts w:ascii="宋体" w:hAnsi="宋体" w:cs="宋体"/>
      <w:b/>
      <w:bCs/>
      <w:sz w:val="28"/>
      <w:szCs w:val="28"/>
      <w:lang w:eastAsia="en-US"/>
    </w:rPr>
  </w:style>
  <w:style w:type="character" w:customStyle="1" w:styleId="57">
    <w:name w:val="标题 2 Char"/>
    <w:basedOn w:val="48"/>
    <w:link w:val="3"/>
    <w:qFormat/>
    <w:uiPriority w:val="0"/>
    <w:rPr>
      <w:rFonts w:ascii="宋体" w:hAnsi="宋体" w:cs="宋体"/>
      <w:b/>
      <w:bCs/>
      <w:sz w:val="24"/>
      <w:szCs w:val="24"/>
      <w:lang w:eastAsia="en-US"/>
    </w:rPr>
  </w:style>
  <w:style w:type="character" w:customStyle="1" w:styleId="58">
    <w:name w:val="标题 3 Char"/>
    <w:basedOn w:val="48"/>
    <w:link w:val="4"/>
    <w:qFormat/>
    <w:uiPriority w:val="0"/>
    <w:rPr>
      <w:b/>
      <w:bCs/>
      <w:kern w:val="2"/>
      <w:sz w:val="32"/>
      <w:szCs w:val="32"/>
    </w:rPr>
  </w:style>
  <w:style w:type="character" w:customStyle="1" w:styleId="59">
    <w:name w:val="标题 4 Char"/>
    <w:basedOn w:val="48"/>
    <w:link w:val="5"/>
    <w:qFormat/>
    <w:uiPriority w:val="0"/>
    <w:rPr>
      <w:b/>
      <w:kern w:val="2"/>
      <w:sz w:val="24"/>
      <w:szCs w:val="24"/>
    </w:rPr>
  </w:style>
  <w:style w:type="character" w:customStyle="1" w:styleId="60">
    <w:name w:val="标题 5 Char"/>
    <w:basedOn w:val="48"/>
    <w:link w:val="6"/>
    <w:qFormat/>
    <w:uiPriority w:val="0"/>
    <w:rPr>
      <w:b/>
      <w:bCs/>
      <w:kern w:val="2"/>
      <w:sz w:val="28"/>
      <w:szCs w:val="28"/>
    </w:rPr>
  </w:style>
  <w:style w:type="character" w:customStyle="1" w:styleId="61">
    <w:name w:val="标题 6 Char"/>
    <w:basedOn w:val="48"/>
    <w:link w:val="7"/>
    <w:qFormat/>
    <w:uiPriority w:val="0"/>
    <w:rPr>
      <w:b/>
      <w:sz w:val="24"/>
    </w:rPr>
  </w:style>
  <w:style w:type="character" w:customStyle="1" w:styleId="62">
    <w:name w:val="正文缩进 Char"/>
    <w:basedOn w:val="48"/>
    <w:link w:val="9"/>
    <w:qFormat/>
    <w:uiPriority w:val="0"/>
    <w:rPr>
      <w:sz w:val="24"/>
    </w:rPr>
  </w:style>
  <w:style w:type="character" w:customStyle="1" w:styleId="63">
    <w:name w:val="标题 7 Char"/>
    <w:basedOn w:val="48"/>
    <w:link w:val="8"/>
    <w:qFormat/>
    <w:uiPriority w:val="0"/>
    <w:rPr>
      <w:b/>
      <w:kern w:val="2"/>
      <w:sz w:val="24"/>
    </w:rPr>
  </w:style>
  <w:style w:type="character" w:customStyle="1" w:styleId="64">
    <w:name w:val="标题 8 Char"/>
    <w:basedOn w:val="48"/>
    <w:link w:val="10"/>
    <w:qFormat/>
    <w:uiPriority w:val="0"/>
    <w:rPr>
      <w:rFonts w:ascii="Arial" w:hAnsi="Arial" w:eastAsia="黑体"/>
      <w:kern w:val="2"/>
      <w:sz w:val="24"/>
    </w:rPr>
  </w:style>
  <w:style w:type="character" w:customStyle="1" w:styleId="65">
    <w:name w:val="标题 9 Char"/>
    <w:basedOn w:val="48"/>
    <w:link w:val="11"/>
    <w:qFormat/>
    <w:uiPriority w:val="0"/>
    <w:rPr>
      <w:rFonts w:ascii="Arial" w:hAnsi="Arial" w:eastAsia="黑体"/>
      <w:kern w:val="2"/>
      <w:sz w:val="21"/>
    </w:rPr>
  </w:style>
  <w:style w:type="character" w:customStyle="1" w:styleId="66">
    <w:name w:val="正文文本 Char1"/>
    <w:basedOn w:val="48"/>
    <w:link w:val="19"/>
    <w:qFormat/>
    <w:uiPriority w:val="1"/>
    <w:rPr>
      <w:rFonts w:ascii="宋体" w:hAnsi="宋体" w:cs="宋体"/>
      <w:sz w:val="24"/>
      <w:szCs w:val="24"/>
      <w:lang w:eastAsia="en-US"/>
    </w:rPr>
  </w:style>
  <w:style w:type="character" w:customStyle="1" w:styleId="67">
    <w:name w:val="纯文本 Char"/>
    <w:basedOn w:val="48"/>
    <w:link w:val="24"/>
    <w:qFormat/>
    <w:uiPriority w:val="99"/>
    <w:rPr>
      <w:rFonts w:ascii="宋体" w:hAnsi="Courier New" w:cs="Courier New"/>
      <w:sz w:val="22"/>
      <w:szCs w:val="21"/>
      <w:lang w:eastAsia="en-US"/>
    </w:rPr>
  </w:style>
  <w:style w:type="character" w:customStyle="1" w:styleId="68">
    <w:name w:val="页脚 Char"/>
    <w:basedOn w:val="48"/>
    <w:link w:val="29"/>
    <w:qFormat/>
    <w:uiPriority w:val="99"/>
    <w:rPr>
      <w:rFonts w:ascii="宋体" w:hAnsi="宋体" w:cs="宋体"/>
      <w:sz w:val="18"/>
      <w:szCs w:val="18"/>
      <w:lang w:eastAsia="en-US"/>
    </w:rPr>
  </w:style>
  <w:style w:type="character" w:customStyle="1" w:styleId="69">
    <w:name w:val="页眉 Char"/>
    <w:basedOn w:val="48"/>
    <w:link w:val="30"/>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8"/>
    <w:link w:val="18"/>
    <w:qFormat/>
    <w:uiPriority w:val="0"/>
    <w:rPr>
      <w:b/>
      <w:kern w:val="2"/>
      <w:sz w:val="21"/>
    </w:rPr>
  </w:style>
  <w:style w:type="character" w:customStyle="1" w:styleId="77">
    <w:name w:val="普通(网站) Char"/>
    <w:basedOn w:val="48"/>
    <w:link w:val="40"/>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8"/>
    <w:link w:val="16"/>
    <w:qFormat/>
    <w:uiPriority w:val="0"/>
    <w:rPr>
      <w:kern w:val="2"/>
      <w:sz w:val="21"/>
    </w:rPr>
  </w:style>
  <w:style w:type="character" w:customStyle="1" w:styleId="83">
    <w:name w:val="批注框文本 Char"/>
    <w:basedOn w:val="48"/>
    <w:link w:val="28"/>
    <w:qFormat/>
    <w:uiPriority w:val="0"/>
    <w:rPr>
      <w:kern w:val="2"/>
      <w:sz w:val="18"/>
      <w:szCs w:val="18"/>
    </w:rPr>
  </w:style>
  <w:style w:type="character" w:customStyle="1" w:styleId="84">
    <w:name w:val="正文文本缩进 3 Char"/>
    <w:basedOn w:val="48"/>
    <w:link w:val="34"/>
    <w:qFormat/>
    <w:uiPriority w:val="0"/>
    <w:rPr>
      <w:kern w:val="2"/>
      <w:sz w:val="28"/>
    </w:rPr>
  </w:style>
  <w:style w:type="character" w:customStyle="1" w:styleId="85">
    <w:name w:val="正文文本缩进 2 Char"/>
    <w:basedOn w:val="48"/>
    <w:link w:val="27"/>
    <w:qFormat/>
    <w:uiPriority w:val="0"/>
    <w:rPr>
      <w:rFonts w:ascii="宋体" w:hAnsi="宋体"/>
      <w:iCs/>
      <w:kern w:val="2"/>
      <w:sz w:val="24"/>
      <w:szCs w:val="24"/>
    </w:rPr>
  </w:style>
  <w:style w:type="character" w:customStyle="1" w:styleId="86">
    <w:name w:val="正文文本 Char"/>
    <w:basedOn w:val="48"/>
    <w:qFormat/>
    <w:uiPriority w:val="0"/>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Char"/>
    <w:basedOn w:val="48"/>
    <w:link w:val="42"/>
    <w:qFormat/>
    <w:uiPriority w:val="0"/>
    <w:rPr>
      <w:rFonts w:ascii="Arial" w:hAnsi="Arial" w:cs="Arial"/>
      <w:b/>
      <w:bCs/>
      <w:sz w:val="44"/>
      <w:szCs w:val="32"/>
    </w:rPr>
  </w:style>
  <w:style w:type="character" w:customStyle="1" w:styleId="90">
    <w:name w:val="正文文本缩进 Char"/>
    <w:basedOn w:val="48"/>
    <w:link w:val="20"/>
    <w:qFormat/>
    <w:uiPriority w:val="0"/>
    <w:rPr>
      <w:i/>
      <w:iCs/>
      <w:kern w:val="2"/>
      <w:sz w:val="21"/>
    </w:rPr>
  </w:style>
  <w:style w:type="character" w:customStyle="1" w:styleId="91">
    <w:name w:val="正文文本 3 Char"/>
    <w:basedOn w:val="48"/>
    <w:link w:val="17"/>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Char"/>
    <w:basedOn w:val="48"/>
    <w:link w:val="39"/>
    <w:qFormat/>
    <w:uiPriority w:val="0"/>
    <w:rPr>
      <w:rFonts w:ascii="Arial Unicode MS" w:hAnsi="Arial Unicode MS" w:eastAsia="Courier New" w:cs="Courier New"/>
    </w:rPr>
  </w:style>
  <w:style w:type="character" w:customStyle="1" w:styleId="95">
    <w:name w:val="文档结构图 Char"/>
    <w:basedOn w:val="48"/>
    <w:link w:val="15"/>
    <w:qFormat/>
    <w:uiPriority w:val="0"/>
    <w:rPr>
      <w:rFonts w:ascii="宋体"/>
      <w:sz w:val="28"/>
      <w:shd w:val="clear" w:color="auto" w:fill="000080"/>
    </w:rPr>
  </w:style>
  <w:style w:type="character" w:customStyle="1" w:styleId="96">
    <w:name w:val="日期 Char"/>
    <w:basedOn w:val="48"/>
    <w:link w:val="26"/>
    <w:qFormat/>
    <w:uiPriority w:val="0"/>
    <w:rPr>
      <w:kern w:val="2"/>
      <w:sz w:val="21"/>
      <w:szCs w:val="24"/>
    </w:rPr>
  </w:style>
  <w:style w:type="character" w:customStyle="1" w:styleId="97">
    <w:name w:val="正文文本 2 Char"/>
    <w:basedOn w:val="48"/>
    <w:link w:val="37"/>
    <w:qFormat/>
    <w:uiPriority w:val="0"/>
    <w:rPr>
      <w:kern w:val="2"/>
      <w:sz w:val="21"/>
      <w:szCs w:val="24"/>
    </w:rPr>
  </w:style>
  <w:style w:type="character" w:customStyle="1" w:styleId="98">
    <w:name w:val="正文首行缩进 Char"/>
    <w:basedOn w:val="86"/>
    <w:link w:val="44"/>
    <w:qFormat/>
    <w:uiPriority w:val="0"/>
    <w:rPr>
      <w:rFonts w:eastAsia="宋体"/>
      <w:sz w:val="21"/>
      <w:szCs w:val="21"/>
      <w:lang w:val="en-US" w:eastAsia="zh-CN" w:bidi="ar-SA"/>
    </w:rPr>
  </w:style>
  <w:style w:type="character" w:customStyle="1" w:styleId="99">
    <w:name w:val="批注主题 Char"/>
    <w:basedOn w:val="82"/>
    <w:link w:val="43"/>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8"/>
    <w:link w:val="38"/>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正文_1"/>
    <w:next w:val="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40</Pages>
  <Words>1071</Words>
  <Characters>1195</Characters>
  <Lines>127</Lines>
  <Paragraphs>35</Paragraphs>
  <TotalTime>7</TotalTime>
  <ScaleCrop>false</ScaleCrop>
  <LinksUpToDate>false</LinksUpToDate>
  <CharactersWithSpaces>1254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2025-12-18T06:49:22Z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2405680924EF4B5B9B6EE6EB1225808E_12</vt:lpwstr>
  </property>
</Properties>
</file>