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PX、PTA厂区雨水监测站房采购发包说明</w:t>
      </w:r>
    </w:p>
    <w:p>
      <w:pPr>
        <w:jc w:val="center"/>
        <w:rPr>
          <w:rFonts w:ascii="楷体_GB2312" w:hAnsi="楷体" w:eastAsia="楷体_GB2312"/>
          <w:sz w:val="32"/>
          <w:szCs w:val="32"/>
        </w:rPr>
      </w:pPr>
      <w:r>
        <w:rPr>
          <w:rFonts w:hint="eastAsia" w:ascii="Times New Roman" w:hAnsi="Times New Roman" w:eastAsia="仿宋_GB2312" w:cs="Times New Roman"/>
          <w:sz w:val="32"/>
          <w:szCs w:val="32"/>
        </w:rPr>
        <w:t>2024</w:t>
      </w:r>
      <w:r>
        <w:rPr>
          <w:rFonts w:hint="eastAsia" w:ascii="楷体_GB2312" w:hAnsi="楷体" w:eastAsia="楷体_GB2312"/>
          <w:sz w:val="32"/>
          <w:szCs w:val="32"/>
        </w:rPr>
        <w:t>年</w:t>
      </w:r>
      <w:r>
        <w:rPr>
          <w:rFonts w:hint="eastAsia" w:ascii="Times New Roman" w:hAnsi="Times New Roman" w:eastAsia="仿宋_GB2312" w:cs="Times New Roman"/>
          <w:sz w:val="32"/>
          <w:szCs w:val="32"/>
        </w:rPr>
        <w:t>06</w:t>
      </w:r>
      <w:r>
        <w:rPr>
          <w:rFonts w:hint="eastAsia" w:ascii="楷体_GB2312" w:hAnsi="楷体" w:eastAsia="楷体_GB2312"/>
          <w:sz w:val="32"/>
          <w:szCs w:val="32"/>
        </w:rPr>
        <w:t>月</w:t>
      </w:r>
      <w:r>
        <w:rPr>
          <w:rFonts w:hint="eastAsia" w:ascii="Times New Roman" w:hAnsi="Times New Roman" w:eastAsia="仿宋_GB2312" w:cs="Times New Roman"/>
          <w:sz w:val="32"/>
          <w:szCs w:val="32"/>
        </w:rPr>
        <w:t>24</w:t>
      </w:r>
      <w:r>
        <w:rPr>
          <w:rFonts w:hint="eastAsia" w:ascii="楷体_GB2312" w:hAnsi="楷体" w:eastAsia="楷体_GB2312"/>
          <w:sz w:val="32"/>
          <w:szCs w:val="32"/>
        </w:rPr>
        <w:t>日</w:t>
      </w:r>
    </w:p>
    <w:p>
      <w:pPr>
        <w:jc w:val="center"/>
        <w:rPr>
          <w:rFonts w:ascii="楷体" w:hAnsi="楷体" w:eastAsia="楷体"/>
          <w:sz w:val="32"/>
          <w:szCs w:val="32"/>
        </w:rPr>
      </w:pPr>
    </w:p>
    <w:p>
      <w:pPr>
        <w:pStyle w:val="7"/>
        <w:numPr>
          <w:ilvl w:val="0"/>
          <w:numId w:val="1"/>
        </w:numPr>
        <w:spacing w:line="560" w:lineRule="exact"/>
        <w:ind w:firstLineChars="0"/>
        <w:jc w:val="left"/>
        <w:rPr>
          <w:rFonts w:ascii="黑体" w:hAnsi="黑体" w:eastAsia="黑体"/>
          <w:sz w:val="32"/>
          <w:szCs w:val="32"/>
        </w:rPr>
      </w:pPr>
      <w:r>
        <w:rPr>
          <w:rFonts w:hint="eastAsia" w:ascii="黑体" w:hAnsi="黑体" w:eastAsia="黑体"/>
          <w:sz w:val="32"/>
          <w:szCs w:val="32"/>
        </w:rPr>
        <w:t>发包说明</w:t>
      </w:r>
    </w:p>
    <w:p>
      <w:pPr>
        <w:pStyle w:val="7"/>
        <w:spacing w:line="560" w:lineRule="exact"/>
        <w:ind w:firstLine="640"/>
        <w:rPr>
          <w:rFonts w:ascii="仿宋_GB2312" w:hAnsi="楷体" w:eastAsia="仿宋_GB2312"/>
          <w:sz w:val="32"/>
          <w:szCs w:val="32"/>
        </w:rPr>
      </w:pPr>
      <w:r>
        <w:rPr>
          <w:rFonts w:hint="eastAsia" w:ascii="Times New Roman" w:hAnsi="Times New Roman" w:eastAsia="仿宋_GB2312" w:cs="Times New Roman"/>
          <w:sz w:val="32"/>
          <w:szCs w:val="32"/>
        </w:rPr>
        <w:t>2024</w:t>
      </w:r>
      <w:r>
        <w:rPr>
          <w:rFonts w:hint="eastAsia" w:ascii="仿宋_GB2312" w:hAnsi="楷体" w:eastAsia="仿宋_GB2312"/>
          <w:sz w:val="32"/>
          <w:szCs w:val="32"/>
        </w:rPr>
        <w:t>年</w:t>
      </w:r>
      <w:r>
        <w:rPr>
          <w:rFonts w:hint="eastAsia" w:ascii="Times New Roman" w:hAnsi="Times New Roman" w:eastAsia="仿宋_GB2312" w:cs="Times New Roman"/>
          <w:sz w:val="32"/>
          <w:szCs w:val="32"/>
        </w:rPr>
        <w:t>4</w:t>
      </w:r>
      <w:r>
        <w:rPr>
          <w:rFonts w:hint="eastAsia" w:ascii="仿宋_GB2312" w:hAnsi="楷体" w:eastAsia="仿宋_GB2312"/>
          <w:sz w:val="32"/>
          <w:szCs w:val="32"/>
        </w:rPr>
        <w:t>月</w:t>
      </w:r>
      <w:r>
        <w:rPr>
          <w:rFonts w:hint="eastAsia" w:ascii="Times New Roman" w:hAnsi="Times New Roman" w:eastAsia="仿宋_GB2312" w:cs="Times New Roman"/>
          <w:sz w:val="32"/>
          <w:szCs w:val="32"/>
        </w:rPr>
        <w:t>17</w:t>
      </w:r>
      <w:r>
        <w:rPr>
          <w:rFonts w:hint="eastAsia" w:ascii="仿宋_GB2312" w:hAnsi="楷体" w:eastAsia="仿宋_GB2312"/>
          <w:sz w:val="32"/>
          <w:szCs w:val="32"/>
        </w:rPr>
        <w:t>日-</w:t>
      </w:r>
      <w:r>
        <w:rPr>
          <w:rFonts w:hint="eastAsia" w:ascii="Times New Roman" w:hAnsi="Times New Roman" w:eastAsia="仿宋_GB2312" w:cs="Times New Roman"/>
          <w:sz w:val="32"/>
          <w:szCs w:val="32"/>
        </w:rPr>
        <w:t>18</w:t>
      </w:r>
      <w:r>
        <w:rPr>
          <w:rFonts w:hint="eastAsia" w:ascii="仿宋_GB2312" w:hAnsi="楷体" w:eastAsia="仿宋_GB2312"/>
          <w:sz w:val="32"/>
          <w:szCs w:val="32"/>
        </w:rPr>
        <w:t>日，集团环保体检督察组到</w:t>
      </w:r>
      <w:r>
        <w:rPr>
          <w:rFonts w:hint="eastAsia" w:ascii="Times New Roman" w:hAnsi="Times New Roman" w:eastAsia="仿宋_GB2312" w:cs="Times New Roman"/>
          <w:sz w:val="32"/>
          <w:szCs w:val="32"/>
        </w:rPr>
        <w:t>PX、PTA</w:t>
      </w:r>
      <w:r>
        <w:rPr>
          <w:rFonts w:hint="eastAsia" w:ascii="仿宋_GB2312" w:hAnsi="楷体" w:eastAsia="仿宋_GB2312"/>
          <w:sz w:val="32"/>
          <w:szCs w:val="32"/>
        </w:rPr>
        <w:t>厂区进行环保专项检查，</w:t>
      </w:r>
      <w:r>
        <w:rPr>
          <w:rFonts w:hint="eastAsia" w:ascii="Times New Roman" w:hAnsi="Times New Roman" w:eastAsia="仿宋_GB2312" w:cs="Times New Roman"/>
          <w:sz w:val="32"/>
          <w:szCs w:val="32"/>
        </w:rPr>
        <w:t>5</w:t>
      </w:r>
      <w:r>
        <w:rPr>
          <w:rFonts w:hint="eastAsia" w:ascii="仿宋_GB2312" w:hAnsi="楷体" w:eastAsia="仿宋_GB2312"/>
          <w:sz w:val="32"/>
          <w:szCs w:val="32"/>
        </w:rPr>
        <w:t>月</w:t>
      </w:r>
      <w:r>
        <w:rPr>
          <w:rFonts w:hint="eastAsia" w:ascii="Times New Roman" w:hAnsi="Times New Roman" w:eastAsia="仿宋_GB2312" w:cs="Times New Roman"/>
          <w:sz w:val="32"/>
          <w:szCs w:val="32"/>
        </w:rPr>
        <w:t>21</w:t>
      </w:r>
      <w:r>
        <w:rPr>
          <w:rFonts w:hint="eastAsia" w:ascii="仿宋_GB2312" w:hAnsi="楷体" w:eastAsia="仿宋_GB2312"/>
          <w:sz w:val="32"/>
          <w:szCs w:val="32"/>
        </w:rPr>
        <w:t>日下发</w:t>
      </w:r>
      <w:r>
        <w:rPr>
          <w:rFonts w:ascii="仿宋_GB2312" w:hAnsi="楷体" w:eastAsia="仿宋_GB2312"/>
          <w:sz w:val="32"/>
          <w:szCs w:val="32"/>
        </w:rPr>
        <w:t>《</w:t>
      </w:r>
      <w:r>
        <w:rPr>
          <w:rFonts w:ascii="Times New Roman" w:hAnsi="Times New Roman" w:eastAsia="仿宋_GB2312" w:cs="Times New Roman"/>
          <w:sz w:val="32"/>
          <w:szCs w:val="32"/>
        </w:rPr>
        <w:t>2024</w:t>
      </w:r>
      <w:r>
        <w:rPr>
          <w:rFonts w:ascii="仿宋_GB2312" w:hAnsi="楷体" w:eastAsia="仿宋_GB2312"/>
          <w:sz w:val="32"/>
          <w:szCs w:val="32"/>
        </w:rPr>
        <w:t>年石化有关生产企业环保体检专项工作总结报告》</w:t>
      </w:r>
      <w:r>
        <w:rPr>
          <w:rFonts w:hint="eastAsia" w:ascii="仿宋_GB2312" w:hAnsi="楷体" w:eastAsia="仿宋_GB2312"/>
          <w:sz w:val="32"/>
          <w:szCs w:val="32"/>
        </w:rPr>
        <w:t>，指出： PX、PTA厂区雨水监测站房实际面积小于</w:t>
      </w:r>
      <w:r>
        <w:rPr>
          <w:rFonts w:hint="eastAsia" w:ascii="Times New Roman" w:hAnsi="Times New Roman" w:eastAsia="仿宋_GB2312" w:cs="Times New Roman"/>
          <w:sz w:val="32"/>
          <w:szCs w:val="32"/>
        </w:rPr>
        <w:t>15</w:t>
      </w:r>
      <w:r>
        <w:rPr>
          <w:rFonts w:hint="eastAsia" w:ascii="微软雅黑" w:hAnsi="微软雅黑" w:eastAsia="微软雅黑" w:cs="微软雅黑"/>
          <w:sz w:val="32"/>
          <w:szCs w:val="32"/>
        </w:rPr>
        <w:t>㎡</w:t>
      </w:r>
      <w:r>
        <w:rPr>
          <w:rFonts w:hint="eastAsia" w:ascii="仿宋_GB2312" w:hAnsi="楷体" w:eastAsia="仿宋_GB2312"/>
          <w:sz w:val="32"/>
          <w:szCs w:val="32"/>
        </w:rPr>
        <w:t>，且站房老旧，未按照</w:t>
      </w:r>
      <w:r>
        <w:rPr>
          <w:rFonts w:hint="eastAsia" w:ascii="Times New Roman" w:hAnsi="Times New Roman" w:eastAsia="仿宋_GB2312" w:cs="Times New Roman"/>
          <w:sz w:val="32"/>
          <w:szCs w:val="32"/>
        </w:rPr>
        <w:t>HJ353-2019</w:t>
      </w:r>
      <w:r>
        <w:rPr>
          <w:rFonts w:hint="eastAsia" w:ascii="仿宋_GB2312" w:hAnsi="楷体" w:eastAsia="仿宋_GB2312"/>
          <w:sz w:val="32"/>
          <w:szCs w:val="32"/>
        </w:rPr>
        <w:t>要求建设。</w:t>
      </w:r>
    </w:p>
    <w:p>
      <w:pPr>
        <w:pStyle w:val="7"/>
        <w:spacing w:line="560" w:lineRule="exact"/>
        <w:ind w:firstLine="640"/>
        <w:rPr>
          <w:rFonts w:ascii="仿宋_GB2312" w:hAnsi="楷体" w:eastAsia="仿宋_GB2312"/>
          <w:sz w:val="32"/>
          <w:szCs w:val="32"/>
        </w:rPr>
      </w:pPr>
      <w:r>
        <w:rPr>
          <w:rFonts w:hint="eastAsia" w:ascii="仿宋_GB2312" w:hAnsi="楷体" w:eastAsia="仿宋_GB2312"/>
          <w:sz w:val="32"/>
          <w:szCs w:val="32"/>
        </w:rPr>
        <w:t>根据根据</w:t>
      </w:r>
      <w:r>
        <w:rPr>
          <w:rFonts w:hint="eastAsia" w:ascii="Times New Roman" w:hAnsi="Times New Roman" w:eastAsia="仿宋_GB2312" w:cs="Times New Roman"/>
          <w:sz w:val="32"/>
          <w:szCs w:val="32"/>
        </w:rPr>
        <w:t>HJ353-2019</w:t>
      </w:r>
      <w:r>
        <w:rPr>
          <w:rFonts w:hint="eastAsia" w:ascii="仿宋_GB2312" w:hAnsi="楷体" w:eastAsia="仿宋_GB2312"/>
          <w:sz w:val="32"/>
          <w:szCs w:val="32"/>
        </w:rPr>
        <w:t>水污染源在线监测系统（</w:t>
      </w:r>
      <w:r>
        <w:rPr>
          <w:rFonts w:hint="eastAsia" w:ascii="Times New Roman" w:hAnsi="Times New Roman" w:eastAsia="仿宋_GB2312" w:cs="Times New Roman"/>
          <w:sz w:val="32"/>
          <w:szCs w:val="32"/>
        </w:rPr>
        <w:t>CODCr、NH3-N</w:t>
      </w:r>
      <w:r>
        <w:rPr>
          <w:rFonts w:hint="eastAsia" w:ascii="仿宋_GB2312" w:hAnsi="楷体" w:eastAsia="仿宋_GB2312"/>
          <w:sz w:val="32"/>
          <w:szCs w:val="32"/>
        </w:rPr>
        <w:t>等）安装技术规范</w:t>
      </w:r>
      <w:r>
        <w:rPr>
          <w:rFonts w:hint="eastAsia" w:ascii="Times New Roman" w:hAnsi="Times New Roman" w:eastAsia="仿宋_GB2312" w:cs="Times New Roman"/>
          <w:sz w:val="32"/>
          <w:szCs w:val="32"/>
        </w:rPr>
        <w:t>5.3.1</w:t>
      </w:r>
      <w:r>
        <w:rPr>
          <w:rFonts w:hint="eastAsia" w:ascii="仿宋_GB2312" w:hAnsi="楷体" w:eastAsia="仿宋_GB2312"/>
          <w:sz w:val="32"/>
          <w:szCs w:val="32"/>
        </w:rPr>
        <w:t xml:space="preserve">的规定：应建有专用监测站房，新建监测站房面积应满足不同监控站房的功能需要并保证水污染源在线监测系统的摆放、运转和维护,使用面积应不小于 </w:t>
      </w:r>
      <w:r>
        <w:rPr>
          <w:rFonts w:hint="eastAsia" w:ascii="Times New Roman" w:hAnsi="Times New Roman" w:eastAsia="仿宋_GB2312" w:cs="Times New Roman"/>
          <w:sz w:val="32"/>
          <w:szCs w:val="32"/>
        </w:rPr>
        <w:t xml:space="preserve">15 </w:t>
      </w:r>
      <w:r>
        <w:rPr>
          <w:rFonts w:hint="eastAsia" w:ascii="微软雅黑" w:hAnsi="微软雅黑" w:eastAsia="微软雅黑" w:cs="微软雅黑"/>
          <w:sz w:val="32"/>
          <w:szCs w:val="32"/>
        </w:rPr>
        <w:t>㎡</w:t>
      </w:r>
      <w:r>
        <w:rPr>
          <w:rFonts w:hint="eastAsia" w:ascii="仿宋_GB2312" w:hAnsi="楷体" w:eastAsia="仿宋_GB2312"/>
          <w:sz w:val="32"/>
          <w:szCs w:val="32"/>
        </w:rPr>
        <w:t>,站房高度不低于</w:t>
      </w:r>
      <w:r>
        <w:rPr>
          <w:rFonts w:hint="eastAsia" w:ascii="Times New Roman" w:hAnsi="Times New Roman" w:eastAsia="仿宋_GB2312" w:cs="Times New Roman"/>
          <w:sz w:val="32"/>
          <w:szCs w:val="32"/>
        </w:rPr>
        <w:t xml:space="preserve"> 2.8m</w:t>
      </w:r>
      <w:r>
        <w:rPr>
          <w:rFonts w:hint="eastAsia" w:ascii="仿宋_GB2312" w:hAnsi="楷体" w:eastAsia="仿宋_GB2312"/>
          <w:sz w:val="32"/>
          <w:szCs w:val="32"/>
        </w:rPr>
        <w:t xml:space="preserve"> 。</w:t>
      </w:r>
    </w:p>
    <w:p>
      <w:pPr>
        <w:pStyle w:val="7"/>
        <w:spacing w:line="560" w:lineRule="exact"/>
        <w:ind w:firstLine="640"/>
        <w:rPr>
          <w:rFonts w:ascii="仿宋_GB2312" w:hAnsi="楷体" w:eastAsia="仿宋_GB2312"/>
          <w:sz w:val="32"/>
          <w:szCs w:val="32"/>
        </w:rPr>
      </w:pPr>
      <w:r>
        <w:rPr>
          <w:rFonts w:hint="eastAsia" w:ascii="仿宋_GB2312" w:hAnsi="楷体" w:eastAsia="仿宋_GB2312"/>
          <w:sz w:val="32"/>
          <w:szCs w:val="32"/>
        </w:rPr>
        <w:t>根据</w:t>
      </w:r>
      <w:r>
        <w:rPr>
          <w:rFonts w:hint="eastAsia" w:ascii="Times New Roman" w:hAnsi="Times New Roman" w:eastAsia="仿宋_GB2312" w:cs="Times New Roman"/>
          <w:sz w:val="32"/>
          <w:szCs w:val="32"/>
        </w:rPr>
        <w:t>2023</w:t>
      </w:r>
      <w:r>
        <w:rPr>
          <w:rFonts w:hint="eastAsia" w:ascii="仿宋_GB2312" w:hAnsi="楷体" w:eastAsia="仿宋_GB2312"/>
          <w:sz w:val="32"/>
          <w:szCs w:val="32"/>
        </w:rPr>
        <w:t>年</w:t>
      </w:r>
      <w:r>
        <w:rPr>
          <w:rFonts w:hint="eastAsia" w:ascii="Times New Roman" w:hAnsi="Times New Roman" w:eastAsia="仿宋_GB2312" w:cs="Times New Roman"/>
          <w:sz w:val="32"/>
          <w:szCs w:val="32"/>
        </w:rPr>
        <w:t>7</w:t>
      </w:r>
      <w:r>
        <w:rPr>
          <w:rFonts w:hint="eastAsia" w:ascii="仿宋_GB2312" w:hAnsi="楷体" w:eastAsia="仿宋_GB2312"/>
          <w:sz w:val="32"/>
          <w:szCs w:val="32"/>
        </w:rPr>
        <w:t>月</w:t>
      </w:r>
      <w:r>
        <w:rPr>
          <w:rFonts w:hint="eastAsia" w:ascii="Times New Roman" w:hAnsi="Times New Roman" w:eastAsia="仿宋_GB2312" w:cs="Times New Roman"/>
          <w:sz w:val="32"/>
          <w:szCs w:val="32"/>
        </w:rPr>
        <w:t>1</w:t>
      </w:r>
      <w:r>
        <w:rPr>
          <w:rFonts w:hint="eastAsia" w:ascii="仿宋_GB2312" w:hAnsi="楷体" w:eastAsia="仿宋_GB2312"/>
          <w:sz w:val="32"/>
          <w:szCs w:val="32"/>
        </w:rPr>
        <w:t>日发布的《</w:t>
      </w:r>
      <w:r>
        <w:rPr>
          <w:rFonts w:ascii="仿宋_GB2312" w:hAnsi="楷体" w:eastAsia="仿宋_GB2312"/>
          <w:sz w:val="32"/>
          <w:szCs w:val="32"/>
        </w:rPr>
        <w:t>福建省固定污染源自动监控管理办法</w:t>
      </w:r>
      <w:r>
        <w:rPr>
          <w:rFonts w:hint="eastAsia" w:ascii="仿宋_GB2312" w:hAnsi="楷体" w:eastAsia="仿宋_GB2312"/>
          <w:sz w:val="32"/>
          <w:szCs w:val="32"/>
        </w:rPr>
        <w:t>》第七条规定：</w:t>
      </w:r>
      <w:r>
        <w:rPr>
          <w:rFonts w:ascii="仿宋_GB2312" w:hAnsi="楷体" w:eastAsia="仿宋_GB2312"/>
          <w:sz w:val="32"/>
          <w:szCs w:val="32"/>
        </w:rPr>
        <w:t>排污单位应当按照有关规定建设规范化排污口和监测站房</w:t>
      </w:r>
      <w:r>
        <w:rPr>
          <w:rFonts w:hint="eastAsia" w:ascii="仿宋_GB2312" w:hAnsi="楷体" w:eastAsia="仿宋_GB2312"/>
          <w:sz w:val="32"/>
          <w:szCs w:val="32"/>
        </w:rPr>
        <w:t>。</w:t>
      </w:r>
    </w:p>
    <w:p>
      <w:pPr>
        <w:spacing w:line="560" w:lineRule="exact"/>
        <w:ind w:firstLine="640" w:firstLineChars="200"/>
        <w:jc w:val="left"/>
        <w:rPr>
          <w:rFonts w:ascii="仿宋_GB2312" w:hAnsi="楷体" w:eastAsia="仿宋_GB2312"/>
          <w:sz w:val="32"/>
          <w:szCs w:val="32"/>
        </w:rPr>
      </w:pPr>
      <w:r>
        <w:rPr>
          <w:rFonts w:hint="eastAsia" w:ascii="仿宋_GB2312" w:hAnsi="楷体" w:eastAsia="仿宋_GB2312"/>
          <w:sz w:val="32"/>
          <w:szCs w:val="32"/>
        </w:rPr>
        <w:t>为使</w:t>
      </w:r>
      <w:r>
        <w:rPr>
          <w:rFonts w:hint="eastAsia" w:ascii="Times New Roman" w:hAnsi="Times New Roman" w:eastAsia="仿宋_GB2312" w:cs="Times New Roman"/>
          <w:sz w:val="32"/>
          <w:szCs w:val="32"/>
        </w:rPr>
        <w:t>PX、PTA</w:t>
      </w:r>
      <w:r>
        <w:rPr>
          <w:rFonts w:hint="eastAsia" w:ascii="仿宋_GB2312" w:hAnsi="楷体" w:eastAsia="仿宋_GB2312"/>
          <w:sz w:val="32"/>
          <w:szCs w:val="32"/>
        </w:rPr>
        <w:t>厂区雨水监测站房满足环保规范，申请</w:t>
      </w:r>
      <w:r>
        <w:rPr>
          <w:rFonts w:hint="eastAsia" w:ascii="Times New Roman" w:hAnsi="Times New Roman" w:eastAsia="仿宋_GB2312" w:cs="Times New Roman"/>
          <w:sz w:val="32"/>
          <w:szCs w:val="32"/>
        </w:rPr>
        <w:t>PX、PTA</w:t>
      </w:r>
      <w:r>
        <w:rPr>
          <w:rFonts w:hint="eastAsia" w:ascii="仿宋_GB2312" w:hAnsi="楷体" w:eastAsia="仿宋_GB2312"/>
          <w:sz w:val="32"/>
          <w:szCs w:val="32"/>
        </w:rPr>
        <w:t>厂区</w:t>
      </w:r>
      <w:r>
        <w:rPr>
          <w:rFonts w:hint="eastAsia" w:ascii="Times New Roman" w:hAnsi="Times New Roman" w:eastAsia="仿宋_GB2312" w:cs="Times New Roman"/>
          <w:sz w:val="32"/>
          <w:szCs w:val="32"/>
        </w:rPr>
        <w:t>2</w:t>
      </w:r>
      <w:r>
        <w:rPr>
          <w:rFonts w:hint="eastAsia" w:ascii="仿宋_GB2312" w:hAnsi="楷体" w:eastAsia="仿宋_GB2312"/>
          <w:sz w:val="32"/>
          <w:szCs w:val="32"/>
        </w:rPr>
        <w:t>座雨水监测站房发包采购。</w:t>
      </w:r>
    </w:p>
    <w:p>
      <w:pPr>
        <w:pStyle w:val="7"/>
        <w:numPr>
          <w:ilvl w:val="0"/>
          <w:numId w:val="2"/>
        </w:numPr>
        <w:spacing w:line="560" w:lineRule="exact"/>
        <w:ind w:firstLineChars="0"/>
        <w:jc w:val="left"/>
        <w:rPr>
          <w:rFonts w:ascii="黑体" w:hAnsi="黑体" w:eastAsia="黑体"/>
          <w:sz w:val="32"/>
          <w:szCs w:val="32"/>
        </w:rPr>
      </w:pPr>
      <w:r>
        <w:rPr>
          <w:rFonts w:hint="eastAsia" w:ascii="黑体" w:hAnsi="黑体" w:eastAsia="黑体"/>
          <w:sz w:val="32"/>
          <w:szCs w:val="32"/>
        </w:rPr>
        <w:t>监测站房规格要求</w:t>
      </w:r>
    </w:p>
    <w:p>
      <w:pPr>
        <w:pStyle w:val="7"/>
        <w:keepNext w:val="0"/>
        <w:keepLines w:val="0"/>
        <w:pageBreakBefore w:val="0"/>
        <w:widowControl w:val="0"/>
        <w:kinsoku/>
        <w:wordWrap/>
        <w:overflowPunct/>
        <w:topLinePunct w:val="0"/>
        <w:autoSpaceDE/>
        <w:autoSpaceDN/>
        <w:bidi w:val="0"/>
        <w:adjustRightInd/>
        <w:snapToGrid/>
        <w:spacing w:line="360" w:lineRule="auto"/>
        <w:ind w:left="0" w:firstLine="640"/>
        <w:textAlignment w:val="auto"/>
        <w:rPr>
          <w:rFonts w:ascii="仿宋_GB2312" w:hAnsi="黑体" w:eastAsia="仿宋_GB2312"/>
          <w:sz w:val="32"/>
          <w:szCs w:val="32"/>
        </w:rPr>
      </w:pPr>
      <w:r>
        <w:rPr>
          <w:rFonts w:hint="eastAsia" w:ascii="仿宋_GB2312" w:hAnsi="楷体" w:eastAsia="仿宋_GB2312"/>
          <w:sz w:val="32"/>
          <w:szCs w:val="32"/>
        </w:rPr>
        <w:t>监测站房设在</w:t>
      </w:r>
      <w:r>
        <w:rPr>
          <w:rFonts w:hint="eastAsia" w:ascii="仿宋_GB2312" w:hAnsi="黑体" w:eastAsia="仿宋_GB2312"/>
          <w:sz w:val="32"/>
          <w:szCs w:val="32"/>
        </w:rPr>
        <w:t>亚热带海洋环境，特征是高温、高湿和高盐雾，所用材质与防腐措施均需以耐海洋性腐蚀为标准。站房内的分析仪表所用试剂部分有强腐蚀性，站房内地板应具备耐</w:t>
      </w:r>
      <w:r>
        <w:rPr>
          <w:rFonts w:ascii="仿宋_GB2312" w:hAnsi="黑体" w:eastAsia="仿宋_GB2312"/>
          <w:sz w:val="32"/>
          <w:szCs w:val="32"/>
        </w:rPr>
        <w:t>(80-100 %)</w:t>
      </w:r>
      <w:r>
        <w:rPr>
          <w:rFonts w:hint="eastAsia" w:ascii="仿宋_GB2312" w:hAnsi="黑体" w:eastAsia="仿宋_GB2312"/>
          <w:sz w:val="32"/>
          <w:szCs w:val="32"/>
        </w:rPr>
        <w:t>浓硫酸、（</w:t>
      </w:r>
      <w:r>
        <w:rPr>
          <w:rFonts w:ascii="仿宋_GB2312" w:hAnsi="黑体" w:eastAsia="仿宋_GB2312"/>
          <w:sz w:val="32"/>
          <w:szCs w:val="32"/>
        </w:rPr>
        <w:t>1＋16）盐酸溶液</w:t>
      </w:r>
      <w:r>
        <w:rPr>
          <w:rFonts w:hint="eastAsia" w:ascii="仿宋_GB2312" w:hAnsi="黑体" w:eastAsia="仿宋_GB2312"/>
          <w:sz w:val="32"/>
          <w:szCs w:val="32"/>
        </w:rPr>
        <w:t>、</w:t>
      </w:r>
      <w:r>
        <w:rPr>
          <w:rFonts w:ascii="仿宋_GB2312" w:hAnsi="黑体" w:eastAsia="仿宋_GB2312"/>
          <w:sz w:val="32"/>
          <w:szCs w:val="32"/>
        </w:rPr>
        <w:t>(2-6 %)</w:t>
      </w:r>
      <w:r>
        <w:rPr>
          <w:rFonts w:hint="eastAsia" w:ascii="仿宋_GB2312" w:hAnsi="黑体" w:eastAsia="仿宋_GB2312"/>
          <w:sz w:val="32"/>
          <w:szCs w:val="32"/>
        </w:rPr>
        <w:t>烧碱和</w:t>
      </w:r>
      <w:r>
        <w:rPr>
          <w:rFonts w:ascii="仿宋_GB2312" w:hAnsi="黑体" w:eastAsia="仿宋_GB2312"/>
          <w:sz w:val="32"/>
          <w:szCs w:val="32"/>
        </w:rPr>
        <w:t>5M氢氧化钠水溶液</w:t>
      </w:r>
      <w:r>
        <w:rPr>
          <w:rFonts w:hint="eastAsia" w:ascii="仿宋_GB2312" w:hAnsi="黑体" w:eastAsia="仿宋_GB2312"/>
          <w:sz w:val="32"/>
          <w:szCs w:val="32"/>
        </w:rPr>
        <w:t>等腐蚀的性能。</w:t>
      </w:r>
    </w:p>
    <w:p>
      <w:pPr>
        <w:pStyle w:val="7"/>
        <w:keepNext w:val="0"/>
        <w:keepLines w:val="0"/>
        <w:pageBreakBefore w:val="0"/>
        <w:widowControl w:val="0"/>
        <w:kinsoku/>
        <w:wordWrap/>
        <w:overflowPunct/>
        <w:topLinePunct w:val="0"/>
        <w:autoSpaceDE/>
        <w:autoSpaceDN/>
        <w:bidi w:val="0"/>
        <w:adjustRightInd/>
        <w:snapToGrid/>
        <w:spacing w:line="360" w:lineRule="auto"/>
        <w:ind w:left="0" w:firstLine="640"/>
        <w:textAlignment w:val="auto"/>
        <w:rPr>
          <w:rFonts w:ascii="仿宋_GB2312" w:hAnsi="黑体" w:eastAsia="仿宋_GB2312"/>
          <w:sz w:val="32"/>
          <w:szCs w:val="32"/>
        </w:rPr>
      </w:pPr>
      <w:r>
        <w:rPr>
          <w:rFonts w:ascii="仿宋_GB2312" w:hAnsi="黑体" w:eastAsia="仿宋_GB2312"/>
          <w:sz w:val="32"/>
          <w:szCs w:val="32"/>
        </w:rPr>
        <w:t>从发运之日起五年内，</w:t>
      </w:r>
      <w:r>
        <w:rPr>
          <w:rFonts w:hint="eastAsia" w:ascii="仿宋_GB2312" w:hAnsi="黑体" w:eastAsia="仿宋_GB2312"/>
          <w:sz w:val="32"/>
          <w:szCs w:val="32"/>
        </w:rPr>
        <w:t>未做防腐措施的材质上不应有明显的腐蚀，</w:t>
      </w:r>
      <w:r>
        <w:rPr>
          <w:rFonts w:ascii="仿宋_GB2312" w:hAnsi="黑体" w:eastAsia="仿宋_GB2312"/>
          <w:sz w:val="32"/>
          <w:szCs w:val="32"/>
        </w:rPr>
        <w:t>未擦伤表面的涂漆不应有剥落、脱落及生锈现象</w:t>
      </w:r>
      <w:r>
        <w:rPr>
          <w:rFonts w:hint="eastAsia" w:ascii="仿宋_GB2312" w:hAnsi="黑体" w:eastAsia="仿宋_GB2312"/>
          <w:sz w:val="32"/>
          <w:szCs w:val="32"/>
        </w:rPr>
        <w:t>。</w:t>
      </w:r>
    </w:p>
    <w:p>
      <w:pPr>
        <w:pStyle w:val="7"/>
        <w:keepNext w:val="0"/>
        <w:keepLines w:val="0"/>
        <w:pageBreakBefore w:val="0"/>
        <w:widowControl w:val="0"/>
        <w:kinsoku/>
        <w:wordWrap/>
        <w:overflowPunct/>
        <w:topLinePunct w:val="0"/>
        <w:autoSpaceDE/>
        <w:autoSpaceDN/>
        <w:bidi w:val="0"/>
        <w:adjustRightInd/>
        <w:snapToGrid/>
        <w:spacing w:line="360" w:lineRule="auto"/>
        <w:ind w:left="0" w:firstLine="640"/>
        <w:textAlignment w:val="auto"/>
        <w:rPr>
          <w:rFonts w:ascii="仿宋_GB2312" w:hAnsi="楷体" w:eastAsia="仿宋_GB2312"/>
          <w:sz w:val="32"/>
          <w:szCs w:val="32"/>
        </w:rPr>
      </w:pPr>
      <w:r>
        <w:rPr>
          <w:rFonts w:hint="eastAsia" w:ascii="仿宋_GB2312" w:hAnsi="楷体" w:eastAsia="仿宋_GB2312"/>
          <w:sz w:val="32"/>
          <w:szCs w:val="32"/>
        </w:rPr>
        <w:t>站房须有防雨、防尘、防火、保温等功能。内装仪表</w:t>
      </w:r>
      <w:r>
        <w:rPr>
          <w:rFonts w:ascii="仿宋_GB2312" w:hAnsi="楷体" w:eastAsia="仿宋_GB2312"/>
          <w:sz w:val="32"/>
          <w:szCs w:val="32"/>
        </w:rPr>
        <w:t>:</w:t>
      </w:r>
      <w:r>
        <w:rPr>
          <w:rFonts w:hint="eastAsia" w:ascii="仿宋_GB2312" w:hAnsi="楷体" w:eastAsia="仿宋_GB2312"/>
          <w:sz w:val="32"/>
          <w:szCs w:val="32"/>
        </w:rPr>
        <w:t>在线</w:t>
      </w:r>
      <w:r>
        <w:rPr>
          <w:rFonts w:hint="eastAsia" w:ascii="Times New Roman" w:hAnsi="Times New Roman" w:eastAsia="仿宋_GB2312" w:cs="Times New Roman"/>
          <w:sz w:val="32"/>
          <w:szCs w:val="32"/>
        </w:rPr>
        <w:t>COD</w:t>
      </w:r>
      <w:r>
        <w:rPr>
          <w:rFonts w:hint="eastAsia" w:ascii="仿宋_GB2312" w:hAnsi="楷体" w:eastAsia="仿宋_GB2312"/>
          <w:sz w:val="32"/>
          <w:szCs w:val="32"/>
        </w:rPr>
        <w:t>水质分析仪</w:t>
      </w:r>
      <w:r>
        <w:rPr>
          <w:rFonts w:ascii="仿宋_GB2312" w:hAnsi="楷体" w:eastAsia="仿宋_GB2312"/>
          <w:sz w:val="32"/>
          <w:szCs w:val="32"/>
        </w:rPr>
        <w:t>，</w:t>
      </w:r>
      <w:r>
        <w:rPr>
          <w:rFonts w:hint="eastAsia" w:ascii="仿宋_GB2312" w:hAnsi="楷体" w:eastAsia="仿宋_GB2312"/>
          <w:sz w:val="32"/>
          <w:szCs w:val="32"/>
        </w:rPr>
        <w:t>水中油在线分析仪（</w:t>
      </w:r>
      <w:r>
        <w:rPr>
          <w:rFonts w:hint="eastAsia" w:ascii="Times New Roman" w:hAnsi="Times New Roman" w:eastAsia="仿宋_GB2312" w:cs="Times New Roman"/>
          <w:sz w:val="32"/>
          <w:szCs w:val="32"/>
        </w:rPr>
        <w:t>PTA</w:t>
      </w:r>
      <w:r>
        <w:rPr>
          <w:rFonts w:hint="eastAsia" w:ascii="仿宋_GB2312" w:hAnsi="楷体" w:eastAsia="仿宋_GB2312"/>
          <w:sz w:val="32"/>
          <w:szCs w:val="32"/>
        </w:rPr>
        <w:t>雨水监测站房无水中油分析仪）和</w:t>
      </w:r>
      <w:r>
        <w:rPr>
          <w:rFonts w:hint="eastAsia" w:ascii="Times New Roman" w:hAnsi="Times New Roman" w:eastAsia="仿宋_GB2312" w:cs="Times New Roman"/>
          <w:sz w:val="32"/>
          <w:szCs w:val="32"/>
        </w:rPr>
        <w:t>PH</w:t>
      </w:r>
      <w:r>
        <w:rPr>
          <w:rFonts w:hint="eastAsia" w:ascii="仿宋_GB2312" w:hAnsi="楷体" w:eastAsia="仿宋_GB2312"/>
          <w:sz w:val="32"/>
          <w:szCs w:val="32"/>
        </w:rPr>
        <w:t>分析仪</w:t>
      </w:r>
      <w:r>
        <w:rPr>
          <w:rFonts w:ascii="仿宋_GB2312" w:hAnsi="楷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ascii="楷体_GB2312" w:hAnsi="黑体" w:eastAsia="楷体_GB2312"/>
          <w:sz w:val="32"/>
          <w:szCs w:val="32"/>
        </w:rPr>
      </w:pPr>
      <w:r>
        <w:rPr>
          <w:rFonts w:hint="eastAsia" w:ascii="楷体_GB2312" w:hAnsi="楷体" w:eastAsia="楷体_GB2312"/>
          <w:sz w:val="32"/>
          <w:szCs w:val="32"/>
        </w:rPr>
        <w:t>（一）</w:t>
      </w:r>
      <w:r>
        <w:rPr>
          <w:rFonts w:ascii="楷体_GB2312" w:hAnsi="楷体" w:eastAsia="楷体_GB2312"/>
          <w:sz w:val="32"/>
          <w:szCs w:val="32"/>
        </w:rPr>
        <w:t>监测站房尺寸</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jc w:val="left"/>
        <w:textAlignment w:val="auto"/>
        <w:rPr>
          <w:rFonts w:ascii="仿宋_GB2312" w:hAnsi="楷体" w:eastAsia="仿宋_GB2312"/>
          <w:sz w:val="32"/>
          <w:szCs w:val="32"/>
        </w:rPr>
      </w:pPr>
      <w:r>
        <w:rPr>
          <w:rFonts w:hint="eastAsia" w:ascii="仿宋_GB2312" w:hAnsi="楷体" w:eastAsia="仿宋_GB2312"/>
          <w:sz w:val="32"/>
          <w:szCs w:val="32"/>
        </w:rPr>
        <w:t>外形尺寸（室内）</w:t>
      </w:r>
      <w:r>
        <w:rPr>
          <w:rFonts w:ascii="仿宋_GB2312" w:hAnsi="楷体" w:eastAsia="仿宋_GB2312"/>
          <w:sz w:val="32"/>
          <w:szCs w:val="32"/>
        </w:rPr>
        <w:t>:</w:t>
      </w:r>
      <w:r>
        <w:rPr>
          <w:rFonts w:hint="eastAsia" w:ascii="仿宋_GB2312" w:hAnsi="楷体" w:eastAsia="仿宋_GB2312"/>
          <w:sz w:val="32"/>
          <w:szCs w:val="32"/>
        </w:rPr>
        <w:t xml:space="preserve">长宽高待定，面积应不小于 </w:t>
      </w:r>
      <w:r>
        <w:rPr>
          <w:rFonts w:hint="eastAsia" w:ascii="Times New Roman" w:hAnsi="Times New Roman" w:eastAsia="仿宋_GB2312" w:cs="Times New Roman"/>
          <w:sz w:val="32"/>
          <w:szCs w:val="32"/>
        </w:rPr>
        <w:t xml:space="preserve">15 </w:t>
      </w:r>
      <w:r>
        <w:rPr>
          <w:rFonts w:hint="eastAsia" w:ascii="微软雅黑" w:hAnsi="微软雅黑" w:eastAsia="微软雅黑" w:cs="微软雅黑"/>
          <w:sz w:val="32"/>
          <w:szCs w:val="32"/>
        </w:rPr>
        <w:t>㎡</w:t>
      </w:r>
      <w:r>
        <w:rPr>
          <w:rFonts w:hint="eastAsia" w:ascii="仿宋_GB2312" w:hAnsi="楷体" w:eastAsia="仿宋_GB2312"/>
          <w:sz w:val="32"/>
          <w:szCs w:val="32"/>
        </w:rPr>
        <w:t>,站房高度不低于</w:t>
      </w:r>
      <w:r>
        <w:rPr>
          <w:rFonts w:hint="eastAsia" w:ascii="Times New Roman" w:hAnsi="Times New Roman" w:eastAsia="仿宋_GB2312" w:cs="Times New Roman"/>
          <w:sz w:val="32"/>
          <w:szCs w:val="32"/>
        </w:rPr>
        <w:t xml:space="preserve"> 2.8m</w:t>
      </w:r>
      <w:r>
        <w:rPr>
          <w:rFonts w:hint="eastAsia" w:ascii="仿宋_GB2312" w:hAnsi="楷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ascii="楷体_GB2312" w:hAnsi="黑体" w:eastAsia="楷体_GB2312"/>
          <w:sz w:val="32"/>
          <w:szCs w:val="32"/>
        </w:rPr>
      </w:pPr>
      <w:r>
        <w:rPr>
          <w:rFonts w:hint="eastAsia" w:ascii="楷体_GB2312" w:hAnsi="楷体" w:eastAsia="楷体_GB2312"/>
          <w:sz w:val="32"/>
          <w:szCs w:val="32"/>
        </w:rPr>
        <w:t>（二）</w:t>
      </w:r>
      <w:r>
        <w:rPr>
          <w:rFonts w:ascii="楷体_GB2312" w:hAnsi="楷体" w:eastAsia="楷体_GB2312"/>
          <w:sz w:val="32"/>
          <w:szCs w:val="32"/>
        </w:rPr>
        <w:t>监测站房结构</w:t>
      </w:r>
    </w:p>
    <w:p>
      <w:pPr>
        <w:pStyle w:val="7"/>
        <w:keepNext w:val="0"/>
        <w:keepLines w:val="0"/>
        <w:pageBreakBefore w:val="0"/>
        <w:widowControl w:val="0"/>
        <w:numPr>
          <w:ilvl w:val="2"/>
          <w:numId w:val="1"/>
        </w:numPr>
        <w:kinsoku/>
        <w:wordWrap/>
        <w:overflowPunct/>
        <w:topLinePunct w:val="0"/>
        <w:autoSpaceDE/>
        <w:autoSpaceDN/>
        <w:bidi w:val="0"/>
        <w:adjustRightInd/>
        <w:snapToGrid/>
        <w:spacing w:line="360" w:lineRule="auto"/>
        <w:ind w:left="0" w:firstLine="442" w:firstLineChars="0"/>
        <w:jc w:val="left"/>
        <w:textAlignment w:val="auto"/>
        <w:rPr>
          <w:rFonts w:ascii="仿宋_GB2312" w:hAnsi="黑体" w:eastAsia="仿宋_GB2312"/>
          <w:b/>
          <w:bCs/>
          <w:sz w:val="32"/>
          <w:szCs w:val="32"/>
        </w:rPr>
      </w:pPr>
      <w:bookmarkStart w:id="0" w:name="_Hlk169707023"/>
      <w:r>
        <w:rPr>
          <w:rFonts w:hint="eastAsia" w:ascii="仿宋_GB2312" w:hAnsi="黑体" w:eastAsia="仿宋_GB2312"/>
          <w:sz w:val="32"/>
          <w:szCs w:val="32"/>
        </w:rPr>
        <w:t>站房采用型钢焊接框架式结构，材质为热浸锌</w:t>
      </w:r>
      <w:r>
        <w:rPr>
          <w:rFonts w:ascii="仿宋_GB2312" w:hAnsi="黑体" w:eastAsia="仿宋_GB2312"/>
          <w:sz w:val="32"/>
          <w:szCs w:val="32"/>
        </w:rPr>
        <w:t>。站房密闭、防雨、防尘、隔热，防护等级为</w:t>
      </w:r>
      <w:r>
        <w:rPr>
          <w:rFonts w:ascii="Times New Roman" w:hAnsi="Times New Roman" w:eastAsia="仿宋_GB2312" w:cs="Times New Roman"/>
          <w:sz w:val="32"/>
          <w:szCs w:val="32"/>
        </w:rPr>
        <w:t>IP55</w:t>
      </w:r>
      <w:r>
        <w:rPr>
          <w:rFonts w:hint="eastAsia" w:ascii="仿宋_GB2312" w:hAnsi="黑体" w:eastAsia="仿宋_GB2312"/>
          <w:sz w:val="32"/>
          <w:szCs w:val="32"/>
        </w:rPr>
        <w:t>。</w:t>
      </w:r>
      <w:r>
        <w:rPr>
          <w:rFonts w:ascii="仿宋_GB2312" w:hAnsi="黑体" w:eastAsia="仿宋_GB2312"/>
          <w:sz w:val="32"/>
          <w:szCs w:val="32"/>
        </w:rPr>
        <w:t xml:space="preserve">站房外有至少两处外壳接地端子。站房应提供防雷和防静电措施。监测站房所有采用的材料应为非易燃材料，防火等级应为可燃气体 </w:t>
      </w:r>
      <w:r>
        <w:rPr>
          <w:rFonts w:ascii="Times New Roman" w:hAnsi="Times New Roman" w:eastAsia="仿宋_GB2312" w:cs="Times New Roman"/>
          <w:sz w:val="32"/>
          <w:szCs w:val="32"/>
        </w:rPr>
        <w:t>426</w:t>
      </w:r>
      <w:r>
        <w:rPr>
          <w:rFonts w:hint="eastAsia" w:ascii="Times New Roman" w:hAnsi="Times New Roman" w:eastAsia="仿宋_GB2312" w:cs="Times New Roman"/>
          <w:sz w:val="32"/>
          <w:szCs w:val="32"/>
        </w:rPr>
        <w:t>℃</w:t>
      </w:r>
      <w:r>
        <w:rPr>
          <w:rFonts w:ascii="仿宋_GB2312" w:hAnsi="黑体" w:eastAsia="仿宋_GB2312"/>
          <w:sz w:val="32"/>
          <w:szCs w:val="32"/>
        </w:rPr>
        <w:t>连续</w:t>
      </w:r>
      <w:r>
        <w:rPr>
          <w:rFonts w:ascii="Times New Roman" w:hAnsi="Times New Roman" w:eastAsia="仿宋_GB2312" w:cs="Times New Roman"/>
          <w:sz w:val="32"/>
          <w:szCs w:val="32"/>
        </w:rPr>
        <w:t xml:space="preserve"> 30</w:t>
      </w:r>
      <w:r>
        <w:rPr>
          <w:rFonts w:ascii="仿宋_GB2312" w:hAnsi="黑体" w:eastAsia="仿宋_GB2312"/>
          <w:sz w:val="32"/>
          <w:szCs w:val="32"/>
        </w:rPr>
        <w:t xml:space="preserve"> 分钟，可燃液体/蒸汽 </w:t>
      </w:r>
      <w:r>
        <w:rPr>
          <w:rFonts w:ascii="Times New Roman" w:hAnsi="Times New Roman" w:eastAsia="仿宋_GB2312" w:cs="Times New Roman"/>
          <w:sz w:val="32"/>
          <w:szCs w:val="32"/>
        </w:rPr>
        <w:t>426</w:t>
      </w:r>
      <w:r>
        <w:rPr>
          <w:rFonts w:hint="eastAsia" w:ascii="Times New Roman" w:hAnsi="Times New Roman" w:eastAsia="仿宋_GB2312" w:cs="Times New Roman"/>
          <w:sz w:val="32"/>
          <w:szCs w:val="32"/>
        </w:rPr>
        <w:t>℃</w:t>
      </w:r>
      <w:r>
        <w:rPr>
          <w:rFonts w:ascii="仿宋_GB2312" w:hAnsi="黑体" w:eastAsia="仿宋_GB2312"/>
          <w:sz w:val="32"/>
          <w:szCs w:val="32"/>
        </w:rPr>
        <w:t>连续</w:t>
      </w:r>
      <w:r>
        <w:rPr>
          <w:rFonts w:ascii="Times New Roman" w:hAnsi="Times New Roman" w:eastAsia="仿宋_GB2312" w:cs="Times New Roman"/>
          <w:sz w:val="32"/>
          <w:szCs w:val="32"/>
        </w:rPr>
        <w:t xml:space="preserve">90 </w:t>
      </w:r>
      <w:r>
        <w:rPr>
          <w:rFonts w:ascii="仿宋_GB2312" w:hAnsi="黑体" w:eastAsia="仿宋_GB2312"/>
          <w:sz w:val="32"/>
          <w:szCs w:val="32"/>
        </w:rPr>
        <w:t>分钟</w:t>
      </w:r>
      <w:r>
        <w:rPr>
          <w:rFonts w:hint="eastAsia" w:ascii="仿宋_GB2312" w:hAnsi="黑体" w:eastAsia="仿宋_GB2312"/>
          <w:sz w:val="32"/>
          <w:szCs w:val="32"/>
        </w:rPr>
        <w:t>。</w:t>
      </w:r>
      <w:bookmarkEnd w:id="0"/>
    </w:p>
    <w:p>
      <w:pPr>
        <w:pStyle w:val="7"/>
        <w:keepNext w:val="0"/>
        <w:keepLines w:val="0"/>
        <w:pageBreakBefore w:val="0"/>
        <w:widowControl w:val="0"/>
        <w:numPr>
          <w:ilvl w:val="2"/>
          <w:numId w:val="1"/>
        </w:numPr>
        <w:kinsoku/>
        <w:wordWrap/>
        <w:overflowPunct/>
        <w:topLinePunct w:val="0"/>
        <w:autoSpaceDE/>
        <w:autoSpaceDN/>
        <w:bidi w:val="0"/>
        <w:adjustRightInd/>
        <w:snapToGrid/>
        <w:spacing w:line="360" w:lineRule="auto"/>
        <w:ind w:left="0" w:firstLine="442" w:firstLineChars="0"/>
        <w:jc w:val="left"/>
        <w:textAlignment w:val="auto"/>
        <w:rPr>
          <w:rFonts w:ascii="仿宋_GB2312" w:hAnsi="黑体" w:eastAsia="仿宋_GB2312"/>
          <w:b/>
          <w:bCs/>
          <w:sz w:val="32"/>
          <w:szCs w:val="32"/>
        </w:rPr>
      </w:pPr>
      <w:r>
        <w:rPr>
          <w:rFonts w:hint="eastAsia" w:ascii="仿宋_GB2312" w:hAnsi="黑体" w:eastAsia="仿宋_GB2312"/>
          <w:sz w:val="32"/>
          <w:szCs w:val="32"/>
        </w:rPr>
        <w:t>屋顶为“</w:t>
      </w:r>
      <w:r>
        <w:rPr>
          <w:rFonts w:ascii="Times New Roman" w:hAnsi="Times New Roman" w:eastAsia="仿宋_GB2312" w:cs="Times New Roman"/>
          <w:sz w:val="32"/>
          <w:szCs w:val="32"/>
        </w:rPr>
        <w:t>A</w:t>
      </w:r>
      <w:r>
        <w:rPr>
          <w:rFonts w:hint="eastAsia" w:ascii="仿宋_GB2312" w:hAnsi="黑体" w:eastAsia="仿宋_GB2312"/>
          <w:sz w:val="32"/>
          <w:szCs w:val="32"/>
        </w:rPr>
        <w:t>”</w:t>
      </w:r>
      <w:r>
        <w:rPr>
          <w:rFonts w:ascii="仿宋_GB2312" w:hAnsi="黑体" w:eastAsia="仿宋_GB2312"/>
          <w:sz w:val="32"/>
          <w:szCs w:val="32"/>
        </w:rPr>
        <w:t xml:space="preserve">型防水结构，最小坡度为 </w:t>
      </w:r>
      <w:r>
        <w:rPr>
          <w:rFonts w:ascii="Times New Roman" w:hAnsi="Times New Roman" w:eastAsia="仿宋_GB2312" w:cs="Times New Roman"/>
          <w:sz w:val="32"/>
          <w:szCs w:val="32"/>
        </w:rPr>
        <w:t>4%</w:t>
      </w:r>
      <w:r>
        <w:rPr>
          <w:rFonts w:ascii="仿宋_GB2312" w:hAnsi="黑体" w:eastAsia="仿宋_GB2312"/>
          <w:sz w:val="32"/>
          <w:szCs w:val="32"/>
        </w:rPr>
        <w:t>，载重要考虑设备维修、安装和施工等活动。为方便站房的吊运，站房顶部带有起重用的吊耳。</w:t>
      </w:r>
    </w:p>
    <w:p>
      <w:pPr>
        <w:pStyle w:val="7"/>
        <w:keepNext w:val="0"/>
        <w:keepLines w:val="0"/>
        <w:pageBreakBefore w:val="0"/>
        <w:widowControl w:val="0"/>
        <w:numPr>
          <w:ilvl w:val="2"/>
          <w:numId w:val="1"/>
        </w:numPr>
        <w:kinsoku/>
        <w:wordWrap/>
        <w:overflowPunct/>
        <w:topLinePunct w:val="0"/>
        <w:autoSpaceDE/>
        <w:autoSpaceDN/>
        <w:bidi w:val="0"/>
        <w:adjustRightInd/>
        <w:snapToGrid/>
        <w:spacing w:line="360" w:lineRule="auto"/>
        <w:ind w:left="0" w:firstLine="442" w:firstLineChars="0"/>
        <w:jc w:val="left"/>
        <w:textAlignment w:val="auto"/>
        <w:rPr>
          <w:rFonts w:ascii="仿宋_GB2312" w:hAnsi="黑体" w:eastAsia="仿宋_GB2312"/>
          <w:b/>
          <w:bCs/>
          <w:sz w:val="32"/>
          <w:szCs w:val="32"/>
        </w:rPr>
      </w:pPr>
      <w:r>
        <w:rPr>
          <w:rFonts w:hint="eastAsia" w:ascii="仿宋_GB2312" w:hAnsi="黑体" w:eastAsia="仿宋_GB2312"/>
          <w:sz w:val="32"/>
          <w:szCs w:val="32"/>
        </w:rPr>
        <w:t>内外墙及屋顶由冂型钢板拼装而成，外墙和屋顶采用</w:t>
      </w:r>
      <w:r>
        <w:rPr>
          <w:rFonts w:ascii="仿宋_GB2312" w:hAnsi="黑体" w:eastAsia="仿宋_GB2312"/>
          <w:sz w:val="32"/>
          <w:szCs w:val="32"/>
        </w:rPr>
        <w:t xml:space="preserve"> </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 xml:space="preserve">mm </w:t>
      </w:r>
      <w:r>
        <w:rPr>
          <w:rFonts w:ascii="仿宋_GB2312" w:hAnsi="黑体" w:eastAsia="仿宋_GB2312"/>
          <w:sz w:val="32"/>
          <w:szCs w:val="32"/>
        </w:rPr>
        <w:t>厚拉丝不锈钢板</w:t>
      </w:r>
      <w:r>
        <w:rPr>
          <w:rFonts w:hint="eastAsia" w:ascii="仿宋_GB2312" w:hAnsi="黑体" w:eastAsia="仿宋_GB2312"/>
          <w:sz w:val="32"/>
          <w:szCs w:val="32"/>
        </w:rPr>
        <w:t>，本色且纹理均匀；</w:t>
      </w:r>
      <w:r>
        <w:rPr>
          <w:rFonts w:ascii="仿宋_GB2312" w:hAnsi="黑体" w:eastAsia="仿宋_GB2312"/>
          <w:sz w:val="32"/>
          <w:szCs w:val="32"/>
        </w:rPr>
        <w:t xml:space="preserve">内墙和吊顶采用 </w:t>
      </w:r>
      <w:r>
        <w:rPr>
          <w:rFonts w:ascii="Times New Roman" w:hAnsi="Times New Roman" w:eastAsia="仿宋_GB2312" w:cs="Times New Roman"/>
          <w:sz w:val="32"/>
          <w:szCs w:val="32"/>
        </w:rPr>
        <w:t>1.5mm</w:t>
      </w:r>
      <w:r>
        <w:rPr>
          <w:rFonts w:ascii="仿宋_GB2312" w:hAnsi="黑体" w:eastAsia="仿宋_GB2312"/>
          <w:sz w:val="32"/>
          <w:szCs w:val="32"/>
        </w:rPr>
        <w:t xml:space="preserve"> 厚 </w:t>
      </w:r>
      <w:r>
        <w:rPr>
          <w:rFonts w:ascii="Times New Roman" w:hAnsi="Times New Roman" w:eastAsia="仿宋_GB2312" w:cs="Times New Roman"/>
          <w:sz w:val="32"/>
          <w:szCs w:val="32"/>
        </w:rPr>
        <w:t>304</w:t>
      </w:r>
      <w:r>
        <w:rPr>
          <w:rFonts w:ascii="仿宋_GB2312" w:hAnsi="黑体" w:eastAsia="仿宋_GB2312"/>
          <w:sz w:val="32"/>
          <w:szCs w:val="32"/>
        </w:rPr>
        <w:t>不锈钢板，表面喷塑</w:t>
      </w:r>
      <w:r>
        <w:rPr>
          <w:rFonts w:hint="eastAsia" w:ascii="仿宋_GB2312" w:hAnsi="黑体" w:eastAsia="仿宋_GB2312"/>
          <w:sz w:val="32"/>
          <w:szCs w:val="32"/>
        </w:rPr>
        <w:t>。</w:t>
      </w:r>
      <w:r>
        <w:rPr>
          <w:rFonts w:ascii="仿宋_GB2312" w:hAnsi="黑体" w:eastAsia="仿宋_GB2312"/>
          <w:sz w:val="32"/>
          <w:szCs w:val="32"/>
        </w:rPr>
        <w:t xml:space="preserve">墙厚 </w:t>
      </w:r>
      <w:r>
        <w:rPr>
          <w:rFonts w:ascii="Times New Roman" w:hAnsi="Times New Roman" w:eastAsia="仿宋_GB2312" w:cs="Times New Roman"/>
          <w:sz w:val="32"/>
          <w:szCs w:val="32"/>
        </w:rPr>
        <w:t>75mm</w:t>
      </w:r>
      <w:r>
        <w:rPr>
          <w:rFonts w:ascii="仿宋_GB2312" w:hAnsi="黑体" w:eastAsia="仿宋_GB2312"/>
          <w:sz w:val="32"/>
          <w:szCs w:val="32"/>
        </w:rPr>
        <w:t xml:space="preserve">，内外墙及屋顶至少填充 </w:t>
      </w:r>
      <w:r>
        <w:rPr>
          <w:rFonts w:ascii="Times New Roman" w:hAnsi="Times New Roman" w:eastAsia="仿宋_GB2312" w:cs="Times New Roman"/>
          <w:sz w:val="32"/>
          <w:szCs w:val="32"/>
        </w:rPr>
        <w:t>65mm</w:t>
      </w:r>
      <w:r>
        <w:rPr>
          <w:rFonts w:ascii="仿宋_GB2312" w:hAnsi="黑体" w:eastAsia="仿宋_GB2312"/>
          <w:sz w:val="32"/>
          <w:szCs w:val="32"/>
        </w:rPr>
        <w:t>厚阻燃型保温材料(聚氨酯泡沫等)</w:t>
      </w:r>
      <w:r>
        <w:rPr>
          <w:rFonts w:hint="eastAsia" w:ascii="仿宋_GB2312" w:hAnsi="黑体" w:eastAsia="仿宋_GB2312"/>
          <w:sz w:val="32"/>
          <w:szCs w:val="32"/>
        </w:rPr>
        <w:t>。内外墙的负载能力理论值为</w:t>
      </w:r>
      <w:r>
        <w:rPr>
          <w:rFonts w:ascii="Times New Roman" w:hAnsi="Times New Roman" w:eastAsia="仿宋_GB2312" w:cs="Times New Roman"/>
          <w:sz w:val="32"/>
          <w:szCs w:val="32"/>
        </w:rPr>
        <w:t>500kg/</w:t>
      </w:r>
      <w:r>
        <w:rPr>
          <w:rFonts w:hint="eastAsia" w:ascii="微软雅黑" w:hAnsi="微软雅黑" w:eastAsia="微软雅黑" w:cs="微软雅黑"/>
          <w:sz w:val="32"/>
          <w:szCs w:val="32"/>
        </w:rPr>
        <w:t>㎡</w:t>
      </w:r>
      <w:r>
        <w:rPr>
          <w:rFonts w:ascii="仿宋_GB2312" w:hAnsi="黑体" w:eastAsia="仿宋_GB2312"/>
          <w:sz w:val="32"/>
          <w:szCs w:val="32"/>
        </w:rPr>
        <w:t>,屋顶最小承受力理论值为</w:t>
      </w:r>
      <w:r>
        <w:rPr>
          <w:rFonts w:ascii="Times New Roman" w:hAnsi="Times New Roman" w:eastAsia="仿宋_GB2312" w:cs="Times New Roman"/>
          <w:sz w:val="32"/>
          <w:szCs w:val="32"/>
        </w:rPr>
        <w:t>250kg/</w:t>
      </w:r>
      <w:r>
        <w:rPr>
          <w:rFonts w:hint="eastAsia" w:ascii="微软雅黑" w:hAnsi="微软雅黑" w:eastAsia="微软雅黑" w:cs="微软雅黑"/>
          <w:sz w:val="32"/>
          <w:szCs w:val="32"/>
        </w:rPr>
        <w:t>㎡</w:t>
      </w:r>
      <w:r>
        <w:rPr>
          <w:rFonts w:ascii="仿宋_GB2312" w:hAnsi="黑体" w:eastAsia="仿宋_GB2312"/>
          <w:sz w:val="32"/>
          <w:szCs w:val="32"/>
        </w:rPr>
        <w:t>。(具体负载能力需根据实际屋内设备重量进行核算)。应尽量减少穿墙，并设置穿墙模块进行密封</w:t>
      </w:r>
      <w:r>
        <w:rPr>
          <w:rFonts w:hint="eastAsia" w:ascii="仿宋_GB2312" w:hAnsi="黑体" w:eastAsia="仿宋_GB2312"/>
          <w:sz w:val="32"/>
          <w:szCs w:val="32"/>
        </w:rPr>
        <w:t>。</w:t>
      </w:r>
    </w:p>
    <w:p>
      <w:pPr>
        <w:pStyle w:val="7"/>
        <w:keepNext w:val="0"/>
        <w:keepLines w:val="0"/>
        <w:pageBreakBefore w:val="0"/>
        <w:widowControl w:val="0"/>
        <w:numPr>
          <w:ilvl w:val="2"/>
          <w:numId w:val="1"/>
        </w:numPr>
        <w:kinsoku/>
        <w:wordWrap/>
        <w:overflowPunct/>
        <w:topLinePunct w:val="0"/>
        <w:autoSpaceDE/>
        <w:autoSpaceDN/>
        <w:bidi w:val="0"/>
        <w:adjustRightInd/>
        <w:snapToGrid/>
        <w:spacing w:line="360" w:lineRule="auto"/>
        <w:ind w:left="0" w:firstLine="442" w:firstLineChars="0"/>
        <w:jc w:val="left"/>
        <w:textAlignment w:val="auto"/>
        <w:rPr>
          <w:rFonts w:ascii="仿宋_GB2312" w:hAnsi="黑体" w:eastAsia="仿宋_GB2312"/>
          <w:b/>
          <w:bCs/>
          <w:sz w:val="32"/>
          <w:szCs w:val="32"/>
        </w:rPr>
      </w:pPr>
      <w:r>
        <w:rPr>
          <w:rFonts w:hint="eastAsia" w:ascii="仿宋_GB2312" w:hAnsi="黑体" w:eastAsia="仿宋_GB2312"/>
          <w:sz w:val="32"/>
          <w:szCs w:val="32"/>
        </w:rPr>
        <w:t>监测站房室内刷漆</w:t>
      </w:r>
      <w:r>
        <w:rPr>
          <w:rFonts w:ascii="仿宋_GB2312" w:hAnsi="黑体" w:eastAsia="仿宋_GB2312"/>
          <w:sz w:val="32"/>
          <w:szCs w:val="32"/>
        </w:rPr>
        <w:t>:天花板漆成白色，使用亮光漆、纹理均匀。内墙为乳白色，要求使用亚光漆、纹理均匀。门内侧为桔黄色，室内地面为防滑表面。所有相同颜色的涂漆表面保持一致。</w:t>
      </w:r>
    </w:p>
    <w:p>
      <w:pPr>
        <w:pStyle w:val="7"/>
        <w:keepNext w:val="0"/>
        <w:keepLines w:val="0"/>
        <w:pageBreakBefore w:val="0"/>
        <w:widowControl w:val="0"/>
        <w:numPr>
          <w:ilvl w:val="2"/>
          <w:numId w:val="1"/>
        </w:numPr>
        <w:kinsoku/>
        <w:wordWrap/>
        <w:overflowPunct/>
        <w:topLinePunct w:val="0"/>
        <w:autoSpaceDE/>
        <w:autoSpaceDN/>
        <w:bidi w:val="0"/>
        <w:adjustRightInd/>
        <w:snapToGrid/>
        <w:spacing w:line="360" w:lineRule="auto"/>
        <w:ind w:left="0" w:firstLine="442" w:firstLineChars="0"/>
        <w:jc w:val="left"/>
        <w:textAlignment w:val="auto"/>
        <w:rPr>
          <w:rFonts w:ascii="仿宋_GB2312" w:hAnsi="黑体" w:eastAsia="仿宋_GB2312"/>
          <w:b/>
          <w:bCs/>
          <w:sz w:val="32"/>
          <w:szCs w:val="32"/>
        </w:rPr>
      </w:pPr>
      <w:r>
        <w:rPr>
          <w:rFonts w:ascii="仿宋_GB2312" w:hAnsi="黑体" w:eastAsia="仿宋_GB2312"/>
          <w:sz w:val="32"/>
          <w:szCs w:val="32"/>
        </w:rPr>
        <w:t>站房底座框架采用</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 xml:space="preserve"> </w:t>
      </w:r>
      <w:r>
        <w:rPr>
          <w:rFonts w:ascii="仿宋_GB2312" w:hAnsi="黑体" w:eastAsia="仿宋_GB2312"/>
          <w:sz w:val="32"/>
          <w:szCs w:val="32"/>
        </w:rPr>
        <w:t>号槽钢焊接而成，</w:t>
      </w:r>
      <w:r>
        <w:rPr>
          <w:rFonts w:hint="eastAsia" w:ascii="仿宋_GB2312" w:hAnsi="黑体" w:eastAsia="仿宋_GB2312"/>
          <w:sz w:val="32"/>
          <w:szCs w:val="32"/>
        </w:rPr>
        <w:t>热浸锌处理（须附合格的材质检验报告），</w:t>
      </w:r>
      <w:r>
        <w:rPr>
          <w:rFonts w:ascii="仿宋_GB2312" w:hAnsi="黑体" w:eastAsia="仿宋_GB2312"/>
          <w:sz w:val="32"/>
          <w:szCs w:val="32"/>
        </w:rPr>
        <w:t>带地脚螺栓安装</w:t>
      </w:r>
      <w:r>
        <w:rPr>
          <w:rFonts w:hint="eastAsia" w:ascii="仿宋_GB2312" w:hAnsi="黑体" w:eastAsia="仿宋_GB2312"/>
          <w:sz w:val="32"/>
          <w:szCs w:val="32"/>
        </w:rPr>
        <w:t>，</w:t>
      </w:r>
      <w:r>
        <w:rPr>
          <w:rFonts w:ascii="仿宋_GB2312" w:hAnsi="黑体" w:eastAsia="仿宋_GB2312"/>
          <w:sz w:val="32"/>
          <w:szCs w:val="32"/>
        </w:rPr>
        <w:t>底面整体除锈，表面涂刷防锈漆层。监测站房应固定在混凝土底座上，底座高度应不小于</w:t>
      </w:r>
      <w:r>
        <w:rPr>
          <w:rFonts w:ascii="Times New Roman" w:hAnsi="Times New Roman" w:eastAsia="仿宋_GB2312" w:cs="Times New Roman"/>
          <w:sz w:val="32"/>
          <w:szCs w:val="32"/>
        </w:rPr>
        <w:t>6</w:t>
      </w:r>
      <w:r>
        <w:rPr>
          <w:rFonts w:ascii="仿宋_GB2312" w:hAnsi="黑体" w:eastAsia="仿宋_GB2312"/>
          <w:sz w:val="32"/>
          <w:szCs w:val="32"/>
        </w:rPr>
        <w:t>英寸。</w:t>
      </w:r>
    </w:p>
    <w:p>
      <w:pPr>
        <w:pStyle w:val="7"/>
        <w:keepNext w:val="0"/>
        <w:keepLines w:val="0"/>
        <w:pageBreakBefore w:val="0"/>
        <w:widowControl w:val="0"/>
        <w:numPr>
          <w:ilvl w:val="2"/>
          <w:numId w:val="1"/>
        </w:numPr>
        <w:kinsoku/>
        <w:wordWrap/>
        <w:overflowPunct/>
        <w:topLinePunct w:val="0"/>
        <w:autoSpaceDE/>
        <w:autoSpaceDN/>
        <w:bidi w:val="0"/>
        <w:adjustRightInd/>
        <w:snapToGrid/>
        <w:spacing w:line="360" w:lineRule="auto"/>
        <w:ind w:left="0" w:firstLine="442" w:firstLineChars="0"/>
        <w:jc w:val="left"/>
        <w:textAlignment w:val="auto"/>
        <w:rPr>
          <w:rFonts w:ascii="仿宋_GB2312" w:hAnsi="黑体" w:eastAsia="仿宋_GB2312"/>
          <w:b/>
          <w:bCs/>
          <w:sz w:val="32"/>
          <w:szCs w:val="32"/>
        </w:rPr>
      </w:pPr>
      <w:r>
        <w:rPr>
          <w:rFonts w:hint="eastAsia" w:ascii="仿宋_GB2312" w:hAnsi="黑体" w:eastAsia="仿宋_GB2312"/>
          <w:sz w:val="32"/>
          <w:szCs w:val="32"/>
        </w:rPr>
        <w:t>站房地板采用</w:t>
      </w:r>
      <w:r>
        <w:rPr>
          <w:rFonts w:ascii="仿宋_GB2312" w:hAnsi="黑体" w:eastAsia="仿宋_GB2312"/>
          <w:sz w:val="32"/>
          <w:szCs w:val="32"/>
        </w:rPr>
        <w:t xml:space="preserve"> </w:t>
      </w:r>
      <w:r>
        <w:rPr>
          <w:rFonts w:ascii="Times New Roman" w:hAnsi="Times New Roman" w:eastAsia="仿宋_GB2312" w:cs="Times New Roman"/>
          <w:sz w:val="32"/>
          <w:szCs w:val="32"/>
        </w:rPr>
        <w:t xml:space="preserve">5mm </w:t>
      </w:r>
      <w:r>
        <w:rPr>
          <w:rFonts w:ascii="仿宋_GB2312" w:hAnsi="黑体" w:eastAsia="仿宋_GB2312"/>
          <w:sz w:val="32"/>
          <w:szCs w:val="32"/>
        </w:rPr>
        <w:t>厚花纹</w:t>
      </w:r>
      <w:r>
        <w:rPr>
          <w:rFonts w:hint="eastAsia" w:ascii="仿宋_GB2312" w:hAnsi="黑体" w:eastAsia="仿宋_GB2312"/>
          <w:sz w:val="32"/>
          <w:szCs w:val="32"/>
        </w:rPr>
        <w:t>铝</w:t>
      </w:r>
      <w:r>
        <w:rPr>
          <w:rFonts w:ascii="仿宋_GB2312" w:hAnsi="黑体" w:eastAsia="仿宋_GB2312"/>
          <w:sz w:val="32"/>
          <w:szCs w:val="32"/>
        </w:rPr>
        <w:t xml:space="preserve">合金板，应能承受压力 </w:t>
      </w:r>
      <w:r>
        <w:rPr>
          <w:rFonts w:ascii="Times New Roman" w:hAnsi="Times New Roman" w:eastAsia="仿宋_GB2312" w:cs="Times New Roman"/>
          <w:sz w:val="32"/>
          <w:szCs w:val="32"/>
        </w:rPr>
        <w:t>1000kg/</w:t>
      </w:r>
      <w:r>
        <w:rPr>
          <w:rFonts w:hint="eastAsia" w:ascii="微软雅黑" w:hAnsi="微软雅黑" w:eastAsia="微软雅黑" w:cs="微软雅黑"/>
          <w:sz w:val="32"/>
          <w:szCs w:val="32"/>
        </w:rPr>
        <w:t>㎡</w:t>
      </w:r>
      <w:r>
        <w:rPr>
          <w:rFonts w:ascii="仿宋_GB2312" w:hAnsi="黑体" w:eastAsia="仿宋_GB2312"/>
          <w:sz w:val="32"/>
          <w:szCs w:val="32"/>
        </w:rPr>
        <w:t>不变形。</w:t>
      </w:r>
    </w:p>
    <w:p>
      <w:pPr>
        <w:pStyle w:val="7"/>
        <w:keepNext w:val="0"/>
        <w:keepLines w:val="0"/>
        <w:pageBreakBefore w:val="0"/>
        <w:widowControl w:val="0"/>
        <w:numPr>
          <w:ilvl w:val="2"/>
          <w:numId w:val="1"/>
        </w:numPr>
        <w:kinsoku/>
        <w:wordWrap/>
        <w:overflowPunct/>
        <w:topLinePunct w:val="0"/>
        <w:autoSpaceDE/>
        <w:autoSpaceDN/>
        <w:bidi w:val="0"/>
        <w:adjustRightInd/>
        <w:snapToGrid/>
        <w:spacing w:line="360" w:lineRule="auto"/>
        <w:ind w:left="0" w:firstLine="442" w:firstLineChars="0"/>
        <w:jc w:val="left"/>
        <w:textAlignment w:val="auto"/>
        <w:rPr>
          <w:rFonts w:ascii="仿宋_GB2312" w:hAnsi="黑体" w:eastAsia="仿宋_GB2312"/>
          <w:b/>
          <w:bCs/>
          <w:sz w:val="32"/>
          <w:szCs w:val="32"/>
        </w:rPr>
      </w:pPr>
      <w:r>
        <w:rPr>
          <w:rFonts w:hint="eastAsia" w:ascii="仿宋_GB2312" w:hAnsi="黑体" w:eastAsia="仿宋_GB2312"/>
          <w:sz w:val="32"/>
          <w:szCs w:val="32"/>
        </w:rPr>
        <w:t>监测站房需带温湿度计、储物柜、洗手台和工作台（含工具箱、桌椅），分析仪应安装在离墙</w:t>
      </w:r>
      <w:r>
        <w:rPr>
          <w:rFonts w:ascii="仿宋_GB2312" w:hAnsi="黑体" w:eastAsia="仿宋_GB2312"/>
          <w:sz w:val="32"/>
          <w:szCs w:val="32"/>
        </w:rPr>
        <w:t xml:space="preserve"> </w:t>
      </w:r>
      <w:r>
        <w:rPr>
          <w:rFonts w:ascii="Times New Roman" w:hAnsi="Times New Roman" w:eastAsia="仿宋_GB2312" w:cs="Times New Roman"/>
          <w:sz w:val="32"/>
          <w:szCs w:val="32"/>
        </w:rPr>
        <w:t>1m</w:t>
      </w:r>
      <w:r>
        <w:rPr>
          <w:rFonts w:ascii="仿宋_GB2312" w:hAnsi="黑体" w:eastAsia="仿宋_GB2312"/>
          <w:sz w:val="32"/>
          <w:szCs w:val="32"/>
        </w:rPr>
        <w:t xml:space="preserve"> 处，</w:t>
      </w:r>
      <w:r>
        <w:rPr>
          <w:rFonts w:hint="eastAsia" w:ascii="仿宋_GB2312" w:hAnsi="黑体" w:eastAsia="仿宋_GB2312"/>
          <w:sz w:val="32"/>
          <w:szCs w:val="32"/>
        </w:rPr>
        <w:t>墙壁预留</w:t>
      </w:r>
      <w:r>
        <w:rPr>
          <w:rFonts w:ascii="仿宋_GB2312" w:hAnsi="黑体" w:eastAsia="仿宋_GB2312"/>
          <w:sz w:val="32"/>
          <w:szCs w:val="32"/>
        </w:rPr>
        <w:t>取样孔，尺寸待定，</w:t>
      </w:r>
      <w:r>
        <w:rPr>
          <w:rFonts w:hint="eastAsia" w:ascii="仿宋_GB2312" w:hAnsi="黑体" w:eastAsia="仿宋_GB2312"/>
          <w:sz w:val="32"/>
          <w:szCs w:val="32"/>
        </w:rPr>
        <w:t>配备前置过滤器，</w:t>
      </w:r>
      <w:r>
        <w:rPr>
          <w:rFonts w:ascii="仿宋_GB2312" w:hAnsi="黑体" w:eastAsia="仿宋_GB2312"/>
          <w:sz w:val="32"/>
          <w:szCs w:val="32"/>
        </w:rPr>
        <w:t>分析仪之间应有维修和操作通道。</w:t>
      </w:r>
    </w:p>
    <w:p>
      <w:pPr>
        <w:pStyle w:val="7"/>
        <w:keepNext w:val="0"/>
        <w:keepLines w:val="0"/>
        <w:pageBreakBefore w:val="0"/>
        <w:widowControl w:val="0"/>
        <w:numPr>
          <w:ilvl w:val="2"/>
          <w:numId w:val="1"/>
        </w:numPr>
        <w:kinsoku/>
        <w:wordWrap/>
        <w:overflowPunct/>
        <w:topLinePunct w:val="0"/>
        <w:autoSpaceDE/>
        <w:autoSpaceDN/>
        <w:bidi w:val="0"/>
        <w:adjustRightInd/>
        <w:snapToGrid/>
        <w:spacing w:line="360" w:lineRule="auto"/>
        <w:ind w:left="0" w:firstLine="442" w:firstLineChars="0"/>
        <w:jc w:val="left"/>
        <w:textAlignment w:val="auto"/>
        <w:rPr>
          <w:rFonts w:ascii="仿宋_GB2312" w:hAnsi="黑体" w:eastAsia="仿宋_GB2312"/>
          <w:b/>
          <w:bCs/>
          <w:sz w:val="32"/>
          <w:szCs w:val="32"/>
        </w:rPr>
      </w:pPr>
      <w:r>
        <w:rPr>
          <w:rFonts w:hint="eastAsia" w:ascii="仿宋_GB2312" w:hAnsi="黑体" w:eastAsia="仿宋_GB2312"/>
          <w:sz w:val="32"/>
          <w:szCs w:val="32"/>
        </w:rPr>
        <w:t>每个步入式监测站房应配备</w:t>
      </w:r>
      <w:r>
        <w:rPr>
          <w:rFonts w:hint="eastAsia" w:ascii="Times New Roman" w:hAnsi="Times New Roman" w:eastAsia="仿宋_GB2312" w:cs="Times New Roman"/>
          <w:sz w:val="32"/>
          <w:szCs w:val="32"/>
        </w:rPr>
        <w:t>2</w:t>
      </w:r>
      <w:r>
        <w:rPr>
          <w:rFonts w:ascii="仿宋_GB2312" w:hAnsi="黑体" w:eastAsia="仿宋_GB2312"/>
          <w:sz w:val="32"/>
          <w:szCs w:val="32"/>
        </w:rPr>
        <w:t>扇可锁</w:t>
      </w:r>
      <w:r>
        <w:rPr>
          <w:rFonts w:hint="eastAsia" w:ascii="仿宋_GB2312" w:hAnsi="黑体" w:eastAsia="仿宋_GB2312"/>
          <w:sz w:val="32"/>
          <w:szCs w:val="32"/>
        </w:rPr>
        <w:t>不锈</w:t>
      </w:r>
      <w:r>
        <w:rPr>
          <w:rFonts w:ascii="仿宋_GB2312" w:hAnsi="黑体" w:eastAsia="仿宋_GB2312"/>
          <w:sz w:val="32"/>
          <w:szCs w:val="32"/>
        </w:rPr>
        <w:t>钢门，尺寸为:</w:t>
      </w:r>
      <w:r>
        <w:rPr>
          <w:rFonts w:ascii="Times New Roman" w:hAnsi="Times New Roman" w:eastAsia="仿宋_GB2312" w:cs="Times New Roman"/>
          <w:sz w:val="32"/>
          <w:szCs w:val="32"/>
        </w:rPr>
        <w:t>900x2100mm</w:t>
      </w:r>
      <w:r>
        <w:rPr>
          <w:rFonts w:ascii="仿宋_GB2312" w:hAnsi="黑体" w:eastAsia="仿宋_GB2312"/>
          <w:sz w:val="32"/>
          <w:szCs w:val="32"/>
        </w:rPr>
        <w:t xml:space="preserve">，配有安全和检查用窗户和内部安装的应急杆。门的材质应为 </w:t>
      </w:r>
      <w:r>
        <w:rPr>
          <w:rFonts w:ascii="Times New Roman" w:hAnsi="Times New Roman" w:eastAsia="仿宋_GB2312" w:cs="Times New Roman"/>
          <w:sz w:val="32"/>
          <w:szCs w:val="32"/>
        </w:rPr>
        <w:t>304</w:t>
      </w:r>
      <w:r>
        <w:rPr>
          <w:rFonts w:hint="eastAsia" w:ascii="仿宋_GB2312" w:hAnsi="黑体" w:eastAsia="仿宋_GB2312"/>
          <w:sz w:val="32"/>
          <w:szCs w:val="32"/>
        </w:rPr>
        <w:t>不锈钢</w:t>
      </w:r>
      <w:r>
        <w:rPr>
          <w:rFonts w:ascii="仿宋_GB2312" w:hAnsi="黑体" w:eastAsia="仿宋_GB2312"/>
          <w:sz w:val="32"/>
          <w:szCs w:val="32"/>
        </w:rPr>
        <w:t>。门配套使用不锈钢铰链和螺钉;门与墙之间镶有橡胶密封条,确保门具有良好的密封性。站房配备阻尼限位闭门器，门内侧带有快速开启杆</w:t>
      </w:r>
      <w:r>
        <w:rPr>
          <w:rFonts w:hint="eastAsia" w:ascii="仿宋_GB2312" w:hAnsi="黑体" w:eastAsia="仿宋_GB2312"/>
          <w:sz w:val="32"/>
          <w:szCs w:val="32"/>
        </w:rPr>
        <w:t>和保险纽</w:t>
      </w:r>
      <w:r>
        <w:rPr>
          <w:rFonts w:ascii="仿宋_GB2312" w:hAnsi="黑体" w:eastAsia="仿宋_GB2312"/>
          <w:sz w:val="32"/>
          <w:szCs w:val="32"/>
        </w:rPr>
        <w:t>，门外侧配有孔锁及把手，同一装置站房的门</w:t>
      </w:r>
      <w:r>
        <w:rPr>
          <w:rFonts w:hint="eastAsia" w:ascii="仿宋_GB2312" w:hAnsi="黑体" w:eastAsia="仿宋_GB2312"/>
          <w:sz w:val="32"/>
          <w:szCs w:val="32"/>
        </w:rPr>
        <w:t>锁钥匙通用。快速开启杆应优先于外部锁。门应向外打开，并自动关闭。应采取措施防止液体从监测站房以外进入。</w:t>
      </w:r>
    </w:p>
    <w:p>
      <w:pPr>
        <w:pStyle w:val="7"/>
        <w:keepNext w:val="0"/>
        <w:keepLines w:val="0"/>
        <w:pageBreakBefore w:val="0"/>
        <w:widowControl w:val="0"/>
        <w:numPr>
          <w:ilvl w:val="2"/>
          <w:numId w:val="1"/>
        </w:numPr>
        <w:kinsoku/>
        <w:wordWrap/>
        <w:overflowPunct/>
        <w:topLinePunct w:val="0"/>
        <w:autoSpaceDE/>
        <w:autoSpaceDN/>
        <w:bidi w:val="0"/>
        <w:adjustRightInd/>
        <w:snapToGrid/>
        <w:spacing w:line="360" w:lineRule="auto"/>
        <w:ind w:left="0" w:firstLine="442" w:firstLineChars="0"/>
        <w:jc w:val="left"/>
        <w:textAlignment w:val="auto"/>
        <w:rPr>
          <w:rFonts w:ascii="仿宋_GB2312" w:hAnsi="黑体" w:eastAsia="仿宋_GB2312"/>
          <w:b/>
          <w:bCs/>
          <w:sz w:val="32"/>
          <w:szCs w:val="32"/>
        </w:rPr>
      </w:pPr>
      <w:r>
        <w:rPr>
          <w:rFonts w:ascii="仿宋_GB2312" w:hAnsi="黑体" w:eastAsia="仿宋_GB2312"/>
          <w:sz w:val="32"/>
          <w:szCs w:val="32"/>
        </w:rPr>
        <w:t>站房门上方向外延</w:t>
      </w:r>
      <w:r>
        <w:rPr>
          <w:rFonts w:ascii="Times New Roman" w:hAnsi="Times New Roman" w:eastAsia="仿宋_GB2312" w:cs="Times New Roman"/>
          <w:sz w:val="32"/>
          <w:szCs w:val="32"/>
        </w:rPr>
        <w:t>550mm</w:t>
      </w:r>
      <w:r>
        <w:rPr>
          <w:rFonts w:ascii="仿宋_GB2312" w:hAnsi="黑体" w:eastAsia="仿宋_GB2312"/>
          <w:sz w:val="32"/>
          <w:szCs w:val="32"/>
        </w:rPr>
        <w:t xml:space="preserve">的防雨檐，倾斜大约 </w:t>
      </w:r>
      <w:r>
        <w:rPr>
          <w:rFonts w:ascii="Times New Roman" w:hAnsi="Times New Roman" w:eastAsia="仿宋_GB2312" w:cs="Times New Roman"/>
          <w:sz w:val="32"/>
          <w:szCs w:val="32"/>
        </w:rPr>
        <w:t>15°</w:t>
      </w:r>
      <w:r>
        <w:rPr>
          <w:rFonts w:ascii="仿宋_GB2312" w:hAnsi="黑体" w:eastAsia="仿宋_GB2312"/>
          <w:sz w:val="32"/>
          <w:szCs w:val="32"/>
        </w:rPr>
        <w:t xml:space="preserve">，起挡雨和遮阳作用，防雨檐采用 </w:t>
      </w:r>
      <w:r>
        <w:rPr>
          <w:rFonts w:ascii="Times New Roman" w:hAnsi="Times New Roman" w:eastAsia="仿宋_GB2312" w:cs="Times New Roman"/>
          <w:sz w:val="32"/>
          <w:szCs w:val="32"/>
        </w:rPr>
        <w:t>2mm</w:t>
      </w:r>
      <w:r>
        <w:rPr>
          <w:rFonts w:ascii="仿宋_GB2312" w:hAnsi="黑体" w:eastAsia="仿宋_GB2312"/>
          <w:sz w:val="32"/>
          <w:szCs w:val="32"/>
        </w:rPr>
        <w:t xml:space="preserve"> 厚不锈钢制作。样品预处理系统上方向外延</w:t>
      </w:r>
      <w:r>
        <w:rPr>
          <w:rFonts w:ascii="Times New Roman" w:hAnsi="Times New Roman" w:eastAsia="仿宋_GB2312" w:cs="Times New Roman"/>
          <w:sz w:val="32"/>
          <w:szCs w:val="32"/>
        </w:rPr>
        <w:t>550mm</w:t>
      </w:r>
      <w:r>
        <w:rPr>
          <w:rFonts w:ascii="仿宋_GB2312" w:hAnsi="黑体" w:eastAsia="仿宋_GB2312"/>
          <w:sz w:val="32"/>
          <w:szCs w:val="32"/>
        </w:rPr>
        <w:t>的防雨檐</w:t>
      </w:r>
      <w:r>
        <w:rPr>
          <w:rFonts w:hint="eastAsia" w:ascii="仿宋_GB2312" w:hAnsi="黑体" w:eastAsia="仿宋_GB2312"/>
          <w:sz w:val="32"/>
          <w:szCs w:val="32"/>
        </w:rPr>
        <w:t>，</w:t>
      </w:r>
      <w:r>
        <w:rPr>
          <w:rFonts w:ascii="仿宋_GB2312" w:hAnsi="黑体" w:eastAsia="仿宋_GB2312"/>
          <w:sz w:val="32"/>
          <w:szCs w:val="32"/>
        </w:rPr>
        <w:t>以保护预</w:t>
      </w:r>
      <w:r>
        <w:rPr>
          <w:rFonts w:hint="eastAsia" w:ascii="仿宋_GB2312" w:hAnsi="黑体" w:eastAsia="仿宋_GB2312"/>
          <w:sz w:val="32"/>
          <w:szCs w:val="32"/>
        </w:rPr>
        <w:t>处理系统免受恶劣天气条件的影响。这些防</w:t>
      </w:r>
      <w:r>
        <w:rPr>
          <w:rFonts w:ascii="仿宋_GB2312" w:hAnsi="黑体" w:eastAsia="仿宋_GB2312"/>
          <w:sz w:val="32"/>
          <w:szCs w:val="32"/>
        </w:rPr>
        <w:t>雨</w:t>
      </w:r>
      <w:r>
        <w:rPr>
          <w:rFonts w:hint="eastAsia" w:ascii="仿宋_GB2312" w:hAnsi="黑体" w:eastAsia="仿宋_GB2312"/>
          <w:sz w:val="32"/>
          <w:szCs w:val="32"/>
        </w:rPr>
        <w:t>檐应可拆卸以便运输。</w:t>
      </w:r>
    </w:p>
    <w:p>
      <w:pPr>
        <w:pStyle w:val="7"/>
        <w:keepNext w:val="0"/>
        <w:keepLines w:val="0"/>
        <w:pageBreakBefore w:val="0"/>
        <w:widowControl w:val="0"/>
        <w:numPr>
          <w:ilvl w:val="2"/>
          <w:numId w:val="1"/>
        </w:numPr>
        <w:kinsoku/>
        <w:wordWrap/>
        <w:overflowPunct/>
        <w:topLinePunct w:val="0"/>
        <w:autoSpaceDE/>
        <w:autoSpaceDN/>
        <w:bidi w:val="0"/>
        <w:adjustRightInd/>
        <w:snapToGrid/>
        <w:spacing w:line="360" w:lineRule="auto"/>
        <w:ind w:left="0" w:firstLine="442" w:firstLineChars="0"/>
        <w:jc w:val="left"/>
        <w:textAlignment w:val="auto"/>
        <w:rPr>
          <w:rFonts w:ascii="仿宋_GB2312" w:hAnsi="黑体" w:eastAsia="仿宋_GB2312"/>
          <w:b/>
          <w:bCs/>
          <w:sz w:val="32"/>
          <w:szCs w:val="32"/>
        </w:rPr>
      </w:pPr>
      <w:r>
        <w:rPr>
          <w:rFonts w:hint="eastAsia" w:ascii="仿宋_GB2312" w:hAnsi="黑体" w:eastAsia="仿宋_GB2312"/>
          <w:sz w:val="32"/>
          <w:szCs w:val="32"/>
        </w:rPr>
        <w:t>站房门口预制隔栅踏步，尺寸待定。</w:t>
      </w:r>
    </w:p>
    <w:p>
      <w:pPr>
        <w:pStyle w:val="7"/>
        <w:keepNext w:val="0"/>
        <w:keepLines w:val="0"/>
        <w:pageBreakBefore w:val="0"/>
        <w:widowControl w:val="0"/>
        <w:numPr>
          <w:ilvl w:val="2"/>
          <w:numId w:val="1"/>
        </w:numPr>
        <w:kinsoku/>
        <w:wordWrap/>
        <w:overflowPunct/>
        <w:topLinePunct w:val="0"/>
        <w:autoSpaceDE/>
        <w:autoSpaceDN/>
        <w:bidi w:val="0"/>
        <w:adjustRightInd/>
        <w:snapToGrid/>
        <w:spacing w:line="360" w:lineRule="auto"/>
        <w:ind w:left="0" w:firstLine="442" w:firstLineChars="0"/>
        <w:jc w:val="left"/>
        <w:textAlignment w:val="auto"/>
        <w:rPr>
          <w:rFonts w:ascii="仿宋_GB2312" w:hAnsi="黑体" w:eastAsia="仿宋_GB2312"/>
          <w:b/>
          <w:bCs/>
          <w:sz w:val="32"/>
          <w:szCs w:val="32"/>
        </w:rPr>
      </w:pPr>
      <w:r>
        <w:rPr>
          <w:rFonts w:ascii="仿宋_GB2312" w:hAnsi="黑体" w:eastAsia="仿宋_GB2312"/>
          <w:sz w:val="32"/>
          <w:szCs w:val="32"/>
        </w:rPr>
        <w:t>监测站房应作为一个完整的包提供，其中每个单独的系统以及整个单元应在装运前应进行最大限度</w:t>
      </w:r>
      <w:r>
        <w:rPr>
          <w:rFonts w:hint="eastAsia" w:ascii="仿宋_GB2312" w:hAnsi="黑体" w:eastAsia="仿宋_GB2312"/>
          <w:sz w:val="32"/>
          <w:szCs w:val="32"/>
        </w:rPr>
        <w:t>的</w:t>
      </w:r>
      <w:r>
        <w:rPr>
          <w:rFonts w:ascii="仿宋_GB2312" w:hAnsi="黑体" w:eastAsia="仿宋_GB2312"/>
          <w:sz w:val="32"/>
          <w:szCs w:val="32"/>
        </w:rPr>
        <w:t>全面测试</w:t>
      </w:r>
      <w:r>
        <w:rPr>
          <w:rFonts w:hint="eastAsia" w:ascii="仿宋_GB2312" w:hAnsi="黑体" w:eastAsia="仿宋_GB2312"/>
          <w:sz w:val="32"/>
          <w:szCs w:val="32"/>
        </w:rPr>
        <w:t>。</w:t>
      </w:r>
    </w:p>
    <w:p>
      <w:pPr>
        <w:spacing w:line="560" w:lineRule="exact"/>
        <w:jc w:val="left"/>
        <w:rPr>
          <w:rFonts w:ascii="楷体_GB2312" w:hAnsi="楷体" w:eastAsia="楷体_GB2312"/>
          <w:sz w:val="32"/>
          <w:szCs w:val="32"/>
        </w:rPr>
      </w:pPr>
      <w:r>
        <w:rPr>
          <w:rFonts w:hint="eastAsia" w:ascii="楷体_GB2312" w:hAnsi="楷体" w:eastAsia="楷体_GB2312"/>
          <w:sz w:val="32"/>
          <w:szCs w:val="32"/>
        </w:rPr>
        <w:t>（三）监测站房配套设备</w:t>
      </w:r>
    </w:p>
    <w:p>
      <w:pPr>
        <w:pStyle w:val="7"/>
        <w:numPr>
          <w:ilvl w:val="2"/>
          <w:numId w:val="3"/>
        </w:numPr>
        <w:spacing w:line="560" w:lineRule="exact"/>
        <w:ind w:firstLineChars="0"/>
        <w:jc w:val="left"/>
        <w:rPr>
          <w:rFonts w:ascii="仿宋_GB2312" w:hAnsi="黑体" w:eastAsia="仿宋_GB2312"/>
          <w:sz w:val="32"/>
          <w:szCs w:val="32"/>
        </w:rPr>
      </w:pPr>
      <w:r>
        <w:rPr>
          <w:rFonts w:hint="eastAsia" w:ascii="仿宋_GB2312" w:hAnsi="黑体" w:eastAsia="仿宋_GB2312"/>
          <w:sz w:val="32"/>
          <w:szCs w:val="32"/>
        </w:rPr>
        <w:t>配电</w:t>
      </w:r>
    </w:p>
    <w:p>
      <w:pPr>
        <w:spacing w:line="560" w:lineRule="exact"/>
        <w:ind w:firstLine="1280" w:firstLineChars="400"/>
        <w:jc w:val="left"/>
        <w:rPr>
          <w:rFonts w:ascii="仿宋_GB2312" w:hAnsi="黑体" w:eastAsia="仿宋_GB2312"/>
          <w:sz w:val="32"/>
          <w:szCs w:val="32"/>
        </w:rPr>
      </w:pPr>
      <w:r>
        <w:rPr>
          <w:rFonts w:hint="eastAsia" w:ascii="仿宋_GB2312" w:hAnsi="黑体" w:eastAsia="仿宋_GB2312"/>
          <w:sz w:val="32"/>
          <w:szCs w:val="32"/>
        </w:rPr>
        <w:t>室内防爆公用电源配电箱</w:t>
      </w:r>
      <w:r>
        <w:rPr>
          <w:rFonts w:ascii="仿宋_GB2312" w:hAnsi="黑体" w:eastAsia="仿宋_GB2312"/>
          <w:sz w:val="32"/>
          <w:szCs w:val="32"/>
        </w:rPr>
        <w:t>1 个</w:t>
      </w:r>
    </w:p>
    <w:p>
      <w:pPr>
        <w:spacing w:line="560" w:lineRule="exact"/>
        <w:ind w:firstLine="1280" w:firstLineChars="400"/>
        <w:jc w:val="left"/>
        <w:rPr>
          <w:rFonts w:ascii="仿宋_GB2312" w:hAnsi="黑体" w:eastAsia="仿宋_GB2312"/>
          <w:sz w:val="32"/>
          <w:szCs w:val="32"/>
        </w:rPr>
      </w:pPr>
      <w:r>
        <w:rPr>
          <w:rFonts w:hint="eastAsia" w:ascii="仿宋_GB2312" w:hAnsi="黑体" w:eastAsia="仿宋_GB2312"/>
          <w:sz w:val="32"/>
          <w:szCs w:val="32"/>
        </w:rPr>
        <w:t>室内网络接线箱1个</w:t>
      </w:r>
    </w:p>
    <w:p>
      <w:pPr>
        <w:spacing w:line="560" w:lineRule="exact"/>
        <w:ind w:firstLine="1280" w:firstLineChars="400"/>
        <w:jc w:val="left"/>
        <w:rPr>
          <w:rFonts w:ascii="仿宋_GB2312" w:hAnsi="黑体" w:eastAsia="仿宋_GB2312"/>
          <w:sz w:val="32"/>
          <w:szCs w:val="32"/>
        </w:rPr>
      </w:pPr>
      <w:r>
        <w:rPr>
          <w:rFonts w:hint="eastAsia" w:ascii="仿宋_GB2312" w:hAnsi="黑体" w:eastAsia="仿宋_GB2312"/>
          <w:sz w:val="32"/>
          <w:szCs w:val="32"/>
        </w:rPr>
        <w:t>室外防爆公用电源接线箱</w:t>
      </w:r>
      <w:r>
        <w:rPr>
          <w:rFonts w:ascii="仿宋_GB2312" w:hAnsi="黑体" w:eastAsia="仿宋_GB2312"/>
          <w:sz w:val="32"/>
          <w:szCs w:val="32"/>
        </w:rPr>
        <w:t>1个</w:t>
      </w:r>
    </w:p>
    <w:p>
      <w:pPr>
        <w:spacing w:line="560" w:lineRule="exact"/>
        <w:ind w:firstLine="1280" w:firstLineChars="400"/>
        <w:jc w:val="left"/>
        <w:rPr>
          <w:rFonts w:ascii="仿宋_GB2312" w:hAnsi="黑体" w:eastAsia="仿宋_GB2312"/>
          <w:sz w:val="32"/>
          <w:szCs w:val="32"/>
        </w:rPr>
      </w:pPr>
      <w:r>
        <w:rPr>
          <w:rFonts w:hint="eastAsia" w:ascii="仿宋_GB2312" w:hAnsi="黑体" w:eastAsia="仿宋_GB2312"/>
          <w:sz w:val="32"/>
          <w:szCs w:val="32"/>
        </w:rPr>
        <w:t>室外防爆模拟信号接线箱</w:t>
      </w:r>
      <w:r>
        <w:rPr>
          <w:rFonts w:ascii="仿宋_GB2312" w:hAnsi="黑体" w:eastAsia="仿宋_GB2312"/>
          <w:sz w:val="32"/>
          <w:szCs w:val="32"/>
        </w:rPr>
        <w:t>1个</w:t>
      </w:r>
    </w:p>
    <w:p>
      <w:pPr>
        <w:spacing w:line="560" w:lineRule="exact"/>
        <w:ind w:firstLine="1280" w:firstLineChars="400"/>
        <w:jc w:val="left"/>
        <w:rPr>
          <w:rFonts w:ascii="仿宋_GB2312" w:hAnsi="黑体" w:eastAsia="仿宋_GB2312"/>
          <w:sz w:val="32"/>
          <w:szCs w:val="32"/>
        </w:rPr>
      </w:pPr>
      <w:r>
        <w:rPr>
          <w:rFonts w:hint="eastAsia" w:ascii="仿宋_GB2312" w:hAnsi="黑体" w:eastAsia="仿宋_GB2312"/>
          <w:sz w:val="32"/>
          <w:szCs w:val="32"/>
        </w:rPr>
        <w:t>室内插座10</w:t>
      </w:r>
      <w:r>
        <w:rPr>
          <w:rFonts w:ascii="仿宋_GB2312" w:hAnsi="黑体" w:eastAsia="仿宋_GB2312"/>
          <w:sz w:val="32"/>
          <w:szCs w:val="32"/>
        </w:rPr>
        <w:t>个</w:t>
      </w:r>
    </w:p>
    <w:p>
      <w:pPr>
        <w:pStyle w:val="7"/>
        <w:numPr>
          <w:ilvl w:val="2"/>
          <w:numId w:val="3"/>
        </w:numPr>
        <w:spacing w:line="560" w:lineRule="exact"/>
        <w:ind w:firstLineChars="0"/>
        <w:jc w:val="left"/>
        <w:rPr>
          <w:rFonts w:ascii="仿宋_GB2312" w:hAnsi="黑体" w:eastAsia="仿宋_GB2312"/>
          <w:sz w:val="32"/>
          <w:szCs w:val="32"/>
        </w:rPr>
      </w:pPr>
      <w:r>
        <w:rPr>
          <w:rFonts w:hint="eastAsia" w:ascii="仿宋_GB2312" w:hAnsi="黑体" w:eastAsia="仿宋_GB2312"/>
          <w:sz w:val="32"/>
          <w:szCs w:val="32"/>
        </w:rPr>
        <w:t>采暖与排风</w:t>
      </w:r>
    </w:p>
    <w:p>
      <w:pPr>
        <w:spacing w:line="560" w:lineRule="exact"/>
        <w:ind w:firstLine="1280" w:firstLineChars="400"/>
        <w:jc w:val="left"/>
        <w:rPr>
          <w:rFonts w:ascii="仿宋_GB2312" w:hAnsi="黑体" w:eastAsia="仿宋_GB2312"/>
          <w:sz w:val="32"/>
          <w:szCs w:val="32"/>
        </w:rPr>
      </w:pPr>
      <w:r>
        <w:rPr>
          <w:rFonts w:hint="eastAsia" w:ascii="仿宋_GB2312" w:hAnsi="黑体" w:eastAsia="仿宋_GB2312"/>
          <w:sz w:val="32"/>
          <w:szCs w:val="32"/>
        </w:rPr>
        <w:t>空调2套</w:t>
      </w:r>
    </w:p>
    <w:p>
      <w:pPr>
        <w:spacing w:line="560" w:lineRule="exact"/>
        <w:ind w:firstLine="1280" w:firstLineChars="400"/>
        <w:jc w:val="left"/>
        <w:rPr>
          <w:rFonts w:ascii="仿宋_GB2312" w:hAnsi="黑体" w:eastAsia="仿宋_GB2312"/>
          <w:sz w:val="32"/>
          <w:szCs w:val="32"/>
        </w:rPr>
      </w:pPr>
      <w:r>
        <w:rPr>
          <w:rFonts w:hint="eastAsia" w:ascii="仿宋_GB2312" w:hAnsi="黑体" w:eastAsia="仿宋_GB2312"/>
          <w:sz w:val="32"/>
          <w:szCs w:val="32"/>
        </w:rPr>
        <w:t>通风1套</w:t>
      </w:r>
    </w:p>
    <w:p>
      <w:pPr>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空调具有来电自启动功能，应具备调节环境温度、相对湿度的功能</w:t>
      </w:r>
      <w:r>
        <w:rPr>
          <w:rFonts w:ascii="仿宋_GB2312" w:hAnsi="黑体" w:eastAsia="仿宋_GB2312"/>
          <w:sz w:val="32"/>
          <w:szCs w:val="32"/>
        </w:rPr>
        <w:t>。</w:t>
      </w:r>
    </w:p>
    <w:p>
      <w:pPr>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其中通风排风扇应在样品泄漏或通风系统故障时提供通风。应具备自动定时排风（可设置排风周期）和手动启动排风的功能</w:t>
      </w:r>
      <w:r>
        <w:rPr>
          <w:rFonts w:ascii="仿宋_GB2312" w:hAnsi="黑体" w:eastAsia="仿宋_GB2312"/>
          <w:sz w:val="32"/>
          <w:szCs w:val="32"/>
        </w:rPr>
        <w:t>。通风机应通过气压百叶窗向FAH提供空气，并向外提供空气。通风风扇应包括带防雨罩的后通风百叶窗。通风设备应具有直接驱动认证电机。不得使用皮带驱动风机。风机应有叶片防护罩。通风机应与危险气体报警监控器联锁并应安装手动操作开关。在正常条件下运行时，监测站房内的暖通空调噪音不得大于</w:t>
      </w:r>
      <w:r>
        <w:rPr>
          <w:rFonts w:ascii="Times New Roman" w:hAnsi="Times New Roman" w:eastAsia="仿宋_GB2312" w:cs="Times New Roman"/>
          <w:sz w:val="32"/>
          <w:szCs w:val="32"/>
        </w:rPr>
        <w:t>70db</w:t>
      </w:r>
      <w:r>
        <w:rPr>
          <w:rFonts w:ascii="仿宋_GB2312" w:hAnsi="黑体" w:eastAsia="仿宋_GB2312"/>
          <w:sz w:val="32"/>
          <w:szCs w:val="32"/>
        </w:rPr>
        <w:t>。</w:t>
      </w:r>
    </w:p>
    <w:p>
      <w:pPr>
        <w:pStyle w:val="7"/>
        <w:numPr>
          <w:ilvl w:val="2"/>
          <w:numId w:val="3"/>
        </w:numPr>
        <w:spacing w:line="560" w:lineRule="exact"/>
        <w:ind w:firstLineChars="0"/>
        <w:jc w:val="left"/>
        <w:rPr>
          <w:rFonts w:ascii="仿宋_GB2312" w:hAnsi="黑体" w:eastAsia="仿宋_GB2312"/>
          <w:sz w:val="32"/>
          <w:szCs w:val="32"/>
        </w:rPr>
      </w:pPr>
      <w:r>
        <w:rPr>
          <w:rFonts w:hint="eastAsia" w:ascii="仿宋_GB2312" w:hAnsi="黑体" w:eastAsia="仿宋_GB2312"/>
          <w:sz w:val="32"/>
          <w:szCs w:val="32"/>
        </w:rPr>
        <w:t>照明</w:t>
      </w:r>
    </w:p>
    <w:p>
      <w:pPr>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室内配备防爆LED荧光灯4盏，照度高于</w:t>
      </w:r>
      <w:r>
        <w:rPr>
          <w:rFonts w:hint="eastAsia" w:ascii="Times New Roman" w:hAnsi="Times New Roman" w:eastAsia="仿宋_GB2312" w:cs="Times New Roman"/>
          <w:sz w:val="32"/>
          <w:szCs w:val="32"/>
        </w:rPr>
        <w:t>300lx</w:t>
      </w:r>
      <w:r>
        <w:rPr>
          <w:rFonts w:hint="eastAsia" w:ascii="仿宋_GB2312" w:hAnsi="黑体" w:eastAsia="仿宋_GB2312"/>
          <w:sz w:val="32"/>
          <w:szCs w:val="32"/>
        </w:rPr>
        <w:t>，事故照度高于</w:t>
      </w:r>
      <w:r>
        <w:rPr>
          <w:rFonts w:hint="eastAsia" w:ascii="Times New Roman" w:hAnsi="Times New Roman" w:eastAsia="仿宋_GB2312" w:cs="Times New Roman"/>
          <w:sz w:val="32"/>
          <w:szCs w:val="32"/>
        </w:rPr>
        <w:t>50lx</w:t>
      </w:r>
      <w:r>
        <w:rPr>
          <w:rFonts w:hint="eastAsia" w:ascii="仿宋_GB2312" w:hAnsi="黑体" w:eastAsia="仿宋_GB2312"/>
          <w:sz w:val="32"/>
          <w:szCs w:val="32"/>
        </w:rPr>
        <w:t>。</w:t>
      </w:r>
    </w:p>
    <w:p>
      <w:pPr>
        <w:pStyle w:val="7"/>
        <w:numPr>
          <w:ilvl w:val="2"/>
          <w:numId w:val="3"/>
        </w:numPr>
        <w:spacing w:line="560" w:lineRule="exact"/>
        <w:ind w:firstLineChars="0"/>
        <w:jc w:val="left"/>
        <w:rPr>
          <w:rFonts w:ascii="仿宋_GB2312" w:hAnsi="黑体" w:eastAsia="仿宋_GB2312"/>
          <w:sz w:val="32"/>
          <w:szCs w:val="32"/>
        </w:rPr>
      </w:pPr>
      <w:r>
        <w:rPr>
          <w:rFonts w:hint="eastAsia" w:ascii="仿宋_GB2312" w:hAnsi="黑体" w:eastAsia="仿宋_GB2312"/>
          <w:sz w:val="32"/>
          <w:szCs w:val="32"/>
        </w:rPr>
        <w:t>视频监控系统</w:t>
      </w:r>
    </w:p>
    <w:p>
      <w:pPr>
        <w:pStyle w:val="7"/>
        <w:keepNext w:val="0"/>
        <w:keepLines w:val="0"/>
        <w:pageBreakBefore w:val="0"/>
        <w:widowControl w:val="0"/>
        <w:kinsoku/>
        <w:wordWrap/>
        <w:overflowPunct/>
        <w:topLinePunct w:val="0"/>
        <w:autoSpaceDE/>
        <w:autoSpaceDN/>
        <w:bidi w:val="0"/>
        <w:adjustRightInd/>
        <w:snapToGrid/>
        <w:spacing w:line="360" w:lineRule="auto"/>
        <w:ind w:left="0"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监测站房内应安装视频监控设备，相关视频监控设备和前端硬盘录像机须符合</w:t>
      </w:r>
      <w:r>
        <w:rPr>
          <w:rFonts w:ascii="仿宋_GB2312" w:hAnsi="黑体" w:eastAsia="仿宋_GB2312"/>
          <w:sz w:val="32"/>
          <w:szCs w:val="32"/>
        </w:rPr>
        <w:t xml:space="preserve"> </w:t>
      </w:r>
      <w:r>
        <w:rPr>
          <w:rFonts w:ascii="Times New Roman" w:hAnsi="Times New Roman" w:eastAsia="仿宋_GB2312" w:cs="Times New Roman"/>
          <w:sz w:val="32"/>
          <w:szCs w:val="32"/>
        </w:rPr>
        <w:t>GB/T 28181-2016</w:t>
      </w:r>
      <w:r>
        <w:rPr>
          <w:rFonts w:ascii="仿宋_GB2312" w:hAnsi="黑体" w:eastAsia="仿宋_GB2312"/>
          <w:sz w:val="32"/>
          <w:szCs w:val="32"/>
        </w:rPr>
        <w:t>《安全防范视频监控 联网系统信息</w:t>
      </w:r>
      <w:r>
        <w:rPr>
          <w:rFonts w:hint="eastAsia" w:ascii="仿宋_GB2312" w:hAnsi="黑体" w:eastAsia="仿宋_GB2312"/>
          <w:sz w:val="32"/>
          <w:szCs w:val="32"/>
        </w:rPr>
        <w:t>传输、交换、控制技术要求》，为了便于与现有视频监控系统兼容，需使用海康威视品牌的摄像头，型号规格待定。</w:t>
      </w:r>
    </w:p>
    <w:p>
      <w:pPr>
        <w:pStyle w:val="7"/>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室内监控摄像机应满足抗震、防变形、浪涌保护、方便检修维护等要求，</w:t>
      </w:r>
      <w:r>
        <w:rPr>
          <w:rFonts w:ascii="仿宋_GB2312" w:hAnsi="黑体" w:eastAsia="仿宋_GB2312"/>
          <w:sz w:val="32"/>
          <w:szCs w:val="32"/>
        </w:rPr>
        <w:t>防护</w:t>
      </w:r>
      <w:r>
        <w:rPr>
          <w:rFonts w:hint="eastAsia" w:ascii="仿宋_GB2312" w:hAnsi="黑体" w:eastAsia="仿宋_GB2312"/>
          <w:sz w:val="32"/>
          <w:szCs w:val="32"/>
        </w:rPr>
        <w:t>等级至少达到</w:t>
      </w:r>
      <w:r>
        <w:rPr>
          <w:rFonts w:ascii="Times New Roman" w:hAnsi="Times New Roman" w:eastAsia="仿宋_GB2312" w:cs="Times New Roman"/>
          <w:sz w:val="32"/>
          <w:szCs w:val="32"/>
        </w:rPr>
        <w:t>IP65</w:t>
      </w:r>
      <w:r>
        <w:rPr>
          <w:rFonts w:hint="eastAsia" w:ascii="仿宋_GB2312" w:hAnsi="黑体" w:eastAsia="仿宋_GB2312"/>
          <w:sz w:val="32"/>
          <w:szCs w:val="32"/>
        </w:rPr>
        <w:t>；</w:t>
      </w:r>
    </w:p>
    <w:p>
      <w:pPr>
        <w:pStyle w:val="7"/>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能全天候工作，白天和夜间都可以拍摄清晰的视频画面，建议分辨率不小于</w:t>
      </w:r>
      <w:r>
        <w:rPr>
          <w:rFonts w:hint="eastAsia" w:ascii="Times New Roman" w:hAnsi="Times New Roman" w:eastAsia="仿宋_GB2312" w:cs="Times New Roman"/>
          <w:sz w:val="32"/>
          <w:szCs w:val="32"/>
        </w:rPr>
        <w:t>400</w:t>
      </w:r>
      <w:r>
        <w:rPr>
          <w:rFonts w:hint="eastAsia" w:ascii="仿宋_GB2312" w:hAnsi="黑体" w:eastAsia="仿宋_GB2312"/>
          <w:sz w:val="32"/>
          <w:szCs w:val="32"/>
        </w:rPr>
        <w:t>万像素；</w:t>
      </w:r>
    </w:p>
    <w:p>
      <w:pPr>
        <w:pStyle w:val="7"/>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照度较低或补偿性光源较弱的区域应达到也是效果较好的星光级超低照度，或根据不同场景需求达到更清晰的夜视效果；</w:t>
      </w:r>
    </w:p>
    <w:p>
      <w:pPr>
        <w:pStyle w:val="7"/>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最低照度应满足彩色</w:t>
      </w:r>
      <w:r>
        <w:rPr>
          <w:rFonts w:ascii="Times New Roman" w:hAnsi="Times New Roman" w:eastAsia="仿宋_GB2312" w:cs="Times New Roman"/>
          <w:sz w:val="32"/>
          <w:szCs w:val="32"/>
        </w:rPr>
        <w:t>0.OOlLux</w:t>
      </w:r>
      <w:r>
        <w:rPr>
          <w:rFonts w:ascii="仿宋_GB2312" w:hAnsi="黑体" w:eastAsia="仿宋_GB2312"/>
          <w:sz w:val="32"/>
          <w:szCs w:val="32"/>
        </w:rPr>
        <w:t>,黑白</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OOO</w:t>
      </w:r>
      <w:r>
        <w:rPr>
          <w:rFonts w:ascii="Times New Roman" w:hAnsi="Times New Roman" w:eastAsia="仿宋_GB2312" w:cs="Times New Roman"/>
          <w:sz w:val="32"/>
          <w:szCs w:val="32"/>
        </w:rPr>
        <w:t>lLux</w:t>
      </w:r>
      <w:r>
        <w:rPr>
          <w:rFonts w:ascii="仿宋_GB2312" w:hAnsi="黑体" w:eastAsia="仿宋_GB2312"/>
          <w:sz w:val="32"/>
          <w:szCs w:val="32"/>
        </w:rPr>
        <w:t xml:space="preserve"> 的要求</w:t>
      </w:r>
      <w:r>
        <w:rPr>
          <w:rFonts w:hint="eastAsia" w:ascii="仿宋_GB2312" w:hAnsi="黑体" w:eastAsia="仿宋_GB2312"/>
          <w:sz w:val="32"/>
          <w:szCs w:val="32"/>
        </w:rPr>
        <w:t>;</w:t>
      </w:r>
    </w:p>
    <w:p>
      <w:pPr>
        <w:pStyle w:val="7"/>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图像分辨率应满足至少</w:t>
      </w:r>
      <w:r>
        <w:rPr>
          <w:rFonts w:ascii="Times New Roman" w:hAnsi="Times New Roman" w:eastAsia="仿宋_GB2312" w:cs="Times New Roman"/>
          <w:sz w:val="32"/>
          <w:szCs w:val="32"/>
        </w:rPr>
        <w:t xml:space="preserve"> 1080p </w:t>
      </w:r>
      <w:r>
        <w:rPr>
          <w:rFonts w:ascii="仿宋_GB2312" w:hAnsi="黑体" w:eastAsia="仿宋_GB2312"/>
          <w:sz w:val="32"/>
          <w:szCs w:val="32"/>
        </w:rPr>
        <w:t>的要求</w:t>
      </w:r>
      <w:r>
        <w:rPr>
          <w:rFonts w:hint="eastAsia" w:ascii="仿宋_GB2312" w:hAnsi="黑体" w:eastAsia="仿宋_GB2312"/>
          <w:sz w:val="32"/>
          <w:szCs w:val="32"/>
        </w:rPr>
        <w:t>;</w:t>
      </w:r>
    </w:p>
    <w:p>
      <w:pPr>
        <w:pStyle w:val="7"/>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应支持宽动态、强光抑制、电子防抖、</w:t>
      </w:r>
      <w:r>
        <w:rPr>
          <w:rFonts w:ascii="Times New Roman" w:hAnsi="Times New Roman" w:eastAsia="仿宋_GB2312" w:cs="Times New Roman"/>
          <w:sz w:val="32"/>
          <w:szCs w:val="32"/>
        </w:rPr>
        <w:t>3D</w:t>
      </w:r>
      <w:r>
        <w:rPr>
          <w:rFonts w:ascii="仿宋_GB2312" w:hAnsi="黑体" w:eastAsia="仿宋_GB2312"/>
          <w:sz w:val="32"/>
          <w:szCs w:val="32"/>
        </w:rPr>
        <w:t xml:space="preserve"> 数字降噪等功能</w:t>
      </w:r>
      <w:r>
        <w:rPr>
          <w:rFonts w:hint="eastAsia" w:ascii="仿宋_GB2312" w:hAnsi="黑体" w:eastAsia="仿宋_GB2312"/>
          <w:sz w:val="32"/>
          <w:szCs w:val="32"/>
        </w:rPr>
        <w:t>;</w:t>
      </w:r>
    </w:p>
    <w:p>
      <w:pPr>
        <w:pStyle w:val="7"/>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需具有区域入侵、越界入侵、徘徊、视频摄像侦测功能；</w:t>
      </w:r>
    </w:p>
    <w:p>
      <w:pPr>
        <w:pStyle w:val="7"/>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球型摄像机水平旋转范围为</w:t>
      </w:r>
      <w:r>
        <w:rPr>
          <w:rFonts w:ascii="Times New Roman" w:hAnsi="Times New Roman" w:eastAsia="仿宋_GB2312" w:cs="Times New Roman"/>
          <w:sz w:val="32"/>
          <w:szCs w:val="32"/>
        </w:rPr>
        <w:t>360°</w:t>
      </w:r>
      <w:r>
        <w:rPr>
          <w:rFonts w:ascii="仿宋_GB2312" w:hAnsi="黑体" w:eastAsia="仿宋_GB2312"/>
          <w:sz w:val="32"/>
          <w:szCs w:val="32"/>
        </w:rPr>
        <w:t>。连续旋转，垂直旋转范围为</w:t>
      </w:r>
      <w:r>
        <w:rPr>
          <w:rFonts w:ascii="Times New Roman" w:hAnsi="Times New Roman" w:eastAsia="仿宋_GB2312" w:cs="Times New Roman"/>
          <w:sz w:val="32"/>
          <w:szCs w:val="32"/>
        </w:rPr>
        <w:t>-35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90°</w:t>
      </w:r>
      <w:r>
        <w:rPr>
          <w:rFonts w:hint="eastAsia" w:ascii="仿宋_GB2312" w:hAnsi="黑体" w:eastAsia="仿宋_GB2312"/>
          <w:sz w:val="32"/>
          <w:szCs w:val="32"/>
        </w:rPr>
        <w:t>。</w:t>
      </w:r>
    </w:p>
    <w:p>
      <w:pPr>
        <w:pStyle w:val="7"/>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监测站房配管、配线和铭牌标识</w:t>
      </w:r>
    </w:p>
    <w:p>
      <w:pPr>
        <w:pStyle w:val="7"/>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配管</w:t>
      </w:r>
    </w:p>
    <w:p>
      <w:pPr>
        <w:pStyle w:val="7"/>
        <w:keepNext w:val="0"/>
        <w:keepLines w:val="0"/>
        <w:pageBreakBefore w:val="0"/>
        <w:widowControl w:val="0"/>
        <w:kinsoku/>
        <w:wordWrap/>
        <w:overflowPunct/>
        <w:topLinePunct w:val="0"/>
        <w:autoSpaceDE/>
        <w:autoSpaceDN/>
        <w:bidi w:val="0"/>
        <w:adjustRightInd/>
        <w:snapToGrid/>
        <w:spacing w:line="360" w:lineRule="auto"/>
        <w:ind w:left="0"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完成采样管到站房内仪表的配管，配备合适的接头，采样阀等，预留后续新增仪表的样品接口：</w:t>
      </w:r>
    </w:p>
    <w:p>
      <w:pPr>
        <w:pStyle w:val="7"/>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配线</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需完成旧站房电缆到新站房（均在旧站房附近）的衔接，用镀锌穿线管保护。</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所有进出监测站房的电源电缆和信号电缆，均应接至监测站房外墙上的接线箱内。</w:t>
      </w:r>
      <w:r>
        <w:rPr>
          <w:rFonts w:ascii="Times New Roman" w:hAnsi="Times New Roman" w:eastAsia="仿宋_GB2312" w:cs="Times New Roman"/>
          <w:sz w:val="32"/>
          <w:szCs w:val="32"/>
        </w:rPr>
        <w:t>380V</w:t>
      </w:r>
      <w:r>
        <w:rPr>
          <w:rFonts w:ascii="仿宋_GB2312" w:hAnsi="黑体" w:eastAsia="仿宋_GB2312"/>
          <w:sz w:val="32"/>
          <w:szCs w:val="32"/>
        </w:rPr>
        <w:t xml:space="preserve"> 电源接入公用电源接线箱</w:t>
      </w:r>
      <w:r>
        <w:rPr>
          <w:rFonts w:hint="eastAsia" w:ascii="仿宋_GB2312" w:hAnsi="黑体" w:eastAsia="仿宋_GB2312"/>
          <w:sz w:val="32"/>
          <w:szCs w:val="32"/>
        </w:rPr>
        <w:t>，</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20mA</w:t>
      </w:r>
      <w:r>
        <w:rPr>
          <w:rFonts w:ascii="仿宋_GB2312" w:hAnsi="黑体" w:eastAsia="仿宋_GB2312"/>
          <w:sz w:val="32"/>
          <w:szCs w:val="32"/>
        </w:rPr>
        <w:t>模拟信号、开关信号分别接入模拟</w:t>
      </w:r>
      <w:r>
        <w:rPr>
          <w:rFonts w:hint="eastAsia" w:ascii="仿宋_GB2312" w:hAnsi="黑体" w:eastAsia="仿宋_GB2312"/>
          <w:sz w:val="32"/>
          <w:szCs w:val="32"/>
        </w:rPr>
        <w:t>、数字</w:t>
      </w:r>
      <w:r>
        <w:rPr>
          <w:rFonts w:ascii="仿宋_GB2312" w:hAnsi="黑体" w:eastAsia="仿宋_GB2312"/>
          <w:sz w:val="32"/>
          <w:szCs w:val="32"/>
        </w:rPr>
        <w:t>信号接线箱，数字通讯信号接入通讯接线箱。信号接线箱和电源分配箱应位于监测站房外墙上，以避免现场电缆穿墙接线。</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接线箱内的接线端子采用螺钉压紧型，端子排及端子须标示清楚，每类接线端子留有</w:t>
      </w:r>
      <w:r>
        <w:rPr>
          <w:rFonts w:ascii="仿宋_GB2312" w:hAnsi="黑体" w:eastAsia="仿宋_GB2312"/>
          <w:sz w:val="32"/>
          <w:szCs w:val="32"/>
        </w:rPr>
        <w:t xml:space="preserve"> </w:t>
      </w:r>
      <w:r>
        <w:rPr>
          <w:rFonts w:ascii="Times New Roman" w:hAnsi="Times New Roman" w:eastAsia="仿宋_GB2312" w:cs="Times New Roman"/>
          <w:sz w:val="32"/>
          <w:szCs w:val="32"/>
        </w:rPr>
        <w:t>20%</w:t>
      </w:r>
      <w:r>
        <w:rPr>
          <w:rFonts w:ascii="仿宋_GB2312" w:hAnsi="黑体" w:eastAsia="仿宋_GB2312"/>
          <w:sz w:val="32"/>
          <w:szCs w:val="32"/>
        </w:rPr>
        <w:t>裕量。电缆带标注护套</w:t>
      </w:r>
      <w:r>
        <w:rPr>
          <w:rFonts w:hint="eastAsia" w:ascii="仿宋_GB2312" w:hAnsi="黑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电缆采用桥架式安装，桥架为不锈钢或铝合金结构。</w:t>
      </w:r>
      <w:r>
        <w:rPr>
          <w:rFonts w:ascii="Times New Roman" w:hAnsi="Times New Roman" w:eastAsia="仿宋_GB2312" w:cs="Times New Roman"/>
          <w:sz w:val="32"/>
          <w:szCs w:val="32"/>
        </w:rPr>
        <w:t>AC</w:t>
      </w:r>
      <w:r>
        <w:rPr>
          <w:rFonts w:ascii="仿宋_GB2312" w:hAnsi="黑体" w:eastAsia="仿宋_GB2312"/>
          <w:sz w:val="32"/>
          <w:szCs w:val="32"/>
        </w:rPr>
        <w:t xml:space="preserve">电源、低压 </w:t>
      </w:r>
      <w:r>
        <w:rPr>
          <w:rFonts w:ascii="Times New Roman" w:hAnsi="Times New Roman" w:eastAsia="仿宋_GB2312" w:cs="Times New Roman"/>
          <w:sz w:val="32"/>
          <w:szCs w:val="32"/>
        </w:rPr>
        <w:t>DC</w:t>
      </w:r>
      <w:r>
        <w:rPr>
          <w:rFonts w:ascii="仿宋_GB2312" w:hAnsi="黑体" w:eastAsia="仿宋_GB2312"/>
          <w:sz w:val="32"/>
          <w:szCs w:val="32"/>
        </w:rPr>
        <w:t>信号、数字通讯信号提供独立的电缆桥架。所有电缆进出监测站房通过防爆电缆密封件。电缆进出仪表或接线箱时使用防爆电缆密封接头。防爆电缆密封接头为黄铜镀镍/</w:t>
      </w:r>
      <w:r>
        <w:rPr>
          <w:rFonts w:ascii="Times New Roman" w:hAnsi="Times New Roman" w:eastAsia="仿宋_GB2312" w:cs="Times New Roman"/>
          <w:sz w:val="32"/>
          <w:szCs w:val="32"/>
        </w:rPr>
        <w:t>304SS</w:t>
      </w:r>
      <w:r>
        <w:rPr>
          <w:rFonts w:ascii="仿宋_GB2312" w:hAnsi="黑体" w:eastAsia="仿宋_GB2312"/>
          <w:sz w:val="32"/>
          <w:szCs w:val="32"/>
        </w:rPr>
        <w:t>材质。</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不同电平和类型的仪表信号严禁使用同一接线箱。不同电压和</w:t>
      </w:r>
      <w:r>
        <w:rPr>
          <w:rFonts w:ascii="仿宋_GB2312" w:hAnsi="黑体" w:eastAsia="仿宋_GB2312"/>
          <w:sz w:val="32"/>
          <w:szCs w:val="32"/>
        </w:rPr>
        <w:t>形式(</w:t>
      </w:r>
      <w:r>
        <w:rPr>
          <w:rFonts w:ascii="Times New Roman" w:hAnsi="Times New Roman" w:eastAsia="仿宋_GB2312" w:cs="Times New Roman"/>
          <w:sz w:val="32"/>
          <w:szCs w:val="32"/>
        </w:rPr>
        <w:t>AC</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DC</w:t>
      </w:r>
      <w:r>
        <w:rPr>
          <w:rFonts w:hint="eastAsia" w:ascii="仿宋_GB2312" w:hAnsi="黑体" w:eastAsia="仿宋_GB2312"/>
          <w:sz w:val="32"/>
          <w:szCs w:val="32"/>
        </w:rPr>
        <w:t>或数字、模拟</w:t>
      </w:r>
      <w:r>
        <w:rPr>
          <w:rFonts w:ascii="仿宋_GB2312" w:hAnsi="黑体" w:eastAsia="仿宋_GB2312"/>
          <w:sz w:val="32"/>
          <w:szCs w:val="32"/>
        </w:rPr>
        <w:t>)不使用一根电缆</w:t>
      </w:r>
      <w:r>
        <w:rPr>
          <w:rFonts w:hint="eastAsia" w:ascii="仿宋_GB2312" w:hAnsi="黑体" w:eastAsia="仿宋_GB2312"/>
          <w:sz w:val="32"/>
          <w:szCs w:val="32"/>
        </w:rPr>
        <w:t>。不同电压和</w:t>
      </w:r>
      <w:r>
        <w:rPr>
          <w:rFonts w:ascii="仿宋_GB2312" w:hAnsi="黑体" w:eastAsia="仿宋_GB2312"/>
          <w:sz w:val="32"/>
          <w:szCs w:val="32"/>
        </w:rPr>
        <w:t>形式</w:t>
      </w:r>
      <w:r>
        <w:rPr>
          <w:rFonts w:hint="eastAsia" w:ascii="仿宋_GB2312" w:hAnsi="黑体" w:eastAsia="仿宋_GB2312"/>
          <w:sz w:val="32"/>
          <w:szCs w:val="32"/>
        </w:rPr>
        <w:t>电缆不走同一桥架/穿线管。</w:t>
      </w:r>
    </w:p>
    <w:p>
      <w:pPr>
        <w:pStyle w:val="7"/>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铭牌标识</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站房本体上有永久型不锈钢铭牌，并有警告性标识。</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监测站房内的主要元件都有永久性的固定铭牌，包括名称、位号、压力等级和设备型号、生产单位、出厂编号、制造日期。样品流路进入站房之前，配有明确的位号标识每一台分析仪都有铭牌，表明制造商、型号和位号。所有电气设备，包括接线箱、电源分配箱、开关、电缆及接线端子都有永久性标牌和警示，同时标明连接设备位号。</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预处理系统箱体表面都有永久性铭牌，标明位号</w:t>
      </w:r>
      <w:r>
        <w:rPr>
          <w:rFonts w:ascii="仿宋_GB2312" w:hAnsi="黑体" w:eastAsia="仿宋_GB2312"/>
          <w:sz w:val="32"/>
          <w:szCs w:val="32"/>
        </w:rPr>
        <w:t>;所有进出口都有明确标识。进出站房的配管都有编号</w:t>
      </w:r>
      <w:r>
        <w:rPr>
          <w:rFonts w:hint="eastAsia" w:ascii="仿宋_GB2312" w:hAnsi="黑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室内铭牌为多层压塑料材质的、白底黑字并用不锈钢螺丝固定。室外的铭牌应为不锈钢材质、雕刻字，用螺丝或铆钉固定。采样管线、电磁阀、阀门和穿板接头等，使用不锈钢铭牌</w:t>
      </w:r>
      <w:r>
        <w:rPr>
          <w:rFonts w:ascii="仿宋_GB2312" w:hAnsi="黑体" w:eastAsia="仿宋_GB2312"/>
          <w:sz w:val="32"/>
          <w:szCs w:val="32"/>
        </w:rPr>
        <w:t xml:space="preserve">(雕刻字)，用不锈钢钢丝固定。所有用于连接的螺栓螺母、空调支架等辅助材料均应使用 </w:t>
      </w:r>
      <w:r>
        <w:rPr>
          <w:rFonts w:ascii="Times New Roman" w:hAnsi="Times New Roman" w:eastAsia="仿宋_GB2312" w:cs="Times New Roman"/>
          <w:sz w:val="32"/>
          <w:szCs w:val="32"/>
        </w:rPr>
        <w:t>304</w:t>
      </w:r>
      <w:r>
        <w:rPr>
          <w:rFonts w:ascii="仿宋_GB2312" w:hAnsi="黑体" w:eastAsia="仿宋_GB2312"/>
          <w:sz w:val="32"/>
          <w:szCs w:val="32"/>
        </w:rPr>
        <w:t>不锈钢以上材质</w:t>
      </w:r>
    </w:p>
    <w:p>
      <w:pPr>
        <w:pStyle w:val="7"/>
        <w:keepNext w:val="0"/>
        <w:keepLines w:val="0"/>
        <w:pageBreakBefore w:val="0"/>
        <w:widowControl w:val="0"/>
        <w:numPr>
          <w:ilvl w:val="2"/>
          <w:numId w:val="3"/>
        </w:numPr>
        <w:kinsoku/>
        <w:wordWrap/>
        <w:overflowPunct/>
        <w:topLinePunct w:val="0"/>
        <w:autoSpaceDE/>
        <w:autoSpaceDN/>
        <w:bidi w:val="0"/>
        <w:adjustRightInd/>
        <w:snapToGrid/>
        <w:spacing w:line="360" w:lineRule="auto"/>
        <w:ind w:left="0"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接地</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监测站房设置防雷、防静电保护接地以及工作接地，接地系统相互独立。所有仪表和电器设备上的安全端子和金属外壳连接到站房保护接地板。工作接地与金属结构绝缘，信号电缆金属屏蔽层连接到监测站房工作接地板，保护接地线规格</w:t>
      </w:r>
      <w:r>
        <w:rPr>
          <w:rFonts w:ascii="仿宋_GB2312" w:hAnsi="黑体" w:eastAsia="仿宋_GB2312"/>
          <w:sz w:val="32"/>
          <w:szCs w:val="32"/>
        </w:rPr>
        <w:t>:支线铜芯绝缘电线</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mm</w:t>
      </w:r>
      <w:r>
        <w:rPr>
          <w:rFonts w:ascii="Calibri" w:hAnsi="Calibri" w:eastAsia="仿宋_GB2312" w:cs="Calibri"/>
          <w:sz w:val="32"/>
          <w:szCs w:val="32"/>
        </w:rPr>
        <w:t>²</w:t>
      </w:r>
      <w:r>
        <w:rPr>
          <w:rFonts w:ascii="仿宋_GB2312" w:hAnsi="黑体" w:eastAsia="仿宋_GB2312"/>
          <w:sz w:val="32"/>
          <w:szCs w:val="32"/>
        </w:rPr>
        <w:t>;干线铜芯绝缘电线</w:t>
      </w:r>
      <w:r>
        <w:rPr>
          <w:rFonts w:ascii="Times New Roman" w:hAnsi="Times New Roman" w:eastAsia="仿宋_GB2312" w:cs="Times New Roman"/>
          <w:sz w:val="32"/>
          <w:szCs w:val="32"/>
        </w:rPr>
        <w:t>16</w:t>
      </w:r>
      <w:r>
        <w:rPr>
          <w:rFonts w:hint="eastAsia" w:ascii="Times New Roman" w:hAnsi="Times New Roman" w:eastAsia="仿宋_GB2312" w:cs="Times New Roman"/>
          <w:sz w:val="32"/>
          <w:szCs w:val="32"/>
        </w:rPr>
        <w:t>mm</w:t>
      </w:r>
      <w:r>
        <w:rPr>
          <w:rFonts w:ascii="Times New Roman" w:hAnsi="Times New Roman" w:eastAsia="仿宋_GB2312" w:cs="Times New Roman"/>
          <w:sz w:val="32"/>
          <w:szCs w:val="32"/>
        </w:rPr>
        <w:t>²</w:t>
      </w:r>
      <w:r>
        <w:rPr>
          <w:rFonts w:ascii="仿宋_GB2312" w:hAnsi="黑体" w:eastAsia="仿宋_GB2312"/>
          <w:sz w:val="32"/>
          <w:szCs w:val="32"/>
        </w:rPr>
        <w:t xml:space="preserve">，接地电缆黄/绿色。站房外接线箱侧预留 </w:t>
      </w:r>
      <w:r>
        <w:rPr>
          <w:rFonts w:ascii="Times New Roman" w:hAnsi="Times New Roman" w:eastAsia="仿宋_GB2312" w:cs="Times New Roman"/>
          <w:sz w:val="32"/>
          <w:szCs w:val="32"/>
        </w:rPr>
        <w:t>16</w:t>
      </w:r>
      <w:r>
        <w:rPr>
          <w:rFonts w:hint="eastAsia" w:ascii="Times New Roman" w:hAnsi="Times New Roman" w:eastAsia="仿宋_GB2312" w:cs="Times New Roman"/>
          <w:sz w:val="32"/>
          <w:szCs w:val="32"/>
        </w:rPr>
        <w:t>mm</w:t>
      </w:r>
      <w:r>
        <w:rPr>
          <w:rFonts w:ascii="Times New Roman" w:hAnsi="Times New Roman" w:eastAsia="仿宋_GB2312" w:cs="Times New Roman"/>
          <w:sz w:val="32"/>
          <w:szCs w:val="32"/>
        </w:rPr>
        <w:t>²</w:t>
      </w:r>
      <w:r>
        <w:rPr>
          <w:rFonts w:ascii="仿宋_GB2312" w:hAnsi="黑体" w:eastAsia="仿宋_GB2312"/>
          <w:sz w:val="32"/>
          <w:szCs w:val="32"/>
        </w:rPr>
        <w:t>的保护地连接端子，就近与电气接地网连接。</w:t>
      </w:r>
    </w:p>
    <w:p>
      <w:pPr>
        <w:pStyle w:val="7"/>
        <w:numPr>
          <w:ilvl w:val="0"/>
          <w:numId w:val="2"/>
        </w:numPr>
        <w:spacing w:line="560" w:lineRule="exact"/>
        <w:ind w:firstLineChars="0"/>
        <w:jc w:val="left"/>
        <w:rPr>
          <w:rFonts w:ascii="黑体" w:hAnsi="黑体" w:eastAsia="黑体"/>
          <w:sz w:val="32"/>
          <w:szCs w:val="32"/>
        </w:rPr>
      </w:pPr>
      <w:r>
        <w:rPr>
          <w:rFonts w:hint="eastAsia" w:ascii="黑体" w:hAnsi="黑体" w:eastAsia="黑体"/>
          <w:sz w:val="32"/>
          <w:szCs w:val="32"/>
        </w:rPr>
        <w:t>发包内容</w:t>
      </w:r>
    </w:p>
    <w:p>
      <w:pPr>
        <w:spacing w:line="560" w:lineRule="exact"/>
        <w:ind w:firstLine="640" w:firstLineChars="200"/>
        <w:jc w:val="left"/>
        <w:rPr>
          <w:rFonts w:ascii="仿宋_GB2312" w:hAnsi="楷体" w:eastAsia="仿宋_GB2312"/>
          <w:sz w:val="32"/>
          <w:szCs w:val="32"/>
        </w:rPr>
      </w:pPr>
      <w:r>
        <w:rPr>
          <w:rFonts w:hint="eastAsia" w:ascii="仿宋_GB2312" w:hAnsi="楷体" w:eastAsia="仿宋_GB2312"/>
          <w:sz w:val="32"/>
          <w:szCs w:val="32"/>
        </w:rPr>
        <w:t>1、根据站房型号规格、尺寸要求，提供相应的监测站房。</w:t>
      </w:r>
    </w:p>
    <w:p>
      <w:pPr>
        <w:spacing w:line="560" w:lineRule="exact"/>
        <w:ind w:firstLine="640" w:firstLineChars="200"/>
        <w:jc w:val="left"/>
        <w:rPr>
          <w:rFonts w:ascii="仿宋_GB2312" w:hAnsi="楷体" w:eastAsia="仿宋_GB2312"/>
          <w:sz w:val="32"/>
          <w:szCs w:val="32"/>
        </w:rPr>
      </w:pPr>
      <w:r>
        <w:rPr>
          <w:rFonts w:ascii="仿宋_GB2312" w:hAnsi="楷体" w:eastAsia="仿宋_GB2312"/>
          <w:sz w:val="32"/>
          <w:szCs w:val="32"/>
        </w:rPr>
        <w:t>2、提供相关的检测验报告及辅助产品的说明书等配套资料。</w:t>
      </w:r>
    </w:p>
    <w:p>
      <w:pPr>
        <w:pStyle w:val="7"/>
        <w:numPr>
          <w:ilvl w:val="0"/>
          <w:numId w:val="2"/>
        </w:numPr>
        <w:spacing w:line="560" w:lineRule="exact"/>
        <w:ind w:firstLineChars="0"/>
        <w:jc w:val="left"/>
        <w:rPr>
          <w:rFonts w:ascii="黑体" w:hAnsi="黑体" w:eastAsia="黑体"/>
          <w:sz w:val="32"/>
          <w:szCs w:val="32"/>
        </w:rPr>
      </w:pPr>
      <w:r>
        <w:rPr>
          <w:rFonts w:hint="eastAsia" w:ascii="黑体" w:hAnsi="黑体" w:eastAsia="黑体"/>
          <w:sz w:val="32"/>
          <w:szCs w:val="32"/>
        </w:rPr>
        <w:t>发包要求</w:t>
      </w:r>
    </w:p>
    <w:p>
      <w:pPr>
        <w:spacing w:line="560" w:lineRule="exact"/>
        <w:jc w:val="left"/>
        <w:rPr>
          <w:rFonts w:ascii="仿宋_GB2312" w:hAnsi="楷体" w:eastAsia="仿宋_GB2312"/>
          <w:sz w:val="32"/>
          <w:szCs w:val="32"/>
        </w:rPr>
      </w:pPr>
      <w:r>
        <w:rPr>
          <w:rFonts w:hint="eastAsia" w:ascii="仿宋_GB2312" w:hAnsi="黑体" w:eastAsia="仿宋_GB2312"/>
          <w:sz w:val="32"/>
          <w:szCs w:val="32"/>
        </w:rPr>
        <w:t>（一）</w:t>
      </w:r>
      <w:r>
        <w:rPr>
          <w:rFonts w:hint="eastAsia" w:ascii="仿宋_GB2312" w:hAnsi="楷体" w:eastAsia="仿宋_GB2312"/>
          <w:sz w:val="32"/>
          <w:szCs w:val="32"/>
        </w:rPr>
        <w:t>需要做技术交流，根据甲方要求提供监测站房建设方案</w:t>
      </w:r>
      <w:r>
        <w:rPr>
          <w:rFonts w:ascii="仿宋_GB2312" w:hAnsi="楷体" w:eastAsia="仿宋_GB2312"/>
          <w:sz w:val="32"/>
          <w:szCs w:val="32"/>
        </w:rPr>
        <w:t>。</w:t>
      </w:r>
    </w:p>
    <w:p>
      <w:pPr>
        <w:spacing w:line="560" w:lineRule="exact"/>
        <w:jc w:val="left"/>
        <w:rPr>
          <w:rFonts w:ascii="仿宋_GB2312" w:hAnsi="楷体" w:eastAsia="仿宋_GB2312"/>
          <w:sz w:val="32"/>
          <w:szCs w:val="32"/>
        </w:rPr>
      </w:pPr>
      <w:r>
        <w:rPr>
          <w:rFonts w:hint="eastAsia" w:ascii="仿宋_GB2312" w:hAnsi="楷体" w:eastAsia="仿宋_GB2312"/>
          <w:sz w:val="32"/>
          <w:szCs w:val="32"/>
        </w:rPr>
        <w:t>（二）</w:t>
      </w:r>
      <w:r>
        <w:rPr>
          <w:rFonts w:ascii="仿宋_GB2312" w:hAnsi="楷体" w:eastAsia="仿宋_GB2312"/>
          <w:sz w:val="32"/>
          <w:szCs w:val="32"/>
        </w:rPr>
        <w:t>供应商要求:具备独立法人资格，具有5年以上集成站房制作经验。</w:t>
      </w:r>
    </w:p>
    <w:p>
      <w:pPr>
        <w:spacing w:line="560" w:lineRule="exact"/>
        <w:jc w:val="left"/>
        <w:rPr>
          <w:rFonts w:hint="eastAsia" w:ascii="仿宋_GB2312" w:hAnsi="楷体" w:eastAsia="仿宋_GB2312"/>
          <w:sz w:val="32"/>
          <w:szCs w:val="32"/>
          <w:lang w:eastAsia="zh-CN"/>
        </w:rPr>
      </w:pPr>
      <w:r>
        <w:rPr>
          <w:rFonts w:hint="eastAsia" w:ascii="仿宋_GB2312" w:hAnsi="楷体" w:eastAsia="仿宋_GB2312"/>
          <w:sz w:val="32"/>
          <w:szCs w:val="32"/>
        </w:rPr>
        <w:t>（三）</w:t>
      </w:r>
      <w:r>
        <w:rPr>
          <w:rFonts w:ascii="仿宋_GB2312" w:hAnsi="楷体" w:eastAsia="仿宋_GB2312"/>
          <w:sz w:val="32"/>
          <w:szCs w:val="32"/>
        </w:rPr>
        <w:t>供货方式:</w:t>
      </w:r>
      <w:r>
        <w:rPr>
          <w:rFonts w:hint="eastAsia" w:ascii="仿宋_GB2312" w:hAnsi="楷体" w:eastAsia="仿宋_GB2312"/>
          <w:sz w:val="32"/>
          <w:szCs w:val="32"/>
        </w:rPr>
        <w:t>最大化安装整体打包发货</w:t>
      </w:r>
      <w:r>
        <w:rPr>
          <w:rFonts w:hint="eastAsia" w:ascii="仿宋_GB2312" w:hAnsi="楷体" w:eastAsia="仿宋_GB2312"/>
          <w:sz w:val="32"/>
          <w:szCs w:val="32"/>
          <w:lang w:eastAsia="zh-CN"/>
        </w:rPr>
        <w:t>。</w:t>
      </w:r>
    </w:p>
    <w:p>
      <w:pPr>
        <w:spacing w:line="560" w:lineRule="exact"/>
        <w:jc w:val="left"/>
        <w:rPr>
          <w:rFonts w:ascii="仿宋_GB2312" w:hAnsi="楷体" w:eastAsia="仿宋_GB2312"/>
          <w:sz w:val="32"/>
          <w:szCs w:val="32"/>
        </w:rPr>
      </w:pPr>
      <w:r>
        <w:rPr>
          <w:rFonts w:hint="eastAsia" w:ascii="仿宋_GB2312" w:hAnsi="楷体" w:eastAsia="仿宋_GB2312"/>
          <w:sz w:val="32"/>
          <w:szCs w:val="32"/>
        </w:rPr>
        <w:t>（四）</w:t>
      </w:r>
      <w:r>
        <w:rPr>
          <w:rFonts w:ascii="仿宋_GB2312" w:hAnsi="楷体" w:eastAsia="仿宋_GB2312"/>
          <w:sz w:val="32"/>
          <w:szCs w:val="32"/>
        </w:rPr>
        <w:t>参考下述规范施工，按相关的条款进行验收:</w:t>
      </w:r>
    </w:p>
    <w:p>
      <w:pPr>
        <w:spacing w:line="560" w:lineRule="exact"/>
        <w:jc w:val="left"/>
        <w:rPr>
          <w:rFonts w:ascii="仿宋_GB2312" w:hAnsi="楷体" w:eastAsia="仿宋_GB2312"/>
          <w:sz w:val="32"/>
          <w:szCs w:val="32"/>
        </w:rPr>
      </w:pPr>
      <w:r>
        <w:rPr>
          <w:rFonts w:ascii="Times New Roman" w:hAnsi="Times New Roman" w:eastAsia="仿宋_GB2312" w:cs="Times New Roman"/>
          <w:sz w:val="32"/>
          <w:szCs w:val="32"/>
        </w:rPr>
        <w:t>GB/T15464</w:t>
      </w:r>
      <w:r>
        <w:rPr>
          <w:rFonts w:hint="eastAsia" w:ascii="仿宋_GB2312" w:hAnsi="楷体" w:eastAsia="仿宋_GB2312"/>
          <w:sz w:val="32"/>
          <w:szCs w:val="32"/>
        </w:rPr>
        <w:t xml:space="preserve"> 《仪器仪表包装通用技术条件》</w:t>
      </w:r>
    </w:p>
    <w:p>
      <w:pPr>
        <w:spacing w:line="560" w:lineRule="exact"/>
        <w:jc w:val="left"/>
        <w:rPr>
          <w:rFonts w:ascii="仿宋_GB2312" w:hAnsi="楷体" w:eastAsia="仿宋_GB2312"/>
          <w:sz w:val="32"/>
          <w:szCs w:val="32"/>
        </w:rPr>
      </w:pPr>
      <w:r>
        <w:rPr>
          <w:rFonts w:ascii="Times New Roman" w:hAnsi="Times New Roman" w:eastAsia="仿宋_GB2312" w:cs="Times New Roman"/>
          <w:sz w:val="32"/>
          <w:szCs w:val="32"/>
        </w:rPr>
        <w:t>GB4208</w:t>
      </w:r>
      <w:r>
        <w:rPr>
          <w:rFonts w:hint="eastAsia" w:ascii="仿宋_GB2312" w:hAnsi="楷体" w:eastAsia="仿宋_GB2312"/>
          <w:sz w:val="32"/>
          <w:szCs w:val="32"/>
        </w:rPr>
        <w:t xml:space="preserve"> 《外壳防护等级</w:t>
      </w:r>
      <w:r>
        <w:rPr>
          <w:rFonts w:ascii="仿宋_GB2312" w:hAnsi="楷体" w:eastAsia="仿宋_GB2312"/>
          <w:sz w:val="32"/>
          <w:szCs w:val="32"/>
        </w:rPr>
        <w:t>(IP码)》</w:t>
      </w:r>
    </w:p>
    <w:p>
      <w:pPr>
        <w:spacing w:line="560" w:lineRule="exact"/>
        <w:jc w:val="left"/>
        <w:rPr>
          <w:rFonts w:ascii="仿宋_GB2312" w:hAnsi="楷体" w:eastAsia="仿宋_GB2312"/>
          <w:sz w:val="32"/>
          <w:szCs w:val="32"/>
        </w:rPr>
      </w:pPr>
      <w:r>
        <w:rPr>
          <w:rFonts w:ascii="Times New Roman" w:hAnsi="Times New Roman" w:eastAsia="仿宋_GB2312" w:cs="Times New Roman"/>
          <w:sz w:val="32"/>
          <w:szCs w:val="32"/>
        </w:rPr>
        <w:t>ZBY002</w:t>
      </w:r>
      <w:r>
        <w:rPr>
          <w:rFonts w:hint="eastAsia" w:ascii="仿宋_GB2312" w:hAnsi="楷体" w:eastAsia="仿宋_GB2312"/>
          <w:sz w:val="32"/>
          <w:szCs w:val="32"/>
        </w:rPr>
        <w:t xml:space="preserve"> 《仪器仪表运输、运输储存基本环境条件及试验方法》</w:t>
      </w:r>
    </w:p>
    <w:p>
      <w:pPr>
        <w:spacing w:line="560" w:lineRule="exact"/>
        <w:jc w:val="left"/>
        <w:rPr>
          <w:rFonts w:ascii="仿宋_GB2312" w:hAnsi="楷体" w:eastAsia="仿宋_GB2312"/>
          <w:sz w:val="32"/>
          <w:szCs w:val="32"/>
        </w:rPr>
      </w:pPr>
      <w:r>
        <w:rPr>
          <w:rFonts w:ascii="Times New Roman" w:hAnsi="Times New Roman" w:eastAsia="仿宋_GB2312" w:cs="Times New Roman"/>
          <w:sz w:val="32"/>
          <w:szCs w:val="32"/>
        </w:rPr>
        <w:t>API607</w:t>
      </w:r>
      <w:r>
        <w:rPr>
          <w:rFonts w:hint="eastAsia" w:ascii="仿宋_GB2312" w:hAnsi="楷体" w:eastAsia="仿宋_GB2312"/>
          <w:sz w:val="32"/>
          <w:szCs w:val="32"/>
        </w:rPr>
        <w:t xml:space="preserve"> 《防火认证》</w:t>
      </w:r>
    </w:p>
    <w:p>
      <w:pPr>
        <w:spacing w:line="560" w:lineRule="exact"/>
        <w:jc w:val="left"/>
        <w:rPr>
          <w:rFonts w:ascii="仿宋_GB2312" w:hAnsi="楷体" w:eastAsia="仿宋_GB2312"/>
          <w:sz w:val="32"/>
          <w:szCs w:val="32"/>
        </w:rPr>
      </w:pPr>
      <w:r>
        <w:rPr>
          <w:rFonts w:ascii="Times New Roman" w:hAnsi="Times New Roman" w:eastAsia="仿宋_GB2312" w:cs="Times New Roman"/>
          <w:sz w:val="32"/>
          <w:szCs w:val="32"/>
        </w:rPr>
        <w:t>GB/T 28181-2016</w:t>
      </w:r>
      <w:r>
        <w:rPr>
          <w:rFonts w:ascii="仿宋_GB2312" w:hAnsi="黑体" w:eastAsia="仿宋_GB2312"/>
          <w:sz w:val="32"/>
          <w:szCs w:val="32"/>
        </w:rPr>
        <w:t>《安全防范视频监控 联网系统信息</w:t>
      </w:r>
      <w:r>
        <w:rPr>
          <w:rFonts w:hint="eastAsia" w:ascii="仿宋_GB2312" w:hAnsi="黑体" w:eastAsia="仿宋_GB2312"/>
          <w:sz w:val="32"/>
          <w:szCs w:val="32"/>
        </w:rPr>
        <w:t>传输、交换、控制技术要求》</w:t>
      </w:r>
    </w:p>
    <w:p>
      <w:pPr>
        <w:spacing w:line="560" w:lineRule="exact"/>
        <w:ind w:firstLine="640" w:firstLineChars="200"/>
        <w:jc w:val="left"/>
        <w:rPr>
          <w:rFonts w:ascii="仿宋_GB2312" w:hAnsi="楷体" w:eastAsia="仿宋_GB2312"/>
          <w:sz w:val="32"/>
          <w:szCs w:val="32"/>
        </w:rPr>
      </w:pPr>
      <w:r>
        <w:rPr>
          <w:rFonts w:hint="eastAsia" w:ascii="仿宋_GB2312" w:hAnsi="楷体" w:eastAsia="仿宋_GB2312"/>
          <w:sz w:val="32"/>
          <w:szCs w:val="32"/>
        </w:rPr>
        <w:t>其他未列出的与本产品有关的规范及标准，供应商有义务在投标文件中列出。标准优先原则，当上述标准发生矛盾时，其优先原则是</w:t>
      </w:r>
      <w:r>
        <w:rPr>
          <w:rFonts w:ascii="仿宋_GB2312" w:hAnsi="楷体" w:eastAsia="仿宋_GB2312"/>
          <w:sz w:val="32"/>
          <w:szCs w:val="32"/>
        </w:rPr>
        <w:t>:</w:t>
      </w:r>
    </w:p>
    <w:p>
      <w:pPr>
        <w:pStyle w:val="7"/>
        <w:numPr>
          <w:ilvl w:val="0"/>
          <w:numId w:val="6"/>
        </w:numPr>
        <w:spacing w:line="560" w:lineRule="exact"/>
        <w:ind w:left="862" w:leftChars="200" w:hanging="442" w:firstLineChars="0"/>
        <w:jc w:val="left"/>
        <w:rPr>
          <w:rFonts w:ascii="仿宋_GB2312" w:hAnsi="楷体" w:eastAsia="仿宋_GB2312"/>
          <w:sz w:val="32"/>
          <w:szCs w:val="32"/>
        </w:rPr>
      </w:pPr>
      <w:r>
        <w:rPr>
          <w:rFonts w:ascii="仿宋_GB2312" w:hAnsi="楷体" w:eastAsia="仿宋_GB2312"/>
          <w:sz w:val="32"/>
          <w:szCs w:val="32"/>
        </w:rPr>
        <w:t>规格书</w:t>
      </w:r>
      <w:r>
        <w:rPr>
          <w:rFonts w:hint="eastAsia" w:ascii="仿宋_GB2312" w:hAnsi="楷体" w:eastAsia="仿宋_GB2312"/>
          <w:sz w:val="32"/>
          <w:szCs w:val="32"/>
        </w:rPr>
        <w:t>；</w:t>
      </w:r>
    </w:p>
    <w:p>
      <w:pPr>
        <w:pStyle w:val="7"/>
        <w:numPr>
          <w:ilvl w:val="0"/>
          <w:numId w:val="7"/>
        </w:numPr>
        <w:spacing w:line="560" w:lineRule="exact"/>
        <w:ind w:left="862" w:leftChars="200" w:hanging="442" w:firstLineChars="0"/>
        <w:jc w:val="left"/>
        <w:rPr>
          <w:rFonts w:ascii="仿宋_GB2312" w:hAnsi="楷体" w:eastAsia="仿宋_GB2312"/>
          <w:sz w:val="32"/>
          <w:szCs w:val="32"/>
        </w:rPr>
      </w:pPr>
      <w:r>
        <w:rPr>
          <w:rFonts w:ascii="仿宋_GB2312" w:hAnsi="楷体" w:eastAsia="仿宋_GB2312"/>
          <w:sz w:val="32"/>
          <w:szCs w:val="32"/>
        </w:rPr>
        <w:t>技术协议</w:t>
      </w:r>
      <w:r>
        <w:rPr>
          <w:rFonts w:hint="eastAsia" w:ascii="仿宋_GB2312" w:hAnsi="楷体" w:eastAsia="仿宋_GB2312"/>
          <w:sz w:val="32"/>
          <w:szCs w:val="32"/>
        </w:rPr>
        <w:t>；</w:t>
      </w:r>
    </w:p>
    <w:p>
      <w:pPr>
        <w:pStyle w:val="7"/>
        <w:numPr>
          <w:ilvl w:val="0"/>
          <w:numId w:val="7"/>
        </w:numPr>
        <w:spacing w:line="560" w:lineRule="exact"/>
        <w:ind w:left="862" w:leftChars="200" w:hanging="442" w:firstLineChars="0"/>
        <w:jc w:val="left"/>
        <w:rPr>
          <w:rFonts w:ascii="仿宋_GB2312" w:hAnsi="楷体" w:eastAsia="仿宋_GB2312"/>
          <w:sz w:val="32"/>
          <w:szCs w:val="32"/>
        </w:rPr>
      </w:pPr>
      <w:r>
        <w:rPr>
          <w:rFonts w:hint="eastAsia" w:ascii="仿宋_GB2312" w:hAnsi="楷体" w:eastAsia="仿宋_GB2312"/>
          <w:sz w:val="32"/>
          <w:szCs w:val="32"/>
        </w:rPr>
        <w:t>标准及规范；</w:t>
      </w:r>
    </w:p>
    <w:p>
      <w:pPr>
        <w:pStyle w:val="7"/>
        <w:numPr>
          <w:ilvl w:val="0"/>
          <w:numId w:val="7"/>
        </w:numPr>
        <w:spacing w:line="560" w:lineRule="exact"/>
        <w:ind w:left="862" w:leftChars="200" w:hanging="442" w:firstLineChars="0"/>
        <w:jc w:val="left"/>
        <w:rPr>
          <w:rFonts w:ascii="仿宋_GB2312" w:hAnsi="楷体" w:eastAsia="仿宋_GB2312"/>
          <w:sz w:val="32"/>
          <w:szCs w:val="32"/>
        </w:rPr>
      </w:pPr>
      <w:r>
        <w:rPr>
          <w:rFonts w:hint="eastAsia" w:ascii="仿宋_GB2312" w:hAnsi="楷体" w:eastAsia="仿宋_GB2312"/>
          <w:sz w:val="32"/>
          <w:szCs w:val="32"/>
        </w:rPr>
        <w:t>当所列标准发生冲突时，按较严格标准执行。</w:t>
      </w:r>
    </w:p>
    <w:p>
      <w:pPr>
        <w:spacing w:line="560" w:lineRule="exact"/>
        <w:ind w:firstLine="640" w:firstLineChars="200"/>
        <w:jc w:val="left"/>
        <w:rPr>
          <w:rFonts w:ascii="仿宋_GB2312" w:hAnsi="楷体" w:eastAsia="仿宋_GB2312"/>
          <w:sz w:val="32"/>
          <w:szCs w:val="32"/>
        </w:rPr>
      </w:pPr>
      <w:r>
        <w:rPr>
          <w:rFonts w:hint="eastAsia" w:ascii="仿宋_GB2312" w:hAnsi="楷体" w:eastAsia="仿宋_GB2312"/>
          <w:sz w:val="32"/>
          <w:szCs w:val="32"/>
        </w:rPr>
        <w:t>注</w:t>
      </w:r>
      <w:r>
        <w:rPr>
          <w:rFonts w:ascii="仿宋_GB2312" w:hAnsi="楷体" w:eastAsia="仿宋_GB2312"/>
          <w:sz w:val="32"/>
          <w:szCs w:val="32"/>
        </w:rPr>
        <w:t>:以上标准、规范按最新版本执行，未尽事项按国家、行业有关标准执行，并且按就高和就严的原则执行，并保证图纸及各项技术要求。未注明版本的标准以最新版本为准。</w:t>
      </w:r>
    </w:p>
    <w:p>
      <w:pPr>
        <w:pStyle w:val="7"/>
        <w:numPr>
          <w:ilvl w:val="0"/>
          <w:numId w:val="2"/>
        </w:numPr>
        <w:spacing w:line="560" w:lineRule="exact"/>
        <w:ind w:firstLineChars="0"/>
        <w:jc w:val="left"/>
        <w:rPr>
          <w:rFonts w:ascii="黑体" w:hAnsi="黑体" w:eastAsia="黑体"/>
          <w:sz w:val="32"/>
          <w:szCs w:val="32"/>
        </w:rPr>
      </w:pPr>
      <w:r>
        <w:rPr>
          <w:rFonts w:hint="eastAsia" w:ascii="黑体" w:hAnsi="黑体" w:eastAsia="黑体"/>
          <w:sz w:val="32"/>
          <w:szCs w:val="32"/>
        </w:rPr>
        <w:t>文件资料与交付</w:t>
      </w:r>
    </w:p>
    <w:p>
      <w:pPr>
        <w:spacing w:line="560" w:lineRule="exact"/>
        <w:ind w:firstLine="640" w:firstLineChars="200"/>
        <w:jc w:val="left"/>
        <w:rPr>
          <w:rFonts w:ascii="仿宋_GB2312" w:hAnsi="楷体" w:eastAsia="仿宋_GB2312"/>
          <w:sz w:val="32"/>
          <w:szCs w:val="32"/>
        </w:rPr>
      </w:pPr>
      <w:r>
        <w:rPr>
          <w:rFonts w:hint="eastAsia" w:ascii="仿宋_GB2312" w:hAnsi="楷体" w:eastAsia="仿宋_GB2312"/>
          <w:sz w:val="32"/>
          <w:szCs w:val="32"/>
        </w:rPr>
        <w:t>承揽商</w:t>
      </w:r>
      <w:r>
        <w:rPr>
          <w:rFonts w:ascii="仿宋_GB2312" w:hAnsi="楷体" w:eastAsia="仿宋_GB2312"/>
          <w:sz w:val="32"/>
          <w:szCs w:val="32"/>
        </w:rPr>
        <w:t>(乙方)需将合格的检测报告交付给业主(甲方)</w:t>
      </w:r>
      <w:r>
        <w:rPr>
          <w:rFonts w:hint="eastAsia" w:ascii="仿宋_GB2312" w:hAnsi="楷体" w:eastAsia="仿宋_GB2312"/>
          <w:sz w:val="32"/>
          <w:szCs w:val="32"/>
        </w:rPr>
        <w:t>，包括槽钢、不锈钢、合金板等型材的检测报告。</w:t>
      </w:r>
    </w:p>
    <w:p>
      <w:pPr>
        <w:pStyle w:val="7"/>
        <w:numPr>
          <w:ilvl w:val="0"/>
          <w:numId w:val="2"/>
        </w:numPr>
        <w:spacing w:line="560" w:lineRule="exact"/>
        <w:ind w:firstLineChars="0"/>
        <w:jc w:val="left"/>
        <w:rPr>
          <w:rFonts w:hint="eastAsia" w:ascii="黑体" w:hAnsi="黑体" w:eastAsia="黑体"/>
          <w:sz w:val="32"/>
          <w:szCs w:val="32"/>
          <w:lang w:val="en-US" w:eastAsia="zh-CN"/>
        </w:rPr>
      </w:pPr>
      <w:r>
        <w:rPr>
          <w:rFonts w:hint="eastAsia" w:ascii="黑体" w:hAnsi="黑体" w:eastAsia="黑体"/>
          <w:sz w:val="32"/>
          <w:szCs w:val="32"/>
          <w:lang w:val="en-US" w:eastAsia="zh-CN"/>
        </w:rPr>
        <w:t>需求明细表</w:t>
      </w:r>
    </w:p>
    <w:tbl>
      <w:tblPr>
        <w:tblW w:w="95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96"/>
        <w:gridCol w:w="2443"/>
        <w:gridCol w:w="4970"/>
        <w:gridCol w:w="696"/>
        <w:gridCol w:w="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500" w:type="dxa"/>
            <w:gridSpan w:val="5"/>
            <w:vMerge w:val="restart"/>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40"/>
                <w:szCs w:val="40"/>
                <w:u w:val="none"/>
                <w:bdr w:val="none" w:color="auto" w:sz="0" w:space="0"/>
                <w:lang w:val="en-US" w:eastAsia="zh-CN" w:bidi="ar"/>
              </w:rPr>
            </w:pPr>
          </w:p>
          <w:p>
            <w:pPr>
              <w:keepNext w:val="0"/>
              <w:keepLines w:val="0"/>
              <w:widowControl/>
              <w:suppressLineNumbers w:val="0"/>
              <w:jc w:val="center"/>
              <w:textAlignment w:val="center"/>
              <w:rPr>
                <w:rFonts w:hint="eastAsia" w:ascii="等线" w:hAnsi="等线" w:eastAsia="等线" w:cs="等线"/>
                <w:b/>
                <w:bCs/>
                <w:i w:val="0"/>
                <w:iCs w:val="0"/>
                <w:color w:val="000000"/>
                <w:kern w:val="0"/>
                <w:sz w:val="40"/>
                <w:szCs w:val="40"/>
                <w:u w:val="none"/>
                <w:bdr w:val="none" w:color="auto" w:sz="0" w:space="0"/>
                <w:lang w:val="en-US" w:eastAsia="zh-CN" w:bidi="ar"/>
              </w:rPr>
            </w:pPr>
          </w:p>
          <w:p>
            <w:pPr>
              <w:keepNext w:val="0"/>
              <w:keepLines w:val="0"/>
              <w:widowControl/>
              <w:suppressLineNumbers w:val="0"/>
              <w:jc w:val="center"/>
              <w:textAlignment w:val="center"/>
              <w:rPr>
                <w:rFonts w:hint="eastAsia" w:ascii="等线" w:hAnsi="等线" w:eastAsia="等线" w:cs="等线"/>
                <w:b/>
                <w:bCs/>
                <w:i w:val="0"/>
                <w:iCs w:val="0"/>
                <w:color w:val="000000"/>
                <w:kern w:val="0"/>
                <w:sz w:val="40"/>
                <w:szCs w:val="40"/>
                <w:u w:val="none"/>
                <w:bdr w:val="none" w:color="auto" w:sz="0" w:space="0"/>
                <w:lang w:val="en-US" w:eastAsia="zh-CN" w:bidi="ar"/>
              </w:rPr>
            </w:pPr>
          </w:p>
          <w:p>
            <w:pPr>
              <w:keepNext w:val="0"/>
              <w:keepLines w:val="0"/>
              <w:widowControl/>
              <w:suppressLineNumbers w:val="0"/>
              <w:jc w:val="center"/>
              <w:textAlignment w:val="center"/>
              <w:rPr>
                <w:rFonts w:hint="eastAsia" w:ascii="等线" w:hAnsi="等线" w:eastAsia="等线" w:cs="等线"/>
                <w:b/>
                <w:bCs/>
                <w:i w:val="0"/>
                <w:iCs w:val="0"/>
                <w:color w:val="000000"/>
                <w:kern w:val="0"/>
                <w:sz w:val="40"/>
                <w:szCs w:val="40"/>
                <w:u w:val="none"/>
                <w:bdr w:val="none" w:color="auto" w:sz="0" w:space="0"/>
                <w:lang w:val="en-US" w:eastAsia="zh-CN" w:bidi="ar"/>
              </w:rPr>
            </w:pPr>
          </w:p>
          <w:p>
            <w:pPr>
              <w:keepNext w:val="0"/>
              <w:keepLines w:val="0"/>
              <w:widowControl/>
              <w:suppressLineNumbers w:val="0"/>
              <w:jc w:val="center"/>
              <w:textAlignment w:val="center"/>
              <w:rPr>
                <w:rFonts w:hint="eastAsia" w:ascii="等线" w:hAnsi="等线" w:eastAsia="等线" w:cs="等线"/>
                <w:b/>
                <w:bCs/>
                <w:i w:val="0"/>
                <w:iCs w:val="0"/>
                <w:color w:val="000000"/>
                <w:kern w:val="0"/>
                <w:sz w:val="40"/>
                <w:szCs w:val="40"/>
                <w:u w:val="none"/>
                <w:bdr w:val="none" w:color="auto" w:sz="0" w:space="0"/>
                <w:lang w:val="en-US" w:eastAsia="zh-CN" w:bidi="ar"/>
              </w:rPr>
            </w:pPr>
          </w:p>
          <w:p>
            <w:pPr>
              <w:keepNext w:val="0"/>
              <w:keepLines w:val="0"/>
              <w:widowControl/>
              <w:suppressLineNumbers w:val="0"/>
              <w:jc w:val="center"/>
              <w:textAlignment w:val="center"/>
              <w:rPr>
                <w:rFonts w:hint="eastAsia" w:ascii="等线" w:hAnsi="等线" w:eastAsia="等线" w:cs="等线"/>
                <w:b/>
                <w:bCs/>
                <w:i w:val="0"/>
                <w:iCs w:val="0"/>
                <w:color w:val="000000"/>
                <w:kern w:val="0"/>
                <w:sz w:val="40"/>
                <w:szCs w:val="40"/>
                <w:u w:val="none"/>
                <w:bdr w:val="none" w:color="auto" w:sz="0" w:space="0"/>
                <w:lang w:val="en-US" w:eastAsia="zh-CN" w:bidi="ar"/>
              </w:rPr>
            </w:pPr>
          </w:p>
          <w:p>
            <w:pPr>
              <w:keepNext w:val="0"/>
              <w:keepLines w:val="0"/>
              <w:widowControl/>
              <w:suppressLineNumbers w:val="0"/>
              <w:jc w:val="center"/>
              <w:textAlignment w:val="center"/>
              <w:rPr>
                <w:rFonts w:hint="eastAsia" w:ascii="等线" w:hAnsi="等线" w:eastAsia="等线" w:cs="等线"/>
                <w:b/>
                <w:bCs/>
                <w:i w:val="0"/>
                <w:iCs w:val="0"/>
                <w:color w:val="000000"/>
                <w:kern w:val="0"/>
                <w:sz w:val="40"/>
                <w:szCs w:val="40"/>
                <w:u w:val="none"/>
                <w:bdr w:val="none" w:color="auto" w:sz="0" w:space="0"/>
                <w:lang w:val="en-US" w:eastAsia="zh-CN" w:bidi="ar"/>
              </w:rPr>
            </w:pPr>
          </w:p>
          <w:p>
            <w:pPr>
              <w:keepNext w:val="0"/>
              <w:keepLines w:val="0"/>
              <w:widowControl/>
              <w:suppressLineNumbers w:val="0"/>
              <w:jc w:val="center"/>
              <w:textAlignment w:val="center"/>
              <w:rPr>
                <w:rFonts w:hint="eastAsia" w:ascii="等线" w:hAnsi="等线" w:eastAsia="等线" w:cs="等线"/>
                <w:b/>
                <w:bCs/>
                <w:i w:val="0"/>
                <w:iCs w:val="0"/>
                <w:color w:val="000000"/>
                <w:kern w:val="0"/>
                <w:sz w:val="40"/>
                <w:szCs w:val="40"/>
                <w:u w:val="none"/>
                <w:bdr w:val="none" w:color="auto" w:sz="0" w:space="0"/>
                <w:lang w:val="en-US" w:eastAsia="zh-CN" w:bidi="ar"/>
              </w:rPr>
            </w:pPr>
          </w:p>
          <w:p>
            <w:pPr>
              <w:keepNext w:val="0"/>
              <w:keepLines w:val="0"/>
              <w:widowControl/>
              <w:suppressLineNumbers w:val="0"/>
              <w:jc w:val="center"/>
              <w:textAlignment w:val="center"/>
              <w:rPr>
                <w:rFonts w:ascii="等线" w:hAnsi="等线" w:eastAsia="等线" w:cs="等线"/>
                <w:b/>
                <w:bCs/>
                <w:i w:val="0"/>
                <w:iCs w:val="0"/>
                <w:color w:val="000000"/>
                <w:sz w:val="40"/>
                <w:szCs w:val="40"/>
                <w:u w:val="none"/>
              </w:rPr>
            </w:pPr>
            <w:r>
              <w:rPr>
                <w:rFonts w:hint="eastAsia" w:ascii="等线" w:hAnsi="等线" w:eastAsia="等线" w:cs="等线"/>
                <w:b/>
                <w:bCs/>
                <w:i w:val="0"/>
                <w:iCs w:val="0"/>
                <w:color w:val="000000"/>
                <w:kern w:val="0"/>
                <w:sz w:val="40"/>
                <w:szCs w:val="40"/>
                <w:u w:val="none"/>
                <w:bdr w:val="none" w:color="auto" w:sz="0" w:space="0"/>
                <w:lang w:val="en-US" w:eastAsia="zh-CN" w:bidi="ar"/>
              </w:rPr>
              <w:t>雨水监测站房规格说明书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9500" w:type="dxa"/>
            <w:gridSpan w:val="5"/>
            <w:vMerge w:val="continue"/>
            <w:tcBorders>
              <w:top w:val="nil"/>
              <w:left w:val="nil"/>
              <w:bottom w:val="nil"/>
              <w:right w:val="nil"/>
            </w:tcBorders>
            <w:shd w:val="clear"/>
            <w:noWrap/>
            <w:vAlign w:val="center"/>
          </w:tcPr>
          <w:p>
            <w:pPr>
              <w:jc w:val="center"/>
              <w:rPr>
                <w:rFonts w:hint="eastAsia" w:ascii="等线" w:hAnsi="等线" w:eastAsia="等线" w:cs="等线"/>
                <w:b/>
                <w:bCs/>
                <w:i w:val="0"/>
                <w:iCs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规格/说明</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小屋本体</w:t>
            </w:r>
          </w:p>
        </w:tc>
        <w:tc>
          <w:tcPr>
            <w:tcW w:w="49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1、室内面积大于15㎡，高大于2.8m。</w:t>
            </w:r>
            <w:r>
              <w:rPr>
                <w:rFonts w:hint="eastAsia" w:ascii="等线" w:hAnsi="等线" w:eastAsia="等线" w:cs="等线"/>
                <w:i w:val="0"/>
                <w:iCs w:val="0"/>
                <w:color w:val="000000"/>
                <w:kern w:val="0"/>
                <w:sz w:val="22"/>
                <w:szCs w:val="22"/>
                <w:u w:val="none"/>
                <w:bdr w:val="none" w:color="auto" w:sz="0" w:space="0"/>
                <w:lang w:val="en-US" w:eastAsia="zh-CN" w:bidi="ar"/>
              </w:rPr>
              <w:br w:type="textWrapping"/>
            </w:r>
            <w:r>
              <w:rPr>
                <w:rFonts w:hint="eastAsia" w:ascii="等线" w:hAnsi="等线" w:eastAsia="等线" w:cs="等线"/>
                <w:i w:val="0"/>
                <w:iCs w:val="0"/>
                <w:color w:val="000000"/>
                <w:kern w:val="0"/>
                <w:sz w:val="22"/>
                <w:szCs w:val="22"/>
                <w:u w:val="none"/>
                <w:bdr w:val="none" w:color="auto" w:sz="0" w:space="0"/>
                <w:lang w:val="en-US" w:eastAsia="zh-CN" w:bidi="ar"/>
              </w:rPr>
              <w:t>2、采用型钢焊接框架式结构，底座框架采用16 号槽钢，其余使用12号槽钢，材质为热浸锌，焊接完需做整体防腐刷漆。</w:t>
            </w:r>
            <w:r>
              <w:rPr>
                <w:rFonts w:hint="eastAsia" w:ascii="等线" w:hAnsi="等线" w:eastAsia="等线" w:cs="等线"/>
                <w:i w:val="0"/>
                <w:iCs w:val="0"/>
                <w:color w:val="000000"/>
                <w:kern w:val="0"/>
                <w:sz w:val="22"/>
                <w:szCs w:val="22"/>
                <w:u w:val="none"/>
                <w:bdr w:val="none" w:color="auto" w:sz="0" w:space="0"/>
                <w:lang w:val="en-US" w:eastAsia="zh-CN" w:bidi="ar"/>
              </w:rPr>
              <w:br w:type="textWrapping"/>
            </w:r>
            <w:r>
              <w:rPr>
                <w:rFonts w:hint="eastAsia" w:ascii="等线" w:hAnsi="等线" w:eastAsia="等线" w:cs="等线"/>
                <w:i w:val="0"/>
                <w:iCs w:val="0"/>
                <w:color w:val="000000"/>
                <w:kern w:val="0"/>
                <w:sz w:val="22"/>
                <w:szCs w:val="22"/>
                <w:u w:val="none"/>
                <w:bdr w:val="none" w:color="auto" w:sz="0" w:space="0"/>
                <w:lang w:val="en-US" w:eastAsia="zh-CN" w:bidi="ar"/>
              </w:rPr>
              <w:t>3、屋顶为双层，基层是 2mm 厚 304不锈钢冂型钢板拼装而成，面层为“斜顶”型防水结构，最小坡度为4%，材质为花纹镀锌板喷漆，颜色灰色。小屋一侧带4根PVC落水管。</w:t>
            </w:r>
            <w:r>
              <w:rPr>
                <w:rFonts w:hint="eastAsia" w:ascii="等线" w:hAnsi="等线" w:eastAsia="等线" w:cs="等线"/>
                <w:i w:val="0"/>
                <w:iCs w:val="0"/>
                <w:color w:val="000000"/>
                <w:kern w:val="0"/>
                <w:sz w:val="22"/>
                <w:szCs w:val="22"/>
                <w:u w:val="none"/>
                <w:bdr w:val="none" w:color="auto" w:sz="0" w:space="0"/>
                <w:lang w:val="en-US" w:eastAsia="zh-CN" w:bidi="ar"/>
              </w:rPr>
              <w:br w:type="textWrapping"/>
            </w:r>
            <w:r>
              <w:rPr>
                <w:rFonts w:hint="eastAsia" w:ascii="等线" w:hAnsi="等线" w:eastAsia="等线" w:cs="等线"/>
                <w:i w:val="0"/>
                <w:iCs w:val="0"/>
                <w:color w:val="000000"/>
                <w:kern w:val="0"/>
                <w:sz w:val="22"/>
                <w:szCs w:val="22"/>
                <w:u w:val="none"/>
                <w:bdr w:val="none" w:color="auto" w:sz="0" w:space="0"/>
                <w:lang w:val="en-US" w:eastAsia="zh-CN" w:bidi="ar"/>
              </w:rPr>
              <w:t>4、内外墙由冂型钢板拼装而成，外墙用 2mm 厚拉丝不锈钢板，本色且纹理均匀，需防腐刷漆，1层底漆（环氧富锌底漆）1层中间漆（环氧云铁中间漆）2层面漆（聚氨酯面漆）。</w:t>
            </w:r>
            <w:r>
              <w:rPr>
                <w:rFonts w:hint="eastAsia" w:ascii="等线" w:hAnsi="等线" w:eastAsia="等线" w:cs="等线"/>
                <w:i w:val="0"/>
                <w:iCs w:val="0"/>
                <w:color w:val="000000"/>
                <w:kern w:val="0"/>
                <w:sz w:val="22"/>
                <w:szCs w:val="22"/>
                <w:u w:val="none"/>
                <w:bdr w:val="none" w:color="auto" w:sz="0" w:space="0"/>
                <w:lang w:val="en-US" w:eastAsia="zh-CN" w:bidi="ar"/>
              </w:rPr>
              <w:br w:type="textWrapping"/>
            </w:r>
            <w:r>
              <w:rPr>
                <w:rFonts w:hint="eastAsia" w:ascii="等线" w:hAnsi="等线" w:eastAsia="等线" w:cs="等线"/>
                <w:i w:val="0"/>
                <w:iCs w:val="0"/>
                <w:color w:val="000000"/>
                <w:kern w:val="0"/>
                <w:sz w:val="22"/>
                <w:szCs w:val="22"/>
                <w:u w:val="none"/>
                <w:bdr w:val="none" w:color="auto" w:sz="0" w:space="0"/>
                <w:lang w:val="en-US" w:eastAsia="zh-CN" w:bidi="ar"/>
              </w:rPr>
              <w:t>5、内墙和吊顶采用 1.5mm 厚 304不锈钢板，表面喷塑。墙厚 75mm，内外墙及屋顶至少填充 65mm厚阻燃型保温材料(聚氨酯泡沫等)。</w:t>
            </w:r>
            <w:r>
              <w:rPr>
                <w:rFonts w:hint="eastAsia" w:ascii="等线" w:hAnsi="等线" w:eastAsia="等线" w:cs="等线"/>
                <w:i w:val="0"/>
                <w:iCs w:val="0"/>
                <w:color w:val="000000"/>
                <w:kern w:val="0"/>
                <w:sz w:val="22"/>
                <w:szCs w:val="22"/>
                <w:u w:val="none"/>
                <w:bdr w:val="none" w:color="auto" w:sz="0" w:space="0"/>
                <w:lang w:val="en-US" w:eastAsia="zh-CN" w:bidi="ar"/>
              </w:rPr>
              <w:br w:type="textWrapping"/>
            </w:r>
            <w:r>
              <w:rPr>
                <w:rFonts w:hint="eastAsia" w:ascii="等线" w:hAnsi="等线" w:eastAsia="等线" w:cs="等线"/>
                <w:i w:val="0"/>
                <w:iCs w:val="0"/>
                <w:color w:val="000000"/>
                <w:kern w:val="0"/>
                <w:sz w:val="22"/>
                <w:szCs w:val="22"/>
                <w:u w:val="none"/>
                <w:bdr w:val="none" w:color="auto" w:sz="0" w:space="0"/>
                <w:lang w:val="en-US" w:eastAsia="zh-CN" w:bidi="ar"/>
              </w:rPr>
              <w:t>6、站房地板采用 5mm 厚花纹铝板。</w:t>
            </w:r>
            <w:r>
              <w:rPr>
                <w:rFonts w:hint="eastAsia" w:ascii="等线" w:hAnsi="等线" w:eastAsia="等线" w:cs="等线"/>
                <w:i w:val="0"/>
                <w:iCs w:val="0"/>
                <w:color w:val="000000"/>
                <w:kern w:val="0"/>
                <w:sz w:val="22"/>
                <w:szCs w:val="22"/>
                <w:u w:val="none"/>
                <w:bdr w:val="none" w:color="auto" w:sz="0" w:space="0"/>
                <w:lang w:val="en-US" w:eastAsia="zh-CN" w:bidi="ar"/>
              </w:rPr>
              <w:br w:type="textWrapping"/>
            </w:r>
            <w:r>
              <w:rPr>
                <w:rFonts w:hint="eastAsia" w:ascii="等线" w:hAnsi="等线" w:eastAsia="等线" w:cs="等线"/>
                <w:i w:val="0"/>
                <w:iCs w:val="0"/>
                <w:color w:val="000000"/>
                <w:kern w:val="0"/>
                <w:sz w:val="22"/>
                <w:szCs w:val="22"/>
                <w:u w:val="none"/>
                <w:bdr w:val="none" w:color="auto" w:sz="0" w:space="0"/>
                <w:lang w:val="en-US" w:eastAsia="zh-CN" w:bidi="ar"/>
              </w:rPr>
              <w:t>7、配备2扇可锁不锈钢门，尺寸为:900x2100mm，门上带有钢化玻璃视窗，尺寸为600mmx400mm，配有快速开启杆和保险等必须零件。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w:t>
            </w:r>
          </w:p>
        </w:tc>
        <w:tc>
          <w:tcPr>
            <w:tcW w:w="2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防爆配电装置(GPS公共电源箱)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材质为铸铝合金，ExdeIICT4，Gb</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w:t>
            </w:r>
          </w:p>
        </w:tc>
        <w:tc>
          <w:tcPr>
            <w:tcW w:w="2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防爆配电装置(UPS仪表电源箱)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材质为铸铝合金，ExdeIICT4，Gb</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其他控制箱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材质为铸铝合金，ExdeIICT4，Gb</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防爆公共电源接线箱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材质为铸铝合金 Ex dbIICT6，Gb</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防爆仪表电源接线箱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材质为铸铝合金 Ex dbIICT6，Gb</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防爆数字信号接线箱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材质为铸铝合金 Ex dbIICT6，Gb</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防爆照明灯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防爆双管荧光灯，2*20W</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防爆开关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控制室内照明灯和风机，ExdeIICT6，Gb</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防爆风机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需有定时开启功能，开启时间间隔可设置。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插座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视频监控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海康威视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工具件</w:t>
            </w:r>
          </w:p>
        </w:tc>
        <w:tc>
          <w:tcPr>
            <w:tcW w:w="49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包含温湿度计，储物柜，洗手台，工作台，工具箱，桌子，椅子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防爆空调</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格力，1.5p分体空调</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桥架/预制件连接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格栅踏步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小屋门口跨越电缆桥架用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w:t>
            </w:r>
          </w:p>
        </w:tc>
      </w:tr>
    </w:tbl>
    <w:p>
      <w:pPr>
        <w:numPr>
          <w:ilvl w:val="0"/>
          <w:numId w:val="2"/>
        </w:numPr>
        <w:ind w:left="720" w:leftChars="0" w:hanging="720" w:firstLineChars="0"/>
        <w:jc w:val="both"/>
        <w:rPr>
          <w:rFonts w:hint="default"/>
          <w:sz w:val="28"/>
          <w:szCs w:val="28"/>
          <w:lang w:val="en-US" w:eastAsia="zh-CN"/>
        </w:rPr>
      </w:pPr>
      <w:bookmarkStart w:id="1" w:name="_GoBack"/>
      <w:bookmarkEnd w:id="1"/>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4942741"/>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11514E"/>
    <w:multiLevelType w:val="multilevel"/>
    <w:tmpl w:val="2011514E"/>
    <w:lvl w:ilvl="0" w:tentative="0">
      <w:start w:val="2"/>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2B6C04E5"/>
    <w:multiLevelType w:val="multilevel"/>
    <w:tmpl w:val="2B6C04E5"/>
    <w:lvl w:ilvl="0" w:tentative="0">
      <w:start w:val="1"/>
      <w:numFmt w:val="none"/>
      <w:lvlText w:val="一、"/>
      <w:lvlJc w:val="left"/>
      <w:pPr>
        <w:tabs>
          <w:tab w:val="left" w:pos="340"/>
        </w:tabs>
        <w:ind w:left="425" w:hanging="425"/>
      </w:pPr>
      <w:rPr>
        <w:rFonts w:hint="eastAsia" w:eastAsia="黑体"/>
        <w:b w:val="0"/>
        <w:i w:val="0"/>
        <w:sz w:val="32"/>
      </w:rPr>
    </w:lvl>
    <w:lvl w:ilvl="1" w:tentative="0">
      <w:start w:val="1"/>
      <w:numFmt w:val="none"/>
      <w:lvlText w:val="（一）"/>
      <w:lvlJc w:val="left"/>
      <w:pPr>
        <w:ind w:left="992" w:hanging="992"/>
      </w:pPr>
      <w:rPr>
        <w:rFonts w:hint="eastAsia" w:eastAsia="楷体_GB2312"/>
        <w:b w:val="0"/>
        <w:i w:val="0"/>
        <w:sz w:val="32"/>
      </w:rPr>
    </w:lvl>
    <w:lvl w:ilvl="2" w:tentative="0">
      <w:start w:val="1"/>
      <w:numFmt w:val="decimal"/>
      <w:lvlText w:val="%3."/>
      <w:lvlJc w:val="left"/>
      <w:pPr>
        <w:ind w:left="1007" w:hanging="440"/>
      </w:pPr>
    </w:lvl>
    <w:lvl w:ilvl="3" w:tentative="0">
      <w:start w:val="1"/>
      <w:numFmt w:val="none"/>
      <w:lvlText w:val="（1）"/>
      <w:lvlJc w:val="left"/>
      <w:pPr>
        <w:ind w:left="1531" w:hanging="964"/>
      </w:pPr>
      <w:rPr>
        <w:rFonts w:hint="eastAsia" w:eastAsia="仿宋_GB2312"/>
        <w:sz w:val="32"/>
      </w:rPr>
    </w:lvl>
    <w:lvl w:ilvl="4" w:tentative="0">
      <w:start w:val="1"/>
      <w:numFmt w:val="none"/>
      <w:lvlText w:val="a"/>
      <w:lvlJc w:val="left"/>
      <w:pPr>
        <w:ind w:left="1871" w:hanging="737"/>
      </w:pPr>
      <w:rPr>
        <w:rFonts w:hint="eastAsia" w:eastAsia="仿宋_GB2312"/>
        <w:b w:val="0"/>
        <w:i w:val="0"/>
        <w:sz w:val="32"/>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305B4310"/>
    <w:multiLevelType w:val="multilevel"/>
    <w:tmpl w:val="305B4310"/>
    <w:lvl w:ilvl="0" w:tentative="0">
      <w:start w:val="1"/>
      <w:numFmt w:val="none"/>
      <w:lvlText w:val="一、"/>
      <w:lvlJc w:val="left"/>
      <w:pPr>
        <w:tabs>
          <w:tab w:val="left" w:pos="340"/>
        </w:tabs>
        <w:ind w:left="425" w:hanging="425"/>
      </w:pPr>
      <w:rPr>
        <w:rFonts w:hint="eastAsia" w:eastAsia="黑体"/>
        <w:b w:val="0"/>
        <w:i w:val="0"/>
        <w:sz w:val="32"/>
      </w:rPr>
    </w:lvl>
    <w:lvl w:ilvl="1" w:tentative="0">
      <w:start w:val="1"/>
      <w:numFmt w:val="none"/>
      <w:lvlText w:val="（一）"/>
      <w:lvlJc w:val="left"/>
      <w:pPr>
        <w:ind w:left="992" w:hanging="992"/>
      </w:pPr>
      <w:rPr>
        <w:rFonts w:hint="eastAsia" w:eastAsia="楷体_GB2312"/>
        <w:b w:val="0"/>
        <w:i w:val="0"/>
        <w:sz w:val="32"/>
      </w:rPr>
    </w:lvl>
    <w:lvl w:ilvl="2" w:tentative="0">
      <w:start w:val="1"/>
      <w:numFmt w:val="decimal"/>
      <w:lvlText w:val="%3."/>
      <w:lvlJc w:val="left"/>
      <w:pPr>
        <w:ind w:left="1007" w:hanging="440"/>
      </w:pPr>
    </w:lvl>
    <w:lvl w:ilvl="3" w:tentative="0">
      <w:start w:val="1"/>
      <w:numFmt w:val="none"/>
      <w:lvlText w:val="（1）"/>
      <w:lvlJc w:val="left"/>
      <w:pPr>
        <w:ind w:left="1531" w:hanging="964"/>
      </w:pPr>
      <w:rPr>
        <w:rFonts w:hint="eastAsia" w:eastAsia="仿宋_GB2312"/>
        <w:sz w:val="32"/>
      </w:rPr>
    </w:lvl>
    <w:lvl w:ilvl="4" w:tentative="0">
      <w:start w:val="1"/>
      <w:numFmt w:val="none"/>
      <w:lvlText w:val="a"/>
      <w:lvlJc w:val="left"/>
      <w:pPr>
        <w:ind w:left="1871" w:hanging="737"/>
      </w:pPr>
      <w:rPr>
        <w:rFonts w:hint="eastAsia" w:eastAsia="仿宋_GB2312"/>
        <w:b w:val="0"/>
        <w:i w:val="0"/>
        <w:sz w:val="32"/>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30A90A38"/>
    <w:multiLevelType w:val="multilevel"/>
    <w:tmpl w:val="30A90A38"/>
    <w:lvl w:ilvl="0" w:tentative="0">
      <w:start w:val="1"/>
      <w:numFmt w:val="decimal"/>
      <w:lvlText w:val="（%1）"/>
      <w:lvlJc w:val="left"/>
      <w:pPr>
        <w:ind w:left="2087" w:hanging="1080"/>
      </w:pPr>
      <w:rPr>
        <w:rFonts w:hint="default"/>
      </w:rPr>
    </w:lvl>
    <w:lvl w:ilvl="1" w:tentative="0">
      <w:start w:val="1"/>
      <w:numFmt w:val="lowerLetter"/>
      <w:lvlText w:val="%2)"/>
      <w:lvlJc w:val="left"/>
      <w:pPr>
        <w:ind w:left="1887" w:hanging="440"/>
      </w:pPr>
    </w:lvl>
    <w:lvl w:ilvl="2" w:tentative="0">
      <w:start w:val="1"/>
      <w:numFmt w:val="lowerRoman"/>
      <w:lvlText w:val="%3."/>
      <w:lvlJc w:val="right"/>
      <w:pPr>
        <w:ind w:left="2327" w:hanging="440"/>
      </w:pPr>
    </w:lvl>
    <w:lvl w:ilvl="3" w:tentative="0">
      <w:start w:val="1"/>
      <w:numFmt w:val="decimal"/>
      <w:lvlText w:val="%4."/>
      <w:lvlJc w:val="left"/>
      <w:pPr>
        <w:ind w:left="2767" w:hanging="440"/>
      </w:pPr>
    </w:lvl>
    <w:lvl w:ilvl="4" w:tentative="0">
      <w:start w:val="1"/>
      <w:numFmt w:val="lowerLetter"/>
      <w:lvlText w:val="%5)"/>
      <w:lvlJc w:val="left"/>
      <w:pPr>
        <w:ind w:left="3207" w:hanging="440"/>
      </w:pPr>
    </w:lvl>
    <w:lvl w:ilvl="5" w:tentative="0">
      <w:start w:val="1"/>
      <w:numFmt w:val="lowerRoman"/>
      <w:lvlText w:val="%6."/>
      <w:lvlJc w:val="right"/>
      <w:pPr>
        <w:ind w:left="3647" w:hanging="440"/>
      </w:pPr>
    </w:lvl>
    <w:lvl w:ilvl="6" w:tentative="0">
      <w:start w:val="1"/>
      <w:numFmt w:val="decimal"/>
      <w:lvlText w:val="%7."/>
      <w:lvlJc w:val="left"/>
      <w:pPr>
        <w:ind w:left="4087" w:hanging="440"/>
      </w:pPr>
    </w:lvl>
    <w:lvl w:ilvl="7" w:tentative="0">
      <w:start w:val="1"/>
      <w:numFmt w:val="lowerLetter"/>
      <w:lvlText w:val="%8)"/>
      <w:lvlJc w:val="left"/>
      <w:pPr>
        <w:ind w:left="4527" w:hanging="440"/>
      </w:pPr>
    </w:lvl>
    <w:lvl w:ilvl="8" w:tentative="0">
      <w:start w:val="1"/>
      <w:numFmt w:val="lowerRoman"/>
      <w:lvlText w:val="%9."/>
      <w:lvlJc w:val="right"/>
      <w:pPr>
        <w:ind w:left="4967" w:hanging="440"/>
      </w:pPr>
    </w:lvl>
  </w:abstractNum>
  <w:abstractNum w:abstractNumId="4">
    <w:nsid w:val="3B602055"/>
    <w:multiLevelType w:val="multilevel"/>
    <w:tmpl w:val="3B602055"/>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
    <w:nsid w:val="54AD3662"/>
    <w:multiLevelType w:val="multilevel"/>
    <w:tmpl w:val="54AD3662"/>
    <w:lvl w:ilvl="0" w:tentative="0">
      <w:start w:val="1"/>
      <w:numFmt w:val="decimal"/>
      <w:lvlText w:val="（%1）"/>
      <w:lvlJc w:val="left"/>
      <w:pPr>
        <w:ind w:left="2087" w:hanging="1080"/>
      </w:pPr>
      <w:rPr>
        <w:rFonts w:hint="default"/>
      </w:rPr>
    </w:lvl>
    <w:lvl w:ilvl="1" w:tentative="0">
      <w:start w:val="1"/>
      <w:numFmt w:val="lowerLetter"/>
      <w:lvlText w:val="%2)"/>
      <w:lvlJc w:val="left"/>
      <w:pPr>
        <w:ind w:left="1887" w:hanging="440"/>
      </w:pPr>
    </w:lvl>
    <w:lvl w:ilvl="2" w:tentative="0">
      <w:start w:val="1"/>
      <w:numFmt w:val="lowerRoman"/>
      <w:lvlText w:val="%3."/>
      <w:lvlJc w:val="right"/>
      <w:pPr>
        <w:ind w:left="2327" w:hanging="440"/>
      </w:pPr>
    </w:lvl>
    <w:lvl w:ilvl="3" w:tentative="0">
      <w:start w:val="1"/>
      <w:numFmt w:val="decimal"/>
      <w:lvlText w:val="%4."/>
      <w:lvlJc w:val="left"/>
      <w:pPr>
        <w:ind w:left="2767" w:hanging="440"/>
      </w:pPr>
    </w:lvl>
    <w:lvl w:ilvl="4" w:tentative="0">
      <w:start w:val="1"/>
      <w:numFmt w:val="lowerLetter"/>
      <w:lvlText w:val="%5)"/>
      <w:lvlJc w:val="left"/>
      <w:pPr>
        <w:ind w:left="3207" w:hanging="440"/>
      </w:pPr>
    </w:lvl>
    <w:lvl w:ilvl="5" w:tentative="0">
      <w:start w:val="1"/>
      <w:numFmt w:val="lowerRoman"/>
      <w:lvlText w:val="%6."/>
      <w:lvlJc w:val="right"/>
      <w:pPr>
        <w:ind w:left="3647" w:hanging="440"/>
      </w:pPr>
    </w:lvl>
    <w:lvl w:ilvl="6" w:tentative="0">
      <w:start w:val="1"/>
      <w:numFmt w:val="decimal"/>
      <w:lvlText w:val="%7."/>
      <w:lvlJc w:val="left"/>
      <w:pPr>
        <w:ind w:left="4087" w:hanging="440"/>
      </w:pPr>
    </w:lvl>
    <w:lvl w:ilvl="7" w:tentative="0">
      <w:start w:val="1"/>
      <w:numFmt w:val="lowerLetter"/>
      <w:lvlText w:val="%8)"/>
      <w:lvlJc w:val="left"/>
      <w:pPr>
        <w:ind w:left="4527" w:hanging="440"/>
      </w:pPr>
    </w:lvl>
    <w:lvl w:ilvl="8" w:tentative="0">
      <w:start w:val="1"/>
      <w:numFmt w:val="lowerRoman"/>
      <w:lvlText w:val="%9."/>
      <w:lvlJc w:val="right"/>
      <w:pPr>
        <w:ind w:left="4967" w:hanging="440"/>
      </w:pPr>
    </w:lvl>
  </w:abstractNum>
  <w:abstractNum w:abstractNumId="6">
    <w:nsid w:val="798838BD"/>
    <w:multiLevelType w:val="multilevel"/>
    <w:tmpl w:val="798838B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2"/>
  </w:num>
  <w:num w:numId="2">
    <w:abstractNumId w:val="0"/>
  </w:num>
  <w:num w:numId="3">
    <w:abstractNumId w:val="1"/>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TQyMjhiMzdjZTY1MzkyYzgxNTk0YzZhYTBlYzIifQ=="/>
  </w:docVars>
  <w:rsids>
    <w:rsidRoot w:val="009A3AAD"/>
    <w:rsid w:val="0001430A"/>
    <w:rsid w:val="0001791E"/>
    <w:rsid w:val="00017BD9"/>
    <w:rsid w:val="00037509"/>
    <w:rsid w:val="000464E8"/>
    <w:rsid w:val="000777FE"/>
    <w:rsid w:val="0008105F"/>
    <w:rsid w:val="00086353"/>
    <w:rsid w:val="000B0C55"/>
    <w:rsid w:val="000C2117"/>
    <w:rsid w:val="000C5EF8"/>
    <w:rsid w:val="000E01E0"/>
    <w:rsid w:val="0010585A"/>
    <w:rsid w:val="00110922"/>
    <w:rsid w:val="00136E95"/>
    <w:rsid w:val="001826EA"/>
    <w:rsid w:val="001C5CA6"/>
    <w:rsid w:val="001C7C71"/>
    <w:rsid w:val="001E6804"/>
    <w:rsid w:val="00205D79"/>
    <w:rsid w:val="002165C1"/>
    <w:rsid w:val="0023750E"/>
    <w:rsid w:val="00275A88"/>
    <w:rsid w:val="002A3EFA"/>
    <w:rsid w:val="002E71CF"/>
    <w:rsid w:val="0038035D"/>
    <w:rsid w:val="003C3B92"/>
    <w:rsid w:val="003E6423"/>
    <w:rsid w:val="00404C12"/>
    <w:rsid w:val="00430EFD"/>
    <w:rsid w:val="0044016D"/>
    <w:rsid w:val="00453C97"/>
    <w:rsid w:val="0045501D"/>
    <w:rsid w:val="00460687"/>
    <w:rsid w:val="00471312"/>
    <w:rsid w:val="004C01DD"/>
    <w:rsid w:val="004D4AF2"/>
    <w:rsid w:val="004F2495"/>
    <w:rsid w:val="004F4371"/>
    <w:rsid w:val="004F5817"/>
    <w:rsid w:val="005245F1"/>
    <w:rsid w:val="00572FD4"/>
    <w:rsid w:val="005859D7"/>
    <w:rsid w:val="005C146A"/>
    <w:rsid w:val="005D5054"/>
    <w:rsid w:val="005F3499"/>
    <w:rsid w:val="006022C9"/>
    <w:rsid w:val="00604A51"/>
    <w:rsid w:val="00616A3E"/>
    <w:rsid w:val="00645E9E"/>
    <w:rsid w:val="006533FA"/>
    <w:rsid w:val="006621D5"/>
    <w:rsid w:val="006A1936"/>
    <w:rsid w:val="006A37B4"/>
    <w:rsid w:val="006D0EB7"/>
    <w:rsid w:val="006D177A"/>
    <w:rsid w:val="006F49A5"/>
    <w:rsid w:val="00722A52"/>
    <w:rsid w:val="0073788E"/>
    <w:rsid w:val="007523C7"/>
    <w:rsid w:val="0078340D"/>
    <w:rsid w:val="00790348"/>
    <w:rsid w:val="007967A7"/>
    <w:rsid w:val="00815599"/>
    <w:rsid w:val="00871D63"/>
    <w:rsid w:val="00882758"/>
    <w:rsid w:val="00932FDB"/>
    <w:rsid w:val="00964D20"/>
    <w:rsid w:val="009731D0"/>
    <w:rsid w:val="00976968"/>
    <w:rsid w:val="00987F5A"/>
    <w:rsid w:val="009A3AAD"/>
    <w:rsid w:val="009E20FD"/>
    <w:rsid w:val="00A054DE"/>
    <w:rsid w:val="00A128CA"/>
    <w:rsid w:val="00A357FB"/>
    <w:rsid w:val="00A4118F"/>
    <w:rsid w:val="00A540AB"/>
    <w:rsid w:val="00A57999"/>
    <w:rsid w:val="00A973BE"/>
    <w:rsid w:val="00AC2A8D"/>
    <w:rsid w:val="00AC5DDD"/>
    <w:rsid w:val="00AC5E6A"/>
    <w:rsid w:val="00AD409A"/>
    <w:rsid w:val="00AD40B3"/>
    <w:rsid w:val="00AE15CC"/>
    <w:rsid w:val="00AE25DF"/>
    <w:rsid w:val="00AF202A"/>
    <w:rsid w:val="00AF4772"/>
    <w:rsid w:val="00B11824"/>
    <w:rsid w:val="00B16381"/>
    <w:rsid w:val="00B3353E"/>
    <w:rsid w:val="00BA7086"/>
    <w:rsid w:val="00BB1A2A"/>
    <w:rsid w:val="00BD72FF"/>
    <w:rsid w:val="00BF6600"/>
    <w:rsid w:val="00BF7876"/>
    <w:rsid w:val="00C13CC9"/>
    <w:rsid w:val="00C410DA"/>
    <w:rsid w:val="00C82F68"/>
    <w:rsid w:val="00CC39E1"/>
    <w:rsid w:val="00D25B25"/>
    <w:rsid w:val="00DF0BDF"/>
    <w:rsid w:val="00E017BE"/>
    <w:rsid w:val="00E220E6"/>
    <w:rsid w:val="00F4190F"/>
    <w:rsid w:val="00F66D25"/>
    <w:rsid w:val="00F958D8"/>
    <w:rsid w:val="00FA0178"/>
    <w:rsid w:val="062B472F"/>
    <w:rsid w:val="15DD5FC7"/>
    <w:rsid w:val="187D476A"/>
    <w:rsid w:val="1C3F066F"/>
    <w:rsid w:val="29707D21"/>
    <w:rsid w:val="30B8488A"/>
    <w:rsid w:val="329C1C7A"/>
    <w:rsid w:val="5523619F"/>
    <w:rsid w:val="5A6B488D"/>
    <w:rsid w:val="5D894EC0"/>
    <w:rsid w:val="64472C58"/>
    <w:rsid w:val="64864CAD"/>
    <w:rsid w:val="64D4770D"/>
    <w:rsid w:val="6C4E22E5"/>
    <w:rsid w:val="6CB66A7D"/>
    <w:rsid w:val="6DC347C2"/>
    <w:rsid w:val="6EE96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636</Words>
  <Characters>3630</Characters>
  <Lines>30</Lines>
  <Paragraphs>8</Paragraphs>
  <TotalTime>318</TotalTime>
  <ScaleCrop>false</ScaleCrop>
  <LinksUpToDate>false</LinksUpToDate>
  <CharactersWithSpaces>4258</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2020-09-23T07:58:00Z</dcterms:created>
  <dc:creator>fhc</dc:creator>
  <cp:lastModifiedBy>GM10</cp:lastModifiedBy>
  <cp:lastPrinted>2024-06-25T02:54:00Z</cp:lastPrinted>
  <dcterms:modified xsi:type="dcterms:W3CDTF">2024-07-02T03:43:35Z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4A29BA43CCB24C45AC85DAC07A884691_13</vt:lpwstr>
  </property>
</Properties>
</file>