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ascii="宋体" w:hAnsi="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硫磺回收联合装置高效脱硫剂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2024-FHC-高效脱硫剂-0603</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4</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6月11日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硫磺回收联合装置高效脱硫剂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硫磺回收联合装置高效脱硫剂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2024-FHC-高效脱硫剂-0603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硫磺回收联合装置高效脱硫剂</w:t>
      </w:r>
      <w:r>
        <w:rPr>
          <w:rFonts w:hint="eastAsia" w:ascii="宋体" w:hAnsi="宋体" w:cs="宋体" w:eastAsiaTheme="minorEastAsia"/>
          <w:sz w:val="24"/>
        </w:rPr>
        <w:t>。</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硫磺回收联合装置高效脱硫剂</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及技术要求</w:t>
      </w:r>
      <w:r>
        <w:rPr>
          <w:rFonts w:hint="eastAsia" w:asciiTheme="minorEastAsia" w:hAnsiTheme="minorEastAsia" w:eastAsiaTheme="minorEastAsia"/>
          <w:bCs/>
          <w:sz w:val="24"/>
        </w:rPr>
        <w:t>。</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5"/>
        <w:numPr>
          <w:ilvl w:val="0"/>
          <w:numId w:val="3"/>
        </w:numPr>
        <w:spacing w:before="100" w:beforeAutospacing="1" w:after="100" w:afterAutospacing="1" w:line="300" w:lineRule="auto"/>
        <w:ind w:left="1200" w:leftChars="0" w:firstLineChars="0"/>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5"/>
        <w:numPr>
          <w:ilvl w:val="0"/>
          <w:numId w:val="3"/>
        </w:numPr>
        <w:spacing w:before="100" w:beforeAutospacing="1" w:after="100" w:afterAutospacing="1" w:line="30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5"/>
        <w:numPr>
          <w:ilvl w:val="0"/>
          <w:numId w:val="3"/>
        </w:numPr>
        <w:spacing w:before="100" w:beforeAutospacing="1" w:after="100" w:afterAutospacing="1" w:line="30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ind w:left="1200" w:leftChars="0" w:hanging="361" w:firstLineChars="0"/>
        <w:rPr>
          <w:rFonts w:ascii="Times New Roman" w:hAnsi="Times New Roman" w:eastAsia="宋体" w:cs="Times New Roman"/>
          <w:sz w:val="24"/>
          <w:szCs w:val="24"/>
        </w:rPr>
      </w:pPr>
      <w:r>
        <w:rPr>
          <w:rFonts w:hint="eastAsia" w:asciiTheme="minorEastAsia" w:hAnsiTheme="minorEastAsia" w:eastAsiaTheme="minorEastAsia"/>
          <w:bCs/>
          <w:sz w:val="24"/>
        </w:rPr>
        <w:t>与比选人无诉讼纠纷。</w:t>
      </w:r>
    </w:p>
    <w:p>
      <w:pPr>
        <w:pStyle w:val="15"/>
        <w:numPr>
          <w:ilvl w:val="0"/>
          <w:numId w:val="3"/>
        </w:numPr>
        <w:spacing w:before="100" w:beforeAutospacing="1" w:after="100" w:afterAutospacing="1" w:line="300" w:lineRule="auto"/>
        <w:ind w:left="1200" w:leftChars="0" w:hanging="361"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近三年在福建福海创石油化工有限公司或</w:t>
      </w:r>
      <w:r>
        <w:rPr>
          <w:rFonts w:ascii="Times New Roman" w:hAnsi="Times New Roman" w:eastAsia="宋体" w:cs="Times New Roman"/>
          <w:sz w:val="24"/>
          <w:szCs w:val="24"/>
        </w:rPr>
        <w:t>中国石油化工集团有限公司</w:t>
      </w:r>
      <w:r>
        <w:rPr>
          <w:rFonts w:hint="eastAsia" w:ascii="Times New Roman" w:hAnsi="Times New Roman" w:eastAsia="宋体" w:cs="Times New Roman"/>
          <w:sz w:val="24"/>
          <w:szCs w:val="24"/>
        </w:rPr>
        <w:t>或</w:t>
      </w:r>
      <w:r>
        <w:fldChar w:fldCharType="begin"/>
      </w:r>
      <w:r>
        <w:instrText xml:space="preserve"> HYPERLINK "http://www.baidu.com/link?url=ZYA2ANSxRzGwTSAnMQmFtVicINMq9OUNpKTJ21r1pCxY1Pg-bo-kGdl88GpXkxvjkQiNS5EBki5bPS0gC-oOIK" \t "_blank" </w:instrText>
      </w:r>
      <w:r>
        <w:fldChar w:fldCharType="separate"/>
      </w:r>
      <w:r>
        <w:rPr>
          <w:rFonts w:ascii="Times New Roman" w:hAnsi="Times New Roman" w:eastAsia="宋体" w:cs="Times New Roman"/>
          <w:sz w:val="24"/>
          <w:szCs w:val="24"/>
        </w:rPr>
        <w:t>中国石油天然气集团有限公司</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或中国中化集团有限公司或中国海洋石油集团有限公司在</w:t>
      </w:r>
      <w:r>
        <w:rPr>
          <w:rFonts w:hint="eastAsia" w:ascii="Times New Roman" w:hAnsi="Times New Roman" w:eastAsia="宋体" w:cs="Times New Roman"/>
          <w:sz w:val="24"/>
          <w:szCs w:val="24"/>
        </w:rPr>
        <w:t>同类装置具有</w:t>
      </w:r>
      <w:r>
        <w:rPr>
          <w:rFonts w:ascii="Times New Roman" w:hAnsi="Times New Roman" w:eastAsia="宋体" w:cs="Times New Roman"/>
          <w:sz w:val="24"/>
          <w:szCs w:val="24"/>
        </w:rPr>
        <w:t>1</w:t>
      </w:r>
      <w:r>
        <w:rPr>
          <w:rFonts w:hint="eastAsia" w:ascii="Times New Roman" w:hAnsi="Times New Roman" w:eastAsia="宋体" w:cs="Times New Roman"/>
          <w:sz w:val="24"/>
          <w:szCs w:val="24"/>
        </w:rPr>
        <w:t>项以上的销售业绩。</w:t>
      </w:r>
    </w:p>
    <w:p>
      <w:pPr>
        <w:pStyle w:val="15"/>
        <w:numPr>
          <w:ilvl w:val="0"/>
          <w:numId w:val="3"/>
        </w:numPr>
        <w:spacing w:before="100" w:beforeAutospacing="1" w:after="100" w:afterAutospacing="1" w:line="300" w:lineRule="auto"/>
        <w:ind w:left="1200" w:leftChars="0" w:hanging="361"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提交近三年同类装置的销售业绩。</w:t>
      </w:r>
      <w:r>
        <w:rPr>
          <w:rFonts w:hint="eastAsia"/>
          <w:sz w:val="24"/>
        </w:rPr>
        <w:t>提供业绩证明文件，包括买卖合同或验收报告等。</w:t>
      </w:r>
    </w:p>
    <w:p>
      <w:pPr>
        <w:pStyle w:val="15"/>
        <w:numPr>
          <w:ilvl w:val="0"/>
          <w:numId w:val="3"/>
        </w:numPr>
        <w:spacing w:before="100" w:beforeAutospacing="1" w:after="100" w:afterAutospacing="1" w:line="300" w:lineRule="auto"/>
        <w:ind w:left="1200" w:leftChars="0" w:firstLineChars="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壹拾万元</w:t>
      </w:r>
      <w:r>
        <w:rPr>
          <w:rFonts w:hint="eastAsia" w:asciiTheme="minorEastAsia" w:hAnsiTheme="minorEastAsia" w:eastAsiaTheme="minorEastAsia"/>
          <w:bCs/>
          <w:sz w:val="24"/>
          <w:highlight w:val="yellow"/>
        </w:rPr>
        <w:t>整。</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5"/>
        <w:numPr>
          <w:ilvl w:val="0"/>
          <w:numId w:val="4"/>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24</w:t>
      </w:r>
      <w:r>
        <w:rPr>
          <w:rFonts w:hint="eastAsia" w:asciiTheme="majorEastAsia" w:hAnsiTheme="majorEastAsia" w:eastAsiaTheme="majorEastAsia"/>
          <w:sz w:val="24"/>
        </w:rPr>
        <w:t>日（含当日）</w:t>
      </w:r>
    </w:p>
    <w:p>
      <w:pPr>
        <w:pStyle w:val="15"/>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5"/>
        <w:numPr>
          <w:ilvl w:val="0"/>
          <w:numId w:val="5"/>
        </w:numPr>
        <w:spacing w:before="100" w:beforeAutospacing="1" w:after="100" w:afterAutospacing="1" w:line="300" w:lineRule="auto"/>
        <w:ind w:left="839"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近三年在福建福海创石油化工有限公司或</w:t>
      </w:r>
      <w:r>
        <w:rPr>
          <w:rFonts w:ascii="Times New Roman" w:hAnsi="Times New Roman" w:eastAsia="宋体" w:cs="Times New Roman"/>
          <w:sz w:val="24"/>
          <w:szCs w:val="24"/>
        </w:rPr>
        <w:t>中国石油化工集团有限公司</w:t>
      </w:r>
      <w:r>
        <w:rPr>
          <w:rFonts w:hint="eastAsia" w:ascii="Times New Roman" w:hAnsi="Times New Roman" w:eastAsia="宋体" w:cs="Times New Roman"/>
          <w:sz w:val="24"/>
          <w:szCs w:val="24"/>
        </w:rPr>
        <w:t>或</w:t>
      </w:r>
      <w:r>
        <w:fldChar w:fldCharType="begin"/>
      </w:r>
      <w:r>
        <w:instrText xml:space="preserve"> HYPERLINK "http://www.baidu.com/link?url=ZYA2ANSxRzGwTSAnMQmFtVicINMq9OUNpKTJ21r1pCxY1Pg-bo-kGdl88GpXkxvjkQiNS5EBki5bPS0gC-oOIK" \t "_blank" </w:instrText>
      </w:r>
      <w:r>
        <w:fldChar w:fldCharType="separate"/>
      </w:r>
      <w:r>
        <w:rPr>
          <w:rFonts w:ascii="Times New Roman" w:hAnsi="Times New Roman" w:eastAsia="宋体" w:cs="Times New Roman"/>
          <w:sz w:val="24"/>
          <w:szCs w:val="24"/>
        </w:rPr>
        <w:t>中国石油天然气集团有限公司</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或中国中化集团有限公司或中国海洋石油集团有限公司在</w:t>
      </w:r>
      <w:r>
        <w:rPr>
          <w:rFonts w:hint="eastAsia" w:ascii="Times New Roman" w:hAnsi="Times New Roman" w:eastAsia="宋体" w:cs="Times New Roman"/>
          <w:sz w:val="24"/>
          <w:szCs w:val="24"/>
        </w:rPr>
        <w:t>同类装置具有</w:t>
      </w:r>
      <w:r>
        <w:rPr>
          <w:rFonts w:ascii="Times New Roman" w:hAnsi="Times New Roman" w:eastAsia="宋体" w:cs="Times New Roman"/>
          <w:sz w:val="24"/>
          <w:szCs w:val="24"/>
        </w:rPr>
        <w:t>1</w:t>
      </w:r>
      <w:r>
        <w:rPr>
          <w:rFonts w:hint="eastAsia" w:ascii="Times New Roman" w:hAnsi="Times New Roman" w:eastAsia="宋体" w:cs="Times New Roman"/>
          <w:sz w:val="24"/>
          <w:szCs w:val="24"/>
        </w:rPr>
        <w:t>项以上的销售业绩。</w:t>
      </w:r>
    </w:p>
    <w:p>
      <w:pPr>
        <w:pStyle w:val="15"/>
        <w:numPr>
          <w:ilvl w:val="0"/>
          <w:numId w:val="5"/>
        </w:numPr>
        <w:spacing w:before="100" w:beforeAutospacing="1" w:after="100" w:afterAutospacing="1" w:line="300" w:lineRule="auto"/>
        <w:ind w:left="839" w:leftChars="0"/>
        <w:rPr>
          <w:rFonts w:asciiTheme="minorEastAsia" w:hAnsiTheme="minorEastAsia" w:eastAsiaTheme="minorEastAsia"/>
          <w:bCs/>
          <w:sz w:val="24"/>
        </w:rPr>
      </w:pPr>
      <w:r>
        <w:rPr>
          <w:rFonts w:hint="eastAsia" w:ascii="Times New Roman" w:hAnsi="Times New Roman" w:eastAsia="宋体" w:cs="Times New Roman"/>
          <w:sz w:val="24"/>
          <w:szCs w:val="24"/>
        </w:rPr>
        <w:t>提交近三年同类装置的销售业绩。</w:t>
      </w:r>
      <w:r>
        <w:rPr>
          <w:rFonts w:hint="eastAsia"/>
          <w:sz w:val="24"/>
        </w:rPr>
        <w:t>提供业绩证明文件，包括买卖合同或验收报告等。</w:t>
      </w:r>
    </w:p>
    <w:p>
      <w:pPr>
        <w:pStyle w:val="15"/>
        <w:numPr>
          <w:ilvl w:val="0"/>
          <w:numId w:val="5"/>
        </w:numPr>
        <w:spacing w:before="100" w:beforeAutospacing="1" w:after="100" w:afterAutospacing="1" w:line="300" w:lineRule="auto"/>
        <w:ind w:left="839" w:leftChars="0"/>
        <w:rPr>
          <w:rFonts w:asciiTheme="minorEastAsia" w:hAnsiTheme="minorEastAsia" w:eastAsiaTheme="minorEastAsia"/>
          <w:bCs/>
          <w:sz w:val="24"/>
        </w:rPr>
      </w:pP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壹拾万元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highlight w:val="yellow"/>
          <w:lang w:val="en-US" w:eastAsia="zh-CN"/>
        </w:rPr>
        <w:t>保证金请备注项目名称！</w:t>
      </w:r>
      <w:r>
        <w:rPr>
          <w:rFonts w:hint="eastAsia" w:asciiTheme="minorEastAsia" w:hAnsiTheme="minorEastAsia" w:eastAsiaTheme="minorEastAsia"/>
          <w:bCs/>
          <w:sz w:val="24"/>
          <w:lang w:eastAsia="zh-CN"/>
        </w:rPr>
        <w:t>）</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5"/>
        <w:numPr>
          <w:ilvl w:val="0"/>
          <w:numId w:val="4"/>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5"/>
        <w:keepNext w:val="0"/>
        <w:keepLines w:val="0"/>
        <w:pageBreakBefore w:val="0"/>
        <w:widowControl w:val="0"/>
        <w:kinsoku/>
        <w:wordWrap/>
        <w:overflowPunct/>
        <w:topLinePunct w:val="0"/>
        <w:autoSpaceDE/>
        <w:autoSpaceDN/>
        <w:bidi w:val="0"/>
        <w:spacing w:before="0" w:line="300" w:lineRule="auto"/>
        <w:ind w:left="832" w:firstLine="480" w:firstLineChars="200"/>
        <w:rPr>
          <w:rFonts w:asciiTheme="minorEastAsia" w:hAnsiTheme="minorEastAsia" w:eastAsiaTheme="minorEastAsia"/>
          <w:bCs/>
          <w:sz w:val="24"/>
          <w:highlight w:val="yellow"/>
        </w:rPr>
      </w:pPr>
      <w:r>
        <w:rPr>
          <w:rFonts w:hint="eastAsia" w:ascii="宋体" w:hAnsi="宋体" w:eastAsia="宋体"/>
          <w:bCs/>
          <w:color w:val="auto"/>
          <w:sz w:val="24"/>
          <w:highlight w:val="yellow"/>
          <w:lang w:val="en-US" w:eastAsia="zh-CN"/>
        </w:rPr>
        <w:t>请在报名后联系商务联系人获取“技术要求”文件。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5"/>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漳州市漳浦县杜浔镇杜昌路9号福海创办公大楼3楼煤炭及辅料团队</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5"/>
        <w:numPr>
          <w:ilvl w:val="0"/>
          <w:numId w:val="6"/>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inorEastAsia" w:hAnsiTheme="minorEastAsia" w:eastAsiaTheme="minorEastAsia"/>
          <w:bCs/>
          <w:sz w:val="24"/>
          <w:lang w:val="en-US" w:eastAsia="zh-CN"/>
        </w:rPr>
        <w:t>2024年6月26日15:30</w:t>
      </w:r>
    </w:p>
    <w:p>
      <w:pPr>
        <w:pStyle w:val="15"/>
        <w:numPr>
          <w:ilvl w:val="0"/>
          <w:numId w:val="6"/>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5"/>
        <w:numPr>
          <w:ilvl w:val="0"/>
          <w:numId w:val="6"/>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w:t>
      </w:r>
      <w:r>
        <w:rPr>
          <w:rFonts w:hint="eastAsia" w:asciiTheme="minorEastAsia" w:hAnsiTheme="minorEastAsia" w:eastAsiaTheme="minorEastAsia"/>
          <w:bCs/>
          <w:sz w:val="24"/>
          <w:lang w:val="en-US" w:eastAsia="zh-CN"/>
        </w:rPr>
        <w:t>郑萍</w:t>
      </w:r>
      <w:r>
        <w:rPr>
          <w:rFonts w:hint="eastAsia" w:asciiTheme="minorEastAsia" w:hAnsiTheme="minorEastAsia" w:eastAsiaTheme="minorEastAsia"/>
          <w:bCs/>
          <w:sz w:val="24"/>
        </w:rPr>
        <w:t xml:space="preserve"> 电话：13</w:t>
      </w:r>
      <w:r>
        <w:rPr>
          <w:rFonts w:hint="eastAsia" w:asciiTheme="minorEastAsia" w:hAnsiTheme="minorEastAsia" w:eastAsiaTheme="minorEastAsia"/>
          <w:bCs/>
          <w:sz w:val="24"/>
          <w:lang w:val="en-US" w:eastAsia="zh-CN"/>
        </w:rPr>
        <w:t>015727080</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李华彬</w:t>
      </w:r>
      <w:r>
        <w:rPr>
          <w:rFonts w:hint="eastAsia" w:asciiTheme="minorEastAsia" w:hAnsiTheme="minorEastAsia" w:eastAsiaTheme="minorEastAsia"/>
          <w:bCs/>
          <w:sz w:val="24"/>
        </w:rPr>
        <w:t xml:space="preserve"> 电话：13625904353 邮箱：</w:t>
      </w:r>
      <w:r>
        <w:rPr>
          <w:rFonts w:hint="eastAsia" w:asciiTheme="minorEastAsia" w:hAnsiTheme="minorEastAsia" w:eastAsiaTheme="minorEastAsia"/>
          <w:bCs/>
          <w:sz w:val="24"/>
          <w:lang w:val="en-US" w:eastAsia="zh-CN"/>
        </w:rPr>
        <w:t>hbli</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漳州市漳浦县杜浔镇杜昌路9号福海创办公大楼3楼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tabs>
          <w:tab w:val="left" w:pos="3098"/>
        </w:tabs>
        <w:spacing w:line="360" w:lineRule="auto"/>
        <w:ind w:firstLine="5040" w:firstLineChars="210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p>
    <w:p>
      <w:pPr>
        <w:spacing w:line="360" w:lineRule="auto"/>
        <w:ind w:firstLine="5520" w:firstLineChars="23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6月12</w:t>
      </w:r>
      <w:bookmarkStart w:id="2" w:name="_GoBack"/>
      <w:bookmarkEnd w:id="2"/>
      <w:r>
        <w:rPr>
          <w:rFonts w:hint="eastAsia" w:asciiTheme="minorEastAsia" w:hAnsiTheme="minorEastAsia" w:eastAsiaTheme="minorEastAsia"/>
          <w:bCs/>
          <w:sz w:val="24"/>
          <w:lang w:val="en-US" w:eastAsia="zh-CN"/>
        </w:rPr>
        <w:t>日</w:t>
      </w: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硫磺回收联合装置高效脱硫剂</w:t>
      </w:r>
      <w:r>
        <w:rPr>
          <w:rFonts w:hint="eastAsia" w:ascii="宋体" w:hAnsi="宋体"/>
          <w:sz w:val="18"/>
          <w:szCs w:val="18"/>
          <w:u w:val="single"/>
        </w:rPr>
        <w:t>。</w:t>
      </w:r>
    </w:p>
    <w:p>
      <w:pPr>
        <w:pStyle w:val="18"/>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lang w:eastAsia="zh-CN"/>
        </w:rPr>
        <w:t>（</w:t>
      </w:r>
      <w:r>
        <w:rPr>
          <w:rFonts w:hint="eastAsia" w:ascii="宋体"/>
          <w:sz w:val="18"/>
          <w:szCs w:val="18"/>
          <w:lang w:val="en-US" w:eastAsia="zh-CN"/>
        </w:rPr>
        <w:t>5</w:t>
      </w:r>
      <w:r>
        <w:rPr>
          <w:rFonts w:hint="eastAsia" w:ascii="宋体"/>
          <w:sz w:val="18"/>
          <w:szCs w:val="18"/>
          <w:lang w:eastAsia="zh-CN"/>
        </w:rPr>
        <w:t>）</w:t>
      </w:r>
      <w:r>
        <w:rPr>
          <w:rFonts w:hint="eastAsia" w:ascii="宋体"/>
          <w:sz w:val="18"/>
          <w:szCs w:val="18"/>
        </w:rPr>
        <w:t>近三年在福建福海创石油化工有限公司或中国石油化工集团有限公司或</w:t>
      </w:r>
      <w:r>
        <w:rPr>
          <w:rFonts w:hint="eastAsia" w:ascii="宋体"/>
          <w:sz w:val="18"/>
          <w:szCs w:val="18"/>
        </w:rPr>
        <w:fldChar w:fldCharType="begin"/>
      </w:r>
      <w:r>
        <w:rPr>
          <w:rFonts w:hint="eastAsia" w:ascii="宋体"/>
          <w:sz w:val="18"/>
          <w:szCs w:val="18"/>
        </w:rPr>
        <w:instrText xml:space="preserve"> HYPERLINK "http://www.baidu.com/link?url=ZYA2ANSxRzGwTSAnMQmFtVicINMq9OUNpKTJ21r1pCxY1Pg-bo-kGdl88GpXkxvjkQiNS5EBki5bPS0gC-oOIK" \t "_blank" </w:instrText>
      </w:r>
      <w:r>
        <w:rPr>
          <w:rFonts w:hint="eastAsia" w:ascii="宋体"/>
          <w:sz w:val="18"/>
          <w:szCs w:val="18"/>
        </w:rPr>
        <w:fldChar w:fldCharType="separate"/>
      </w:r>
      <w:r>
        <w:rPr>
          <w:rFonts w:hint="eastAsia" w:ascii="宋体"/>
          <w:sz w:val="18"/>
          <w:szCs w:val="18"/>
        </w:rPr>
        <w:t>中国石油天然气集团有限公司</w:t>
      </w:r>
      <w:r>
        <w:rPr>
          <w:rFonts w:hint="eastAsia" w:ascii="宋体"/>
          <w:sz w:val="18"/>
          <w:szCs w:val="18"/>
        </w:rPr>
        <w:fldChar w:fldCharType="end"/>
      </w:r>
      <w:r>
        <w:rPr>
          <w:rFonts w:hint="eastAsia" w:ascii="宋体"/>
          <w:sz w:val="18"/>
          <w:szCs w:val="18"/>
        </w:rPr>
        <w:t>或中国中化集团有限公司或中国海洋石油集团有限公司在同类装置具有1项以上的销售业绩。</w:t>
      </w:r>
    </w:p>
    <w:p>
      <w:pPr>
        <w:spacing w:line="320" w:lineRule="exact"/>
        <w:rPr>
          <w:rFonts w:hint="eastAsia" w:ascii="宋体"/>
          <w:sz w:val="18"/>
          <w:szCs w:val="18"/>
        </w:rPr>
      </w:pPr>
      <w:r>
        <w:rPr>
          <w:rFonts w:hint="eastAsia" w:ascii="宋体"/>
          <w:sz w:val="18"/>
          <w:szCs w:val="18"/>
          <w:lang w:eastAsia="zh-CN"/>
        </w:rPr>
        <w:t>（</w:t>
      </w:r>
      <w:r>
        <w:rPr>
          <w:rFonts w:hint="eastAsia" w:ascii="宋体"/>
          <w:sz w:val="18"/>
          <w:szCs w:val="18"/>
          <w:lang w:val="en-US" w:eastAsia="zh-CN"/>
        </w:rPr>
        <w:t>6</w:t>
      </w:r>
      <w:r>
        <w:rPr>
          <w:rFonts w:hint="eastAsia" w:ascii="宋体"/>
          <w:sz w:val="18"/>
          <w:szCs w:val="18"/>
          <w:lang w:eastAsia="zh-CN"/>
        </w:rPr>
        <w:t>）</w:t>
      </w:r>
      <w:r>
        <w:rPr>
          <w:rFonts w:hint="eastAsia" w:ascii="宋体"/>
          <w:sz w:val="18"/>
          <w:szCs w:val="18"/>
        </w:rPr>
        <w:t>提交近三年同类装置的销售业绩。提供业绩证明文件，包括买卖合同或验收报告等。</w:t>
      </w:r>
    </w:p>
    <w:p>
      <w:pPr>
        <w:spacing w:line="320" w:lineRule="exact"/>
        <w:rPr>
          <w:rFonts w:ascii="宋体"/>
          <w:sz w:val="18"/>
          <w:szCs w:val="18"/>
          <w:highlight w:val="none"/>
        </w:rPr>
      </w:pPr>
      <w:r>
        <w:rPr>
          <w:rFonts w:hint="eastAsia" w:ascii="宋体"/>
          <w:sz w:val="18"/>
          <w:szCs w:val="18"/>
        </w:rPr>
        <w:t>（</w:t>
      </w:r>
      <w:r>
        <w:rPr>
          <w:rFonts w:hint="eastAsia" w:ascii="宋体"/>
          <w:sz w:val="18"/>
          <w:szCs w:val="18"/>
          <w:lang w:val="en-US" w:eastAsia="zh-CN"/>
        </w:rPr>
        <w:t>7</w:t>
      </w:r>
      <w:r>
        <w:rPr>
          <w:rFonts w:hint="eastAsia" w:ascii="宋体"/>
          <w:sz w:val="18"/>
          <w:szCs w:val="18"/>
        </w:rPr>
        <w:t>）</w:t>
      </w:r>
      <w:r>
        <w:rPr>
          <w:rFonts w:hint="eastAsia" w:ascii="宋体"/>
          <w:sz w:val="18"/>
          <w:szCs w:val="18"/>
          <w:highlight w:val="none"/>
        </w:rPr>
        <w:t>参选保证金：</w:t>
      </w:r>
      <w:r>
        <w:rPr>
          <w:rFonts w:hint="eastAsia" w:ascii="宋体"/>
          <w:sz w:val="18"/>
          <w:szCs w:val="18"/>
          <w:highlight w:val="none"/>
          <w:lang w:val="en-US" w:eastAsia="zh-CN"/>
        </w:rPr>
        <w:t>壹拾万元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highlight w:val="yellow"/>
        </w:rPr>
      </w:pPr>
      <w:r>
        <w:rPr>
          <w:rFonts w:ascii="宋体" w:hAnsi="宋体"/>
          <w:sz w:val="18"/>
          <w:szCs w:val="18"/>
          <w:highlight w:val="yellow"/>
        </w:rPr>
        <w:t>4.</w:t>
      </w:r>
      <w:r>
        <w:rPr>
          <w:rFonts w:hint="eastAsia" w:ascii="宋体" w:hAnsi="宋体"/>
          <w:sz w:val="18"/>
          <w:szCs w:val="18"/>
          <w:highlight w:val="yellow"/>
        </w:rPr>
        <w:t>公开比选请按以</w:t>
      </w:r>
      <w:r>
        <w:rPr>
          <w:rFonts w:hint="eastAsia" w:ascii="宋体" w:hAnsi="宋体"/>
          <w:sz w:val="18"/>
          <w:szCs w:val="18"/>
          <w:highlight w:val="yellow"/>
          <w:lang w:val="en-US" w:eastAsia="zh-CN"/>
        </w:rPr>
        <w:t>下</w:t>
      </w:r>
      <w:r>
        <w:rPr>
          <w:rFonts w:hint="eastAsia" w:ascii="宋体" w:hAnsi="宋体"/>
          <w:sz w:val="18"/>
          <w:szCs w:val="18"/>
          <w:highlight w:val="yellow"/>
        </w:rPr>
        <w:t>要求密封报价。</w:t>
      </w:r>
      <w:r>
        <w:rPr>
          <w:rFonts w:hint="eastAsia" w:ascii="宋体" w:hAnsi="宋体"/>
          <w:sz w:val="18"/>
          <w:szCs w:val="18"/>
          <w:highlight w:val="yellow"/>
          <w:lang w:val="en-US" w:eastAsia="zh-CN"/>
        </w:rPr>
        <w:t>参选人递交的参选</w:t>
      </w:r>
      <w:r>
        <w:rPr>
          <w:rFonts w:hint="eastAsia" w:ascii="宋体" w:hAnsi="宋体"/>
          <w:sz w:val="18"/>
          <w:szCs w:val="18"/>
          <w:highlight w:val="yellow"/>
        </w:rPr>
        <w:t>文件分为二册，第一册为</w:t>
      </w:r>
      <w:r>
        <w:rPr>
          <w:rFonts w:hint="eastAsia" w:ascii="宋体" w:hAnsi="宋体"/>
          <w:sz w:val="18"/>
          <w:szCs w:val="18"/>
          <w:highlight w:val="yellow"/>
          <w:lang w:eastAsia="zh-CN"/>
        </w:rPr>
        <w:t>商务</w:t>
      </w:r>
      <w:r>
        <w:rPr>
          <w:rFonts w:hint="eastAsia" w:ascii="宋体" w:hAnsi="宋体"/>
          <w:sz w:val="18"/>
          <w:szCs w:val="18"/>
          <w:highlight w:val="yellow"/>
        </w:rPr>
        <w:t>文件，第二册为技术文件，其内容分别为：</w:t>
      </w:r>
    </w:p>
    <w:p>
      <w:pPr>
        <w:spacing w:line="320" w:lineRule="exact"/>
        <w:rPr>
          <w:rFonts w:hint="eastAsia" w:ascii="宋体" w:hAnsi="宋体"/>
          <w:sz w:val="18"/>
          <w:szCs w:val="18"/>
          <w:highlight w:val="yellow"/>
        </w:rPr>
      </w:pPr>
      <w:r>
        <w:rPr>
          <w:rFonts w:hint="eastAsia" w:ascii="宋体" w:hAnsi="宋体"/>
          <w:sz w:val="18"/>
          <w:szCs w:val="18"/>
          <w:highlight w:val="yellow"/>
          <w:lang w:val="en-US" w:eastAsia="zh-CN"/>
        </w:rPr>
        <w:t>4.1</w:t>
      </w:r>
      <w:r>
        <w:rPr>
          <w:rFonts w:hint="eastAsia" w:ascii="宋体" w:hAnsi="宋体"/>
          <w:sz w:val="18"/>
          <w:szCs w:val="18"/>
          <w:highlight w:val="yellow"/>
        </w:rPr>
        <w:t xml:space="preserve"> 第一册</w:t>
      </w:r>
      <w:r>
        <w:rPr>
          <w:rFonts w:hint="eastAsia" w:ascii="宋体" w:hAnsi="宋体"/>
          <w:sz w:val="18"/>
          <w:szCs w:val="18"/>
          <w:highlight w:val="yellow"/>
          <w:lang w:eastAsia="zh-CN"/>
        </w:rPr>
        <w:t>商务</w:t>
      </w:r>
      <w:r>
        <w:rPr>
          <w:rFonts w:hint="eastAsia" w:ascii="宋体" w:hAnsi="宋体"/>
          <w:sz w:val="18"/>
          <w:szCs w:val="18"/>
          <w:highlight w:val="yellow"/>
        </w:rPr>
        <w:t>文件包含以下内容：</w:t>
      </w:r>
    </w:p>
    <w:p>
      <w:pPr>
        <w:spacing w:line="320" w:lineRule="exact"/>
        <w:rPr>
          <w:rFonts w:ascii="宋体" w:hAnsi="宋体"/>
          <w:sz w:val="18"/>
          <w:szCs w:val="18"/>
          <w:highlight w:val="yellow"/>
        </w:rPr>
      </w:pPr>
      <w:r>
        <w:rPr>
          <w:rFonts w:hint="eastAsia" w:ascii="宋体" w:hAnsi="宋体"/>
          <w:sz w:val="18"/>
          <w:szCs w:val="18"/>
          <w:highlight w:val="yellow"/>
        </w:rPr>
        <w:t>（</w:t>
      </w:r>
      <w:r>
        <w:rPr>
          <w:rFonts w:ascii="宋体" w:hAnsi="宋体"/>
          <w:sz w:val="18"/>
          <w:szCs w:val="18"/>
          <w:highlight w:val="yellow"/>
        </w:rPr>
        <w:t>1</w:t>
      </w:r>
      <w:r>
        <w:rPr>
          <w:rFonts w:hint="eastAsia" w:ascii="宋体" w:hAnsi="宋体"/>
          <w:sz w:val="18"/>
          <w:szCs w:val="18"/>
          <w:highlight w:val="yellow"/>
        </w:rPr>
        <w:t>）比选公告</w:t>
      </w:r>
    </w:p>
    <w:p>
      <w:pPr>
        <w:spacing w:line="320" w:lineRule="exact"/>
        <w:rPr>
          <w:rFonts w:ascii="宋体" w:hAnsi="宋体"/>
          <w:sz w:val="18"/>
          <w:szCs w:val="18"/>
          <w:highlight w:val="yellow"/>
        </w:rPr>
      </w:pPr>
      <w:r>
        <w:rPr>
          <w:rFonts w:hint="eastAsia" w:ascii="宋体" w:hAnsi="宋体"/>
          <w:sz w:val="18"/>
          <w:szCs w:val="18"/>
          <w:highlight w:val="yellow"/>
        </w:rPr>
        <w:t>（2）参选规定及说明</w:t>
      </w:r>
    </w:p>
    <w:p>
      <w:pPr>
        <w:spacing w:line="320" w:lineRule="exact"/>
        <w:rPr>
          <w:rFonts w:ascii="宋体" w:hAnsi="宋体"/>
          <w:sz w:val="18"/>
          <w:szCs w:val="18"/>
          <w:highlight w:val="yellow"/>
        </w:rPr>
      </w:pPr>
      <w:r>
        <w:rPr>
          <w:rFonts w:hint="eastAsia" w:ascii="宋体" w:hAnsi="宋体"/>
          <w:sz w:val="18"/>
          <w:szCs w:val="18"/>
          <w:highlight w:val="yellow"/>
        </w:rPr>
        <w:t>（3）公开比选文件</w:t>
      </w:r>
    </w:p>
    <w:p>
      <w:pPr>
        <w:spacing w:line="320" w:lineRule="exact"/>
        <w:rPr>
          <w:rFonts w:ascii="宋体" w:hAnsi="宋体"/>
          <w:sz w:val="18"/>
          <w:szCs w:val="18"/>
          <w:highlight w:val="yellow"/>
        </w:rPr>
      </w:pPr>
      <w:r>
        <w:rPr>
          <w:rFonts w:hint="eastAsia" w:ascii="宋体" w:hAnsi="宋体"/>
          <w:sz w:val="18"/>
          <w:szCs w:val="18"/>
          <w:highlight w:val="yellow"/>
        </w:rPr>
        <w:t>（4）参选书</w:t>
      </w:r>
    </w:p>
    <w:p>
      <w:pPr>
        <w:spacing w:line="320" w:lineRule="exact"/>
        <w:rPr>
          <w:rFonts w:ascii="宋体" w:hAnsi="宋体"/>
          <w:sz w:val="18"/>
          <w:szCs w:val="18"/>
          <w:highlight w:val="yellow"/>
        </w:rPr>
      </w:pPr>
      <w:r>
        <w:rPr>
          <w:rFonts w:hint="eastAsia" w:ascii="宋体" w:hAnsi="宋体"/>
          <w:sz w:val="18"/>
          <w:szCs w:val="18"/>
          <w:highlight w:val="yellow"/>
        </w:rPr>
        <w:t>（5）法定代表人授权书</w:t>
      </w:r>
    </w:p>
    <w:p>
      <w:pPr>
        <w:spacing w:line="320" w:lineRule="exact"/>
        <w:rPr>
          <w:rFonts w:hint="eastAsia" w:ascii="宋体" w:hAnsi="宋体"/>
          <w:sz w:val="18"/>
          <w:szCs w:val="18"/>
          <w:highlight w:val="yellow"/>
        </w:rPr>
      </w:pPr>
      <w:r>
        <w:rPr>
          <w:rFonts w:hint="eastAsia" w:ascii="宋体" w:hAnsi="宋体"/>
          <w:sz w:val="18"/>
          <w:szCs w:val="18"/>
          <w:highlight w:val="yellow"/>
        </w:rPr>
        <w:t>（6）报价单</w:t>
      </w:r>
    </w:p>
    <w:p>
      <w:pPr>
        <w:spacing w:line="320" w:lineRule="exact"/>
        <w:rPr>
          <w:rFonts w:hint="eastAsia" w:ascii="宋体" w:hAnsi="宋体" w:eastAsia="宋体"/>
          <w:sz w:val="18"/>
          <w:szCs w:val="18"/>
          <w:highlight w:val="yellow"/>
          <w:lang w:eastAsia="zh-CN"/>
        </w:rPr>
      </w:pPr>
      <w:r>
        <w:rPr>
          <w:rFonts w:hint="eastAsia" w:ascii="宋体" w:hAnsi="宋体"/>
          <w:sz w:val="18"/>
          <w:szCs w:val="18"/>
          <w:highlight w:val="yellow"/>
          <w:lang w:eastAsia="zh-CN"/>
        </w:rPr>
        <w:t>（</w:t>
      </w:r>
      <w:r>
        <w:rPr>
          <w:rFonts w:hint="eastAsia" w:ascii="宋体" w:hAnsi="宋体"/>
          <w:sz w:val="18"/>
          <w:szCs w:val="18"/>
          <w:highlight w:val="yellow"/>
          <w:lang w:val="en-US" w:eastAsia="zh-CN"/>
        </w:rPr>
        <w:t>7</w:t>
      </w:r>
      <w:r>
        <w:rPr>
          <w:rFonts w:hint="eastAsia" w:ascii="宋体" w:hAnsi="宋体"/>
          <w:sz w:val="18"/>
          <w:szCs w:val="18"/>
          <w:highlight w:val="yellow"/>
          <w:lang w:eastAsia="zh-CN"/>
        </w:rPr>
        <w:t>）</w:t>
      </w:r>
      <w:r>
        <w:rPr>
          <w:rFonts w:hint="eastAsia" w:ascii="宋体" w:hAnsi="宋体"/>
          <w:sz w:val="18"/>
          <w:szCs w:val="18"/>
          <w:highlight w:val="yellow"/>
          <w:lang w:val="en-US" w:eastAsia="zh-CN"/>
        </w:rPr>
        <w:t>技术要求</w:t>
      </w:r>
    </w:p>
    <w:p>
      <w:pPr>
        <w:spacing w:line="320" w:lineRule="exact"/>
        <w:rPr>
          <w:rFonts w:hint="eastAsia" w:ascii="宋体" w:hAnsi="宋体"/>
          <w:sz w:val="18"/>
          <w:szCs w:val="18"/>
          <w:highlight w:val="yellow"/>
        </w:rPr>
      </w:pPr>
      <w:r>
        <w:rPr>
          <w:rFonts w:hint="eastAsia" w:ascii="宋体" w:hAnsi="宋体"/>
          <w:sz w:val="18"/>
          <w:szCs w:val="18"/>
          <w:highlight w:val="yellow"/>
          <w:lang w:val="en-US" w:eastAsia="zh-CN"/>
        </w:rPr>
        <w:t>4.2</w:t>
      </w:r>
      <w:r>
        <w:rPr>
          <w:rFonts w:hint="eastAsia" w:ascii="宋体" w:hAnsi="宋体"/>
          <w:sz w:val="18"/>
          <w:szCs w:val="18"/>
          <w:highlight w:val="yellow"/>
        </w:rPr>
        <w:t xml:space="preserve"> 第二册技术文件包含以下内容：</w:t>
      </w:r>
    </w:p>
    <w:p>
      <w:pPr>
        <w:spacing w:line="320" w:lineRule="exact"/>
      </w:pPr>
      <w:r>
        <w:rPr>
          <w:rFonts w:hint="eastAsia" w:ascii="宋体" w:hAnsi="宋体"/>
          <w:sz w:val="18"/>
          <w:szCs w:val="18"/>
          <w:highlight w:val="yellow"/>
        </w:rPr>
        <w:t>公司资质</w:t>
      </w:r>
      <w:r>
        <w:rPr>
          <w:rFonts w:hint="eastAsia" w:ascii="宋体" w:hAnsi="宋体"/>
          <w:sz w:val="18"/>
          <w:szCs w:val="18"/>
          <w:highlight w:val="yellow"/>
          <w:lang w:eastAsia="zh-CN"/>
        </w:rPr>
        <w:t>、</w:t>
      </w:r>
      <w:r>
        <w:rPr>
          <w:rFonts w:hint="eastAsia" w:ascii="宋体" w:hAnsi="宋体"/>
          <w:sz w:val="18"/>
          <w:szCs w:val="18"/>
          <w:highlight w:val="yellow"/>
        </w:rPr>
        <w:t>同类业绩</w:t>
      </w:r>
      <w:r>
        <w:rPr>
          <w:rFonts w:hint="eastAsia" w:ascii="宋体" w:hAnsi="宋体"/>
          <w:sz w:val="18"/>
          <w:szCs w:val="18"/>
          <w:highlight w:val="yellow"/>
          <w:lang w:val="en-US" w:eastAsia="zh-CN"/>
        </w:rPr>
        <w:t>资料</w:t>
      </w:r>
      <w:r>
        <w:rPr>
          <w:rFonts w:hint="eastAsia" w:ascii="宋体" w:hAnsi="宋体"/>
          <w:sz w:val="18"/>
          <w:szCs w:val="18"/>
          <w:highlight w:val="yellow"/>
          <w:lang w:eastAsia="zh-CN"/>
        </w:rPr>
        <w:t>、</w:t>
      </w:r>
      <w:r>
        <w:rPr>
          <w:rFonts w:hint="eastAsia" w:ascii="宋体" w:hAnsi="宋体"/>
          <w:sz w:val="18"/>
          <w:szCs w:val="18"/>
          <w:highlight w:val="yellow"/>
          <w:lang w:val="en-US" w:eastAsia="zh-CN"/>
        </w:rPr>
        <w:t>产品</w:t>
      </w:r>
      <w:r>
        <w:rPr>
          <w:rFonts w:hint="eastAsia" w:ascii="宋体" w:hAnsi="宋体"/>
          <w:sz w:val="18"/>
          <w:szCs w:val="18"/>
          <w:highlight w:val="yellow"/>
          <w:lang w:eastAsia="zh-CN"/>
        </w:rPr>
        <w:t>物化性质、</w:t>
      </w:r>
      <w:r>
        <w:rPr>
          <w:rFonts w:hint="eastAsia" w:ascii="宋体" w:hAnsi="宋体"/>
          <w:sz w:val="18"/>
          <w:szCs w:val="18"/>
          <w:highlight w:val="yellow"/>
          <w:lang w:val="en-US" w:eastAsia="zh-CN"/>
        </w:rPr>
        <w:t>产品性能保证、</w:t>
      </w:r>
      <w:r>
        <w:rPr>
          <w:rFonts w:hint="eastAsia" w:ascii="宋体" w:hAnsi="宋体"/>
          <w:sz w:val="18"/>
          <w:szCs w:val="18"/>
          <w:highlight w:val="yellow"/>
          <w:lang w:eastAsia="zh-CN"/>
        </w:rPr>
        <w:t>供货</w:t>
      </w:r>
      <w:r>
        <w:rPr>
          <w:rFonts w:hint="eastAsia" w:ascii="宋体" w:hAnsi="宋体"/>
          <w:sz w:val="18"/>
          <w:szCs w:val="18"/>
          <w:highlight w:val="yellow"/>
          <w:lang w:val="en-US" w:eastAsia="zh-CN"/>
        </w:rPr>
        <w:t>周</w:t>
      </w:r>
      <w:r>
        <w:rPr>
          <w:rFonts w:hint="eastAsia" w:ascii="宋体" w:hAnsi="宋体"/>
          <w:sz w:val="18"/>
          <w:szCs w:val="18"/>
          <w:highlight w:val="yellow"/>
          <w:lang w:eastAsia="zh-CN"/>
        </w:rPr>
        <w:t>期、技术服务、包装运输</w:t>
      </w:r>
      <w:r>
        <w:rPr>
          <w:rFonts w:hint="eastAsia" w:ascii="宋体" w:hAnsi="宋体"/>
          <w:sz w:val="18"/>
          <w:szCs w:val="18"/>
          <w:highlight w:val="yellow"/>
          <w:lang w:val="en-US" w:eastAsia="zh-CN"/>
        </w:rPr>
        <w:t>等内容</w:t>
      </w:r>
      <w:r>
        <w:rPr>
          <w:rFonts w:hint="eastAsia" w:ascii="宋体" w:hAnsi="宋体"/>
          <w:sz w:val="18"/>
          <w:szCs w:val="18"/>
          <w:highlight w:val="yellow"/>
        </w:rPr>
        <w:t>。</w:t>
      </w:r>
    </w:p>
    <w:p>
      <w:pPr>
        <w:spacing w:line="320" w:lineRule="exact"/>
        <w:rPr>
          <w:rFonts w:ascii="宋体" w:hAnsi="宋体"/>
          <w:sz w:val="18"/>
          <w:szCs w:val="18"/>
          <w:highlight w:val="yellow"/>
        </w:rPr>
      </w:pPr>
      <w:r>
        <w:rPr>
          <w:rFonts w:hint="eastAsia" w:ascii="宋体" w:hAnsi="宋体"/>
          <w:b/>
          <w:bCs/>
          <w:sz w:val="18"/>
          <w:szCs w:val="18"/>
          <w:highlight w:val="yellow"/>
          <w:lang w:val="en-US" w:eastAsia="zh-CN"/>
        </w:rPr>
        <w:t>5.参选人密封参选书，</w:t>
      </w:r>
      <w:r>
        <w:rPr>
          <w:rFonts w:hint="eastAsia" w:ascii="宋体" w:hAnsi="宋体"/>
          <w:b/>
          <w:bCs/>
          <w:sz w:val="18"/>
          <w:szCs w:val="18"/>
          <w:highlight w:val="yellow"/>
        </w:rPr>
        <w:t>第一册《</w:t>
      </w:r>
      <w:r>
        <w:rPr>
          <w:rFonts w:hint="eastAsia" w:ascii="宋体" w:hAnsi="宋体"/>
          <w:b/>
          <w:bCs/>
          <w:sz w:val="18"/>
          <w:szCs w:val="18"/>
          <w:highlight w:val="yellow"/>
          <w:lang w:eastAsia="zh-CN"/>
        </w:rPr>
        <w:t>商务</w:t>
      </w:r>
      <w:r>
        <w:rPr>
          <w:rFonts w:hint="eastAsia" w:ascii="宋体" w:hAnsi="宋体"/>
          <w:b/>
          <w:bCs/>
          <w:sz w:val="18"/>
          <w:szCs w:val="18"/>
          <w:highlight w:val="yellow"/>
        </w:rPr>
        <w:t>文件》、第二册《技术文件》必须分别单独装订、分别单独包封</w:t>
      </w:r>
      <w:r>
        <w:rPr>
          <w:rFonts w:hint="eastAsia" w:ascii="宋体" w:hAnsi="宋体"/>
          <w:b/>
          <w:bCs/>
          <w:sz w:val="18"/>
          <w:szCs w:val="18"/>
          <w:highlight w:val="yellow"/>
          <w:lang w:eastAsia="zh-CN"/>
        </w:rPr>
        <w:t>；装订、密封和标识后，需要进行总包封（即密封在同一个封套中），所有电子文档与第一册包封在同一封套内。</w:t>
      </w:r>
      <w:r>
        <w:rPr>
          <w:rFonts w:hint="eastAsia" w:ascii="宋体" w:hAnsi="宋体"/>
          <w:b/>
          <w:bCs/>
          <w:sz w:val="18"/>
          <w:szCs w:val="18"/>
          <w:highlight w:val="yellow"/>
          <w:lang w:val="en-US" w:eastAsia="zh-CN"/>
        </w:rPr>
        <w:t>其中，第一册文件</w:t>
      </w:r>
      <w:r>
        <w:rPr>
          <w:rFonts w:hint="eastAsia" w:ascii="宋体" w:hAnsi="宋体"/>
          <w:b/>
          <w:bCs/>
          <w:sz w:val="18"/>
          <w:szCs w:val="18"/>
          <w:highlight w:val="yellow"/>
        </w:rPr>
        <w:t>一式两份</w:t>
      </w:r>
      <w:r>
        <w:rPr>
          <w:rFonts w:hint="eastAsia" w:ascii="宋体" w:hAnsi="宋体"/>
          <w:b/>
          <w:bCs/>
          <w:sz w:val="18"/>
          <w:szCs w:val="18"/>
          <w:highlight w:val="yellow"/>
          <w:lang w:val="en-US" w:eastAsia="zh-CN"/>
        </w:rPr>
        <w:t>并</w:t>
      </w:r>
      <w:r>
        <w:rPr>
          <w:rFonts w:hint="eastAsia" w:ascii="宋体" w:hAnsi="宋体"/>
          <w:b/>
          <w:bCs/>
          <w:sz w:val="18"/>
          <w:szCs w:val="18"/>
          <w:highlight w:val="yellow"/>
        </w:rPr>
        <w:t>注明“正本”及“副本”</w:t>
      </w:r>
      <w:r>
        <w:rPr>
          <w:rFonts w:hint="eastAsia" w:ascii="宋体" w:hAnsi="宋体"/>
          <w:b/>
          <w:bCs/>
          <w:sz w:val="18"/>
          <w:szCs w:val="18"/>
          <w:highlight w:val="yellow"/>
          <w:lang w:val="en-US" w:eastAsia="zh-CN"/>
        </w:rPr>
        <w:t>并逐页盖公章</w:t>
      </w:r>
      <w:r>
        <w:rPr>
          <w:rFonts w:hint="eastAsia" w:ascii="宋体" w:hAnsi="宋体"/>
          <w:b/>
          <w:bCs/>
          <w:sz w:val="18"/>
          <w:szCs w:val="18"/>
          <w:highlight w:val="yellow"/>
          <w:lang w:eastAsia="zh-CN"/>
        </w:rPr>
        <w:t>，</w:t>
      </w:r>
      <w:r>
        <w:rPr>
          <w:rFonts w:hint="eastAsia" w:ascii="宋体" w:hAnsi="宋体"/>
          <w:b/>
          <w:bCs/>
          <w:sz w:val="18"/>
          <w:szCs w:val="18"/>
          <w:highlight w:val="yellow"/>
          <w:lang w:val="en-US" w:eastAsia="zh-CN"/>
        </w:rPr>
        <w:t>第二册文件一式两份</w:t>
      </w:r>
      <w:r>
        <w:rPr>
          <w:rFonts w:hint="eastAsia" w:ascii="宋体" w:hAnsi="宋体"/>
          <w:b/>
          <w:bCs/>
          <w:sz w:val="18"/>
          <w:szCs w:val="18"/>
          <w:highlight w:val="yellow"/>
        </w:rPr>
        <w:t>，</w:t>
      </w:r>
      <w:r>
        <w:rPr>
          <w:rFonts w:hint="eastAsia" w:ascii="宋体" w:hAnsi="宋体"/>
          <w:b/>
          <w:bCs/>
          <w:sz w:val="18"/>
          <w:szCs w:val="18"/>
          <w:highlight w:val="yellow"/>
          <w:lang w:val="en-US" w:eastAsia="zh-CN"/>
        </w:rPr>
        <w:t>在各封口处加盖公章。</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硫磺回收联合装置高效脱硫剂</w:t>
      </w:r>
      <w:r>
        <w:rPr>
          <w:rFonts w:hint="eastAsia" w:ascii="宋体" w:hAnsi="宋体"/>
          <w:sz w:val="18"/>
          <w:szCs w:val="18"/>
        </w:rPr>
        <w:t>的采购价格。比选会议确定价格之后：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w:t>
      </w:r>
      <w:r>
        <w:rPr>
          <w:rFonts w:hint="eastAsia" w:ascii="宋体" w:hAnsi="宋体"/>
          <w:sz w:val="18"/>
          <w:szCs w:val="18"/>
          <w:lang w:val="en-US" w:eastAsia="zh-CN"/>
        </w:rPr>
        <w:t>我司需求情况</w:t>
      </w:r>
      <w:r>
        <w:rPr>
          <w:rFonts w:hint="eastAsia" w:ascii="宋体" w:hAnsi="宋体"/>
          <w:sz w:val="18"/>
          <w:szCs w:val="18"/>
        </w:rPr>
        <w:t>而定。</w:t>
      </w:r>
    </w:p>
    <w:p>
      <w:pPr>
        <w:spacing w:line="320" w:lineRule="exact"/>
        <w:rPr>
          <w:rFonts w:hint="eastAsia" w:ascii="宋体" w:hAnsi="宋体"/>
          <w:sz w:val="18"/>
          <w:szCs w:val="18"/>
        </w:rPr>
      </w:pPr>
      <w:r>
        <w:rPr>
          <w:rFonts w:hint="eastAsia" w:ascii="宋体" w:hAnsi="宋体"/>
          <w:sz w:val="18"/>
          <w:szCs w:val="18"/>
        </w:rPr>
        <w:t>12.参选文件不退还。</w:t>
      </w:r>
    </w:p>
    <w:p>
      <w:pPr>
        <w:spacing w:line="320" w:lineRule="exact"/>
        <w:rPr>
          <w:rFonts w:hint="eastAsia" w:ascii="宋体" w:hAnsi="宋体"/>
          <w:sz w:val="18"/>
          <w:szCs w:val="18"/>
        </w:rPr>
      </w:pPr>
      <w:r>
        <w:rPr>
          <w:rFonts w:hint="eastAsia" w:ascii="宋体" w:hAnsi="宋体"/>
          <w:sz w:val="18"/>
          <w:szCs w:val="18"/>
          <w:highlight w:val="yellow"/>
        </w:rPr>
        <w:t>13.</w:t>
      </w:r>
      <w:r>
        <w:rPr>
          <w:rFonts w:hint="eastAsia" w:ascii="宋体" w:hAnsi="宋体"/>
          <w:sz w:val="18"/>
          <w:szCs w:val="18"/>
          <w:highlight w:val="yellow"/>
          <w:lang w:val="en-US" w:eastAsia="zh-CN"/>
        </w:rPr>
        <w:t>本次硫磺回收联合装置高效脱硫剂分为商务标和技术标两部分组成，商务标评分比重为70分，技术标评分为30分，满分为100分，总得分最高的参选人为中选人。</w:t>
      </w:r>
    </w:p>
    <w:p>
      <w:pPr>
        <w:spacing w:line="320" w:lineRule="exact"/>
        <w:rPr>
          <w:rFonts w:hint="eastAsia" w:ascii="宋体" w:hAnsi="宋体"/>
          <w:b/>
          <w:bCs/>
          <w:sz w:val="36"/>
          <w:szCs w:val="36"/>
        </w:rPr>
      </w:pPr>
      <w:r>
        <w:rPr>
          <w:rFonts w:hint="eastAsia" w:ascii="宋体" w:hAnsi="宋体"/>
          <w:sz w:val="18"/>
          <w:szCs w:val="18"/>
          <w:highlight w:val="none"/>
        </w:rPr>
        <w:t>1</w:t>
      </w:r>
      <w:r>
        <w:rPr>
          <w:rFonts w:hint="eastAsia" w:ascii="宋体" w:hAnsi="宋体"/>
          <w:sz w:val="18"/>
          <w:szCs w:val="18"/>
          <w:highlight w:val="none"/>
          <w:lang w:val="en-US" w:eastAsia="zh-CN"/>
        </w:rPr>
        <w:t>4.</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2024-FHC-高效脱硫剂-0603</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硫磺回收联合装置高效脱硫剂</w:t>
      </w:r>
      <w:r>
        <w:rPr>
          <w:rFonts w:hint="eastAsia" w:ascii="宋体" w:hAnsi="宋体"/>
          <w:sz w:val="24"/>
          <w:szCs w:val="24"/>
        </w:rPr>
        <w:t>，具体要求如下</w:t>
      </w:r>
      <w:r>
        <w:rPr>
          <w:rFonts w:ascii="宋体"/>
          <w:sz w:val="24"/>
          <w:szCs w:val="24"/>
        </w:rPr>
        <w:tab/>
      </w:r>
    </w:p>
    <w:p>
      <w:pPr>
        <w:numPr>
          <w:ilvl w:val="0"/>
          <w:numId w:val="7"/>
        </w:numPr>
        <w:spacing w:line="360" w:lineRule="exact"/>
        <w:jc w:val="left"/>
        <w:rPr>
          <w:rFonts w:hint="eastAsia" w:ascii="宋体" w:hAnsi="宋体" w:cs="宋体"/>
          <w:sz w:val="24"/>
        </w:rPr>
      </w:pPr>
      <w:r>
        <w:rPr>
          <w:rFonts w:hint="eastAsia" w:ascii="宋体" w:cs="宋体"/>
          <w:sz w:val="24"/>
        </w:rPr>
        <w:t>采购数量：</w:t>
      </w:r>
      <w:r>
        <w:rPr>
          <w:rFonts w:hint="eastAsia" w:ascii="宋体" w:cs="宋体"/>
          <w:sz w:val="24"/>
          <w:lang w:val="en-US" w:eastAsia="zh-CN"/>
        </w:rPr>
        <w:t>156吨。</w:t>
      </w:r>
      <w:r>
        <w:rPr>
          <w:rFonts w:hint="eastAsia" w:ascii="宋体" w:cs="宋体"/>
          <w:sz w:val="24"/>
        </w:rPr>
        <w:t>（数量为年预估量，以实际发生量为准）</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1.1高效脱硫剂指标：</w:t>
      </w:r>
    </w:p>
    <w:tbl>
      <w:tblPr>
        <w:tblStyle w:val="8"/>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2767"/>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10" w:type="dxa"/>
            <w:tcBorders>
              <w:bottom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项   目</w:t>
            </w:r>
          </w:p>
        </w:tc>
        <w:tc>
          <w:tcPr>
            <w:tcW w:w="2767" w:type="dxa"/>
            <w:tcBorders>
              <w:bottom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质量指标</w:t>
            </w:r>
          </w:p>
        </w:tc>
        <w:tc>
          <w:tcPr>
            <w:tcW w:w="2143" w:type="dxa"/>
            <w:tcBorders>
              <w:bottom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91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外   观</w:t>
            </w:r>
          </w:p>
        </w:tc>
        <w:tc>
          <w:tcPr>
            <w:tcW w:w="276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无色至浅黄色清澈透明液体</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91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运动粘度（20</w:t>
            </w:r>
            <w:r>
              <w:rPr>
                <w:rFonts w:hint="eastAsia" w:ascii="宋体" w:hAnsi="宋体" w:eastAsia="宋体" w:cs="宋体"/>
                <w:color w:val="000000"/>
                <w:szCs w:val="21"/>
              </w:rPr>
              <w:t>℃</w:t>
            </w:r>
            <w:r>
              <w:rPr>
                <w:rFonts w:ascii="Times New Roman" w:hAnsi="Times New Roman" w:eastAsia="宋体" w:cs="Times New Roman"/>
                <w:color w:val="000000"/>
                <w:szCs w:val="21"/>
              </w:rPr>
              <w:t>），m</w:t>
            </w:r>
            <w:r>
              <w:rPr>
                <w:rFonts w:ascii="Times New Roman" w:hAnsi="Times New Roman" w:eastAsia="宋体" w:cs="Times New Roman"/>
                <w:color w:val="000000"/>
                <w:szCs w:val="21"/>
                <w:vertAlign w:val="superscript"/>
              </w:rPr>
              <w:t>2</w:t>
            </w:r>
            <w:r>
              <w:rPr>
                <w:rFonts w:ascii="Times New Roman" w:hAnsi="Times New Roman" w:eastAsia="宋体" w:cs="Times New Roman"/>
                <w:color w:val="000000"/>
                <w:szCs w:val="21"/>
              </w:rPr>
              <w:t>/s</w:t>
            </w:r>
          </w:p>
        </w:tc>
        <w:tc>
          <w:tcPr>
            <w:tcW w:w="2767"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w:t>
            </w:r>
            <w:r>
              <w:rPr>
                <w:rFonts w:ascii="Times New Roman" w:hAnsi="Times New Roman" w:eastAsia="宋体" w:cs="Times New Roman"/>
                <w:color w:val="000000"/>
                <w:szCs w:val="21"/>
              </w:rPr>
              <w:t>0~110</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1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密度（20</w:t>
            </w:r>
            <w:r>
              <w:rPr>
                <w:rFonts w:hint="eastAsia" w:ascii="宋体" w:hAnsi="宋体" w:eastAsia="宋体" w:cs="宋体"/>
                <w:color w:val="000000"/>
                <w:szCs w:val="21"/>
              </w:rPr>
              <w:t>℃</w:t>
            </w:r>
            <w:r>
              <w:rPr>
                <w:rFonts w:ascii="Times New Roman" w:hAnsi="Times New Roman" w:eastAsia="宋体" w:cs="Times New Roman"/>
                <w:color w:val="000000"/>
                <w:szCs w:val="21"/>
              </w:rPr>
              <w:t>），kg/cm</w:t>
            </w:r>
            <w:r>
              <w:rPr>
                <w:rFonts w:ascii="Times New Roman" w:hAnsi="Times New Roman" w:eastAsia="宋体" w:cs="Times New Roman"/>
                <w:color w:val="000000"/>
                <w:szCs w:val="21"/>
                <w:vertAlign w:val="superscript"/>
              </w:rPr>
              <w:t>3</w:t>
            </w:r>
          </w:p>
        </w:tc>
        <w:tc>
          <w:tcPr>
            <w:tcW w:w="276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w:t>
            </w: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0~1.065</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GB/T4472-1984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91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有效组分含量（MDEA）</w:t>
            </w:r>
            <w:r>
              <w:rPr>
                <w:rFonts w:hint="eastAsia" w:ascii="Times New Roman" w:hAnsi="Times New Roman" w:eastAsia="宋体" w:cs="Times New Roman"/>
                <w:color w:val="000000"/>
                <w:szCs w:val="21"/>
              </w:rPr>
              <w:t>，</w:t>
            </w:r>
            <w:r>
              <w:rPr>
                <w:rFonts w:hint="eastAsia" w:ascii="Times New Roman" w:hAnsi="Times New Roman" w:eastAsia="宋体"/>
                <w:bCs/>
                <w:spacing w:val="4"/>
              </w:rPr>
              <w:t>wt%</w:t>
            </w:r>
            <w:r>
              <w:rPr>
                <w:rFonts w:ascii="Times New Roman" w:hAnsi="Times New Roman" w:eastAsia="宋体" w:cs="Times New Roman"/>
                <w:color w:val="000000"/>
                <w:szCs w:val="21"/>
              </w:rPr>
              <w:t xml:space="preserve"> </w:t>
            </w:r>
          </w:p>
        </w:tc>
        <w:tc>
          <w:tcPr>
            <w:tcW w:w="276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≥97</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GH/T 31589-2015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1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凝固点</w:t>
            </w:r>
            <w:r>
              <w:rPr>
                <w:rFonts w:hint="eastAsia" w:ascii="Times New Roman" w:hAnsi="Times New Roman" w:eastAsia="宋体" w:cs="Times New Roman"/>
                <w:color w:val="000000"/>
                <w:szCs w:val="21"/>
              </w:rPr>
              <w:t>，</w:t>
            </w:r>
            <w:r>
              <w:rPr>
                <w:rFonts w:hint="eastAsia" w:ascii="宋体" w:hAnsi="宋体" w:eastAsia="宋体" w:cs="宋体"/>
                <w:color w:val="000000"/>
                <w:szCs w:val="21"/>
              </w:rPr>
              <w:t>℃</w:t>
            </w:r>
          </w:p>
        </w:tc>
        <w:tc>
          <w:tcPr>
            <w:tcW w:w="276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≤-45</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910" w:type="dxa"/>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溶解性</w:t>
            </w:r>
          </w:p>
        </w:tc>
        <w:tc>
          <w:tcPr>
            <w:tcW w:w="2767" w:type="dxa"/>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与水互溶</w:t>
            </w:r>
          </w:p>
        </w:tc>
        <w:tc>
          <w:tcPr>
            <w:tcW w:w="2143" w:type="dxa"/>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 6324.1</w:t>
            </w:r>
          </w:p>
        </w:tc>
      </w:tr>
    </w:tbl>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1.2性能保证:</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 xml:space="preserve">    在需方装置运行稳定，操作正常，满足技术要求第5.3条款工艺操作条件的情况下，使用供方提供的高效脱硫剂产品，保证：</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（1）溶剂再生单元</w:t>
      </w:r>
      <w:r>
        <w:rPr>
          <w:rFonts w:ascii="Times New Roman" w:hAnsi="Times New Roman" w:eastAsia="宋体" w:cs="Times New Roman"/>
          <w:sz w:val="24"/>
          <w:szCs w:val="24"/>
        </w:rPr>
        <w:t>贫液中的</w:t>
      </w:r>
      <w:r>
        <w:rPr>
          <w:rFonts w:hint="eastAsia" w:ascii="Times New Roman" w:hAnsi="Times New Roman" w:eastAsia="宋体" w:cs="Times New Roman"/>
          <w:sz w:val="24"/>
          <w:szCs w:val="24"/>
        </w:rPr>
        <w:t>H</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S</w:t>
      </w:r>
      <w:r>
        <w:rPr>
          <w:rFonts w:ascii="Times New Roman" w:hAnsi="Times New Roman" w:eastAsia="宋体" w:cs="Times New Roman"/>
          <w:sz w:val="24"/>
          <w:szCs w:val="24"/>
        </w:rPr>
        <w:t>≤1g/L，</w:t>
      </w:r>
      <w:r>
        <w:rPr>
          <w:rFonts w:hint="eastAsia" w:ascii="Times New Roman" w:hAnsi="Times New Roman" w:eastAsia="宋体" w:cs="Times New Roman"/>
          <w:sz w:val="24"/>
          <w:szCs w:val="24"/>
        </w:rPr>
        <w:t>硫磺回收单元</w:t>
      </w:r>
      <w:r>
        <w:rPr>
          <w:rFonts w:ascii="Times New Roman" w:hAnsi="Times New Roman" w:eastAsia="宋体" w:cs="Times New Roman"/>
          <w:sz w:val="24"/>
          <w:szCs w:val="24"/>
        </w:rPr>
        <w:t>贫液中</w:t>
      </w:r>
      <w:r>
        <w:rPr>
          <w:rFonts w:hint="eastAsia" w:ascii="Times New Roman" w:hAnsi="Times New Roman" w:eastAsia="宋体" w:cs="Times New Roman"/>
          <w:sz w:val="24"/>
          <w:szCs w:val="24"/>
        </w:rPr>
        <w:t>的H</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S≤0.5g/</w:t>
      </w:r>
      <w:r>
        <w:rPr>
          <w:rFonts w:ascii="Times New Roman" w:hAnsi="Times New Roman" w:eastAsia="宋体" w:cs="Times New Roman"/>
          <w:sz w:val="24"/>
          <w:szCs w:val="24"/>
        </w:rPr>
        <w:t>L。</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塔底0.45MPa蒸汽消耗≤15wt%</w:t>
      </w:r>
      <w:r>
        <w:rPr>
          <w:rFonts w:hint="eastAsia" w:ascii="Times New Roman" w:hAnsi="Times New Roman" w:eastAsia="宋体" w:cs="Times New Roman"/>
          <w:sz w:val="24"/>
          <w:szCs w:val="24"/>
        </w:rPr>
        <w:t>富胺液</w:t>
      </w:r>
      <w:r>
        <w:rPr>
          <w:rFonts w:ascii="Times New Roman" w:hAnsi="Times New Roman" w:eastAsia="宋体" w:cs="Times New Roman"/>
          <w:sz w:val="24"/>
          <w:szCs w:val="24"/>
        </w:rPr>
        <w:t>进塔</w:t>
      </w:r>
      <w:r>
        <w:rPr>
          <w:rFonts w:hint="eastAsia" w:ascii="Times New Roman" w:hAnsi="Times New Roman" w:eastAsia="宋体" w:cs="Times New Roman"/>
          <w:sz w:val="24"/>
          <w:szCs w:val="24"/>
        </w:rPr>
        <w:t>量。</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）溶剂</w:t>
      </w:r>
      <w:r>
        <w:rPr>
          <w:rFonts w:ascii="Times New Roman" w:hAnsi="Times New Roman" w:eastAsia="宋体" w:cs="Times New Roman"/>
          <w:sz w:val="24"/>
          <w:szCs w:val="24"/>
        </w:rPr>
        <w:t>泡沫高度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10cm，泡沫消失时间</w:t>
      </w:r>
      <w:r>
        <w:rPr>
          <w:rFonts w:hint="eastAsia" w:ascii="Times New Roman" w:hAnsi="Times New Roman" w:eastAsia="宋体" w:cs="Times New Roman"/>
          <w:sz w:val="24"/>
          <w:szCs w:val="24"/>
        </w:rPr>
        <w:t>≯</w:t>
      </w:r>
      <w:r>
        <w:rPr>
          <w:rFonts w:ascii="Times New Roman" w:hAnsi="Times New Roman" w:eastAsia="宋体" w:cs="Times New Roman"/>
          <w:sz w:val="24"/>
          <w:szCs w:val="24"/>
        </w:rPr>
        <w:t>10s。</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溶剂</w:t>
      </w:r>
      <w:r>
        <w:rPr>
          <w:rFonts w:hint="eastAsia" w:ascii="Times New Roman" w:hAnsi="Times New Roman" w:eastAsia="宋体" w:cs="Times New Roman"/>
          <w:sz w:val="24"/>
          <w:szCs w:val="24"/>
        </w:rPr>
        <w:t>损</w:t>
      </w:r>
      <w:r>
        <w:rPr>
          <w:rFonts w:ascii="Times New Roman" w:hAnsi="Times New Roman" w:eastAsia="宋体" w:cs="Times New Roman"/>
          <w:sz w:val="24"/>
          <w:szCs w:val="24"/>
        </w:rPr>
        <w:t>耗量≤0.2kg/t原料（液化气或干气）。</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加氢干气脱后硫化氢含量≤70mg/N</w:t>
      </w:r>
      <w:r>
        <w:rPr>
          <w:rFonts w:hint="eastAsia" w:ascii="Times New Roman" w:hAnsi="Times New Roman" w:eastAsia="宋体" w:cs="Times New Roman"/>
          <w:sz w:val="24"/>
          <w:szCs w:val="24"/>
        </w:rPr>
        <w:t>m³</w:t>
      </w:r>
      <w:r>
        <w:rPr>
          <w:rFonts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有机硫脱除率≥30%，无机硫脱除率≥99</w:t>
      </w: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7</w:t>
      </w:r>
      <w:r>
        <w:rPr>
          <w:rFonts w:hint="eastAsia" w:ascii="Times New Roman" w:hAnsi="Times New Roman" w:eastAsia="宋体" w:cs="Times New Roman"/>
          <w:sz w:val="24"/>
          <w:szCs w:val="24"/>
        </w:rPr>
        <w:t>）</w:t>
      </w:r>
      <w:r>
        <w:rPr>
          <w:rFonts w:ascii="Times New Roman" w:hAnsi="Times New Roman" w:eastAsia="宋体" w:cs="Times New Roman"/>
          <w:sz w:val="24"/>
          <w:szCs w:val="24"/>
        </w:rPr>
        <w:t>对设备</w:t>
      </w:r>
      <w:r>
        <w:rPr>
          <w:rFonts w:hint="eastAsia" w:ascii="Times New Roman" w:hAnsi="Times New Roman" w:eastAsia="宋体" w:cs="Times New Roman"/>
          <w:sz w:val="24"/>
          <w:szCs w:val="24"/>
        </w:rPr>
        <w:t>及管线</w:t>
      </w:r>
      <w:r>
        <w:rPr>
          <w:rFonts w:ascii="Times New Roman" w:hAnsi="Times New Roman" w:eastAsia="宋体" w:cs="Times New Roman"/>
          <w:sz w:val="24"/>
          <w:szCs w:val="24"/>
        </w:rPr>
        <w:t>无不良影响。</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8</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不会对</w:t>
      </w:r>
      <w:r>
        <w:rPr>
          <w:rFonts w:hint="eastAsia" w:ascii="Times New Roman" w:hAnsi="Times New Roman" w:eastAsia="宋体" w:cs="Times New Roman"/>
          <w:sz w:val="24"/>
          <w:szCs w:val="24"/>
        </w:rPr>
        <w:t>上游</w:t>
      </w:r>
      <w:r>
        <w:rPr>
          <w:rFonts w:ascii="Times New Roman" w:hAnsi="Times New Roman" w:eastAsia="宋体" w:cs="Times New Roman"/>
          <w:sz w:val="24"/>
          <w:szCs w:val="24"/>
        </w:rPr>
        <w:t>产品</w:t>
      </w:r>
      <w:r>
        <w:rPr>
          <w:rFonts w:hint="eastAsia" w:ascii="Times New Roman" w:hAnsi="Times New Roman" w:eastAsia="宋体" w:cs="Times New Roman"/>
          <w:sz w:val="24"/>
          <w:szCs w:val="24"/>
        </w:rPr>
        <w:t>及系统内现有的</w:t>
      </w:r>
      <w:r>
        <w:rPr>
          <w:rFonts w:ascii="Times New Roman" w:hAnsi="Times New Roman" w:eastAsia="宋体" w:cs="Times New Roman"/>
          <w:sz w:val="24"/>
          <w:szCs w:val="24"/>
        </w:rPr>
        <w:t>脱硫剂产生不良影响。</w:t>
      </w:r>
    </w:p>
    <w:p>
      <w:pPr>
        <w:numPr>
          <w:ilvl w:val="0"/>
          <w:numId w:val="7"/>
        </w:numPr>
        <w:spacing w:line="360" w:lineRule="exact"/>
        <w:jc w:val="left"/>
        <w:rPr>
          <w:rFonts w:hint="eastAsia" w:ascii="宋体" w:hAnsi="宋体" w:cs="宋体"/>
          <w:sz w:val="24"/>
        </w:rPr>
      </w:pPr>
      <w:r>
        <w:rPr>
          <w:rFonts w:hint="eastAsia" w:ascii="宋体" w:hAnsi="宋体" w:cs="宋体"/>
          <w:sz w:val="24"/>
          <w:lang w:val="en-US" w:eastAsia="zh-CN"/>
        </w:rPr>
        <w:t>技术要求：</w:t>
      </w:r>
      <w:r>
        <w:rPr>
          <w:rFonts w:hint="eastAsia" w:ascii="宋体" w:hAnsi="宋体" w:cs="宋体"/>
          <w:sz w:val="24"/>
        </w:rPr>
        <w:t>详见附件技术要求。</w:t>
      </w:r>
    </w:p>
    <w:p>
      <w:pPr>
        <w:numPr>
          <w:ilvl w:val="0"/>
          <w:numId w:val="7"/>
        </w:numPr>
        <w:spacing w:line="360" w:lineRule="exact"/>
        <w:jc w:val="left"/>
        <w:rPr>
          <w:rFonts w:ascii="宋体" w:hAnsi="宋体" w:cs="宋体"/>
          <w:sz w:val="24"/>
        </w:rPr>
      </w:pPr>
      <w:r>
        <w:rPr>
          <w:rFonts w:hint="eastAsia" w:ascii="宋体" w:hAnsi="宋体" w:cs="宋体"/>
          <w:sz w:val="24"/>
          <w:lang w:val="en-US" w:eastAsia="zh-CN"/>
        </w:rPr>
        <w:t>包装方式：产品的包装采用吨桶包装，供方负责对空吨桶的回收。因回收空吨桶所产生的所有费用、承运人的选择等相关事宜均由供方负责。</w:t>
      </w:r>
    </w:p>
    <w:p>
      <w:pPr>
        <w:spacing w:line="360" w:lineRule="auto"/>
        <w:rPr>
          <w:rFonts w:hint="eastAsia" w:cs="Times New Roman"/>
          <w:sz w:val="24"/>
          <w:szCs w:val="24"/>
          <w:lang w:val="en-US" w:eastAsia="zh-CN"/>
        </w:rPr>
      </w:pPr>
      <w:r>
        <w:rPr>
          <w:rFonts w:hint="eastAsia" w:ascii="宋体" w:hAnsi="宋体" w:cs="宋体"/>
          <w:sz w:val="24"/>
        </w:rPr>
        <w:t>4.</w:t>
      </w:r>
      <w:r>
        <w:rPr>
          <w:rFonts w:hint="eastAsia" w:ascii="宋体" w:hAnsi="宋体"/>
          <w:sz w:val="24"/>
        </w:rPr>
        <w:t>到货时间：</w:t>
      </w:r>
      <w:r>
        <w:rPr>
          <w:rFonts w:ascii="Times New Roman" w:hAnsi="Times New Roman" w:eastAsia="宋体" w:cs="Times New Roman"/>
          <w:sz w:val="24"/>
          <w:szCs w:val="24"/>
        </w:rPr>
        <w:t>分批送货（约3</w:t>
      </w:r>
      <w:r>
        <w:rPr>
          <w:rFonts w:hint="eastAsia" w:ascii="Times New Roman" w:hAnsi="Times New Roman" w:eastAsia="宋体" w:cs="Times New Roman"/>
          <w:sz w:val="24"/>
          <w:szCs w:val="24"/>
        </w:rPr>
        <w:t>个</w:t>
      </w:r>
      <w:r>
        <w:rPr>
          <w:rFonts w:ascii="Times New Roman" w:hAnsi="Times New Roman" w:eastAsia="宋体" w:cs="Times New Roman"/>
          <w:sz w:val="24"/>
          <w:szCs w:val="24"/>
        </w:rPr>
        <w:t>月送一次）</w:t>
      </w:r>
      <w:r>
        <w:rPr>
          <w:rFonts w:hint="eastAsia" w:cs="Times New Roman"/>
          <w:sz w:val="24"/>
          <w:szCs w:val="24"/>
          <w:lang w:eastAsia="zh-CN"/>
        </w:rPr>
        <w:t>，</w:t>
      </w:r>
      <w:r>
        <w:rPr>
          <w:rFonts w:hint="eastAsia" w:cs="Times New Roman"/>
          <w:sz w:val="24"/>
          <w:szCs w:val="24"/>
          <w:lang w:val="en-US" w:eastAsia="zh-CN"/>
        </w:rPr>
        <w:t>首批计划到货30吨。供方应于2024年10月份前具备供货条件，具体供货时间待需方通知，供方接到需方通知后需1周内发货。</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硫磺回收联合装置高效脱硫剂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highlight w:val="yellow"/>
        </w:rPr>
      </w:pPr>
      <w:r>
        <w:rPr>
          <w:rFonts w:hint="eastAsia" w:ascii="宋体" w:hAnsi="宋体" w:cs="宋体"/>
          <w:sz w:val="24"/>
        </w:rPr>
        <w:t>6.1付款方式：现汇支付</w:t>
      </w:r>
      <w:r>
        <w:rPr>
          <w:rFonts w:hint="eastAsia" w:ascii="宋体" w:hAnsi="宋体" w:cs="宋体"/>
          <w:sz w:val="24"/>
          <w:lang w:eastAsia="zh-CN"/>
        </w:rPr>
        <w:t>，</w:t>
      </w:r>
      <w:r>
        <w:rPr>
          <w:rFonts w:hint="eastAsia" w:ascii="宋体" w:hAnsi="宋体" w:cs="宋体"/>
          <w:sz w:val="24"/>
          <w:lang w:val="en-US" w:eastAsia="zh-CN"/>
        </w:rPr>
        <w:t>分批到货、分批付款。</w:t>
      </w:r>
      <w:r>
        <w:rPr>
          <w:rFonts w:hint="eastAsia" w:ascii="宋体" w:hAnsi="宋体" w:cs="宋体"/>
          <w:sz w:val="24"/>
        </w:rPr>
        <w:t>每批产品到货</w:t>
      </w:r>
      <w:r>
        <w:rPr>
          <w:rFonts w:hint="eastAsia" w:ascii="宋体" w:hAnsi="宋体" w:cs="宋体"/>
          <w:sz w:val="24"/>
          <w:lang w:val="en-US" w:eastAsia="zh-CN"/>
        </w:rPr>
        <w:t>后</w:t>
      </w:r>
      <w:r>
        <w:rPr>
          <w:rFonts w:hint="eastAsia" w:ascii="宋体" w:hAnsi="宋体" w:cs="宋体"/>
          <w:sz w:val="24"/>
        </w:rPr>
        <w:t>，</w:t>
      </w:r>
      <w:r>
        <w:rPr>
          <w:rFonts w:hint="eastAsia" w:ascii="宋体" w:hAnsi="宋体" w:cs="宋体"/>
          <w:sz w:val="24"/>
          <w:lang w:val="en-US" w:eastAsia="zh-CN"/>
        </w:rPr>
        <w:t>经需方验收合格后付款</w:t>
      </w:r>
      <w:r>
        <w:rPr>
          <w:rFonts w:hint="eastAsia" w:ascii="宋体" w:hAnsi="宋体" w:cs="宋体"/>
          <w:sz w:val="24"/>
          <w:lang w:eastAsia="zh-CN"/>
        </w:rPr>
        <w:t>。</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w:t>
      </w:r>
      <w:r>
        <w:rPr>
          <w:rFonts w:hint="eastAsia" w:asciiTheme="minorEastAsia" w:hAnsiTheme="minorEastAsia" w:eastAsiaTheme="minorEastAsia"/>
          <w:sz w:val="24"/>
          <w:lang w:val="en-US" w:eastAsia="zh-CN"/>
        </w:rPr>
        <w:t>腾龙芳烃（漳州）</w:t>
      </w:r>
      <w:r>
        <w:rPr>
          <w:rFonts w:hint="eastAsia" w:asciiTheme="minorEastAsia" w:hAnsiTheme="minorEastAsia" w:eastAsiaTheme="minorEastAsia"/>
          <w:sz w:val="24"/>
        </w:rPr>
        <w:t>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8.2参选文件应密封，包含第一册《</w:t>
      </w:r>
      <w:r>
        <w:rPr>
          <w:rFonts w:hint="eastAsia" w:ascii="宋体" w:hAnsi="宋体" w:cs="宋体"/>
          <w:sz w:val="24"/>
          <w:lang w:eastAsia="zh-CN"/>
        </w:rPr>
        <w:t>商务</w:t>
      </w:r>
      <w:r>
        <w:rPr>
          <w:rFonts w:hint="eastAsia" w:ascii="宋体" w:hAnsi="宋体" w:cs="宋体"/>
          <w:sz w:val="24"/>
        </w:rPr>
        <w:t>文件》</w:t>
      </w:r>
      <w:r>
        <w:rPr>
          <w:rFonts w:hint="eastAsia" w:ascii="宋体" w:hAnsi="宋体" w:cs="宋体"/>
          <w:sz w:val="24"/>
          <w:lang w:val="en-US" w:eastAsia="zh-CN"/>
        </w:rPr>
        <w:t>和</w:t>
      </w:r>
      <w:r>
        <w:rPr>
          <w:rFonts w:hint="eastAsia" w:ascii="宋体" w:hAnsi="宋体" w:cs="宋体"/>
          <w:sz w:val="24"/>
        </w:rPr>
        <w:t>第二册《技术文件》</w:t>
      </w:r>
      <w:r>
        <w:rPr>
          <w:rFonts w:hint="eastAsia" w:ascii="宋体" w:hAnsi="宋体" w:cs="宋体"/>
          <w:sz w:val="24"/>
          <w:lang w:val="en-US" w:eastAsia="zh-CN"/>
        </w:rPr>
        <w:t>各一式两份</w:t>
      </w:r>
      <w:r>
        <w:rPr>
          <w:rFonts w:hint="eastAsia" w:ascii="宋体" w:hAnsi="宋体" w:cs="宋体"/>
          <w:sz w:val="24"/>
          <w:lang w:eastAsia="zh-CN"/>
        </w:rPr>
        <w:t>，</w:t>
      </w:r>
      <w:r>
        <w:rPr>
          <w:rFonts w:hint="eastAsia" w:ascii="宋体" w:hAnsi="宋体" w:cs="宋体"/>
          <w:sz w:val="24"/>
          <w:lang w:val="en-US" w:eastAsia="zh-CN"/>
        </w:rPr>
        <w:t>详见参选规定及说明，两册文件</w:t>
      </w:r>
      <w:r>
        <w:rPr>
          <w:rFonts w:hint="eastAsia" w:ascii="宋体" w:hAnsi="宋体"/>
          <w:sz w:val="24"/>
          <w:szCs w:val="24"/>
        </w:rPr>
        <w:t>封套的封口处均</w:t>
      </w:r>
      <w:r>
        <w:rPr>
          <w:rFonts w:hint="eastAsia" w:ascii="宋体" w:hAnsi="宋体"/>
          <w:sz w:val="24"/>
          <w:szCs w:val="24"/>
          <w:lang w:val="en-US" w:eastAsia="zh-CN"/>
        </w:rPr>
        <w:t>需</w:t>
      </w:r>
      <w:r>
        <w:rPr>
          <w:rFonts w:hint="eastAsia" w:ascii="宋体" w:hAnsi="宋体"/>
          <w:sz w:val="24"/>
          <w:szCs w:val="24"/>
        </w:rPr>
        <w:t>密封</w:t>
      </w:r>
      <w:r>
        <w:rPr>
          <w:rFonts w:hint="eastAsia" w:ascii="宋体" w:hAnsi="宋体"/>
          <w:sz w:val="24"/>
          <w:szCs w:val="24"/>
          <w:lang w:val="en-US" w:eastAsia="zh-CN"/>
        </w:rPr>
        <w:t>并加盖公章</w:t>
      </w:r>
      <w:r>
        <w:rPr>
          <w:rFonts w:hint="eastAsia" w:ascii="宋体" w:hAnsi="宋体" w:cs="宋体"/>
          <w:sz w:val="24"/>
        </w:rPr>
        <w:t>。</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hint="default" w:ascii="宋体" w:hAnsi="宋体" w:cs="宋体"/>
          <w:sz w:val="24"/>
          <w:lang w:val="en-US"/>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漳州市漳浦县杜浔镇杜昌路9号福海创办公大楼3楼煤炭及辅料团队</w:t>
      </w:r>
    </w:p>
    <w:p>
      <w:pPr>
        <w:spacing w:line="360" w:lineRule="exact"/>
        <w:jc w:val="left"/>
        <w:rPr>
          <w:rFonts w:hint="default" w:ascii="宋体" w:hAnsi="宋体" w:eastAsia="宋体"/>
          <w:b/>
          <w:bCs/>
          <w:sz w:val="36"/>
          <w:szCs w:val="36"/>
          <w:lang w:val="en-US" w:eastAsia="zh-CN"/>
        </w:rPr>
      </w:pPr>
      <w:r>
        <w:rPr>
          <w:rFonts w:hint="eastAsia" w:ascii="宋体" w:hAnsi="宋体" w:cs="宋体"/>
          <w:sz w:val="24"/>
        </w:rPr>
        <w:t>联系人：</w:t>
      </w:r>
      <w:r>
        <w:rPr>
          <w:rFonts w:hint="eastAsia" w:ascii="宋体" w:hAnsi="宋体" w:cs="宋体"/>
          <w:sz w:val="24"/>
          <w:lang w:val="en-US" w:eastAsia="zh-CN"/>
        </w:rPr>
        <w:t>郑萍</w:t>
      </w:r>
      <w:r>
        <w:rPr>
          <w:rFonts w:hint="eastAsia" w:ascii="宋体" w:hAnsi="宋体" w:cs="宋体"/>
          <w:sz w:val="24"/>
        </w:rPr>
        <w:t xml:space="preserve">  手机：</w:t>
      </w:r>
      <w:r>
        <w:rPr>
          <w:rFonts w:hint="eastAsia" w:ascii="宋体" w:hAnsi="宋体" w:cs="宋体"/>
          <w:sz w:val="24"/>
          <w:lang w:val="en-US" w:eastAsia="zh-CN"/>
        </w:rPr>
        <w:t>13015727080</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2024-FHC-高效脱硫剂-0603</w:t>
      </w:r>
      <w:r>
        <w:rPr>
          <w:rFonts w:hint="eastAsia" w:ascii="宋体" w:hAnsi="宋体"/>
          <w:sz w:val="24"/>
        </w:rPr>
        <w:t>），被我方正式授权并代表我公司递交下述文件，并对此负责。</w:t>
      </w:r>
    </w:p>
    <w:p>
      <w:pPr>
        <w:spacing w:line="500" w:lineRule="exact"/>
        <w:ind w:firstLine="480" w:firstLineChars="200"/>
        <w:rPr>
          <w:rFonts w:hint="eastAsia" w:ascii="宋体" w:hAnsi="宋体"/>
          <w:sz w:val="24"/>
          <w:highlight w:val="yellow"/>
        </w:rPr>
      </w:pPr>
      <w:r>
        <w:rPr>
          <w:rFonts w:hint="eastAsia" w:ascii="宋体" w:hAnsi="宋体"/>
          <w:sz w:val="24"/>
          <w:highlight w:val="yellow"/>
          <w:lang w:val="en-US" w:eastAsia="zh-CN"/>
        </w:rPr>
        <w:t>1、</w:t>
      </w:r>
      <w:r>
        <w:rPr>
          <w:rFonts w:hint="eastAsia" w:ascii="宋体" w:hAnsi="宋体"/>
          <w:sz w:val="24"/>
          <w:highlight w:val="yellow"/>
        </w:rPr>
        <w:t>第一册</w:t>
      </w:r>
      <w:r>
        <w:rPr>
          <w:rFonts w:hint="eastAsia" w:ascii="宋体" w:hAnsi="宋体"/>
          <w:sz w:val="24"/>
          <w:highlight w:val="yellow"/>
          <w:lang w:eastAsia="zh-CN"/>
        </w:rPr>
        <w:t>商务</w:t>
      </w:r>
      <w:r>
        <w:rPr>
          <w:rFonts w:hint="eastAsia" w:ascii="宋体" w:hAnsi="宋体"/>
          <w:sz w:val="24"/>
          <w:highlight w:val="yellow"/>
        </w:rPr>
        <w:t>文件包含以下内容：</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（1）比选公告</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（2）参选规定及说明</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（3）公开比选文件</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（4）参选书</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（5）法定代表人授权书</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（6）报价单</w:t>
      </w:r>
    </w:p>
    <w:p>
      <w:pPr>
        <w:spacing w:line="500" w:lineRule="exact"/>
        <w:ind w:firstLine="480" w:firstLineChars="200"/>
        <w:rPr>
          <w:rFonts w:hint="eastAsia" w:ascii="宋体" w:hAnsi="宋体"/>
          <w:sz w:val="24"/>
          <w:highlight w:val="yellow"/>
          <w:lang w:eastAsia="zh-CN"/>
        </w:rPr>
      </w:pPr>
      <w:r>
        <w:rPr>
          <w:rFonts w:hint="eastAsia" w:ascii="宋体" w:hAnsi="宋体"/>
          <w:sz w:val="24"/>
          <w:highlight w:val="yellow"/>
          <w:lang w:eastAsia="zh-CN"/>
        </w:rPr>
        <w:t>（</w:t>
      </w:r>
      <w:r>
        <w:rPr>
          <w:rFonts w:hint="eastAsia" w:ascii="宋体" w:hAnsi="宋体"/>
          <w:sz w:val="24"/>
          <w:highlight w:val="yellow"/>
          <w:lang w:val="en-US" w:eastAsia="zh-CN"/>
        </w:rPr>
        <w:t>7</w:t>
      </w:r>
      <w:r>
        <w:rPr>
          <w:rFonts w:hint="eastAsia" w:ascii="宋体" w:hAnsi="宋体"/>
          <w:sz w:val="24"/>
          <w:highlight w:val="yellow"/>
          <w:lang w:eastAsia="zh-CN"/>
        </w:rPr>
        <w:t>）</w:t>
      </w:r>
      <w:r>
        <w:rPr>
          <w:rFonts w:hint="eastAsia" w:ascii="宋体" w:hAnsi="宋体"/>
          <w:sz w:val="24"/>
          <w:highlight w:val="yellow"/>
          <w:lang w:val="en-US" w:eastAsia="zh-CN"/>
        </w:rPr>
        <w:t>技术要求</w:t>
      </w:r>
    </w:p>
    <w:p>
      <w:pPr>
        <w:spacing w:line="500" w:lineRule="exact"/>
        <w:ind w:firstLine="480" w:firstLineChars="200"/>
        <w:rPr>
          <w:rFonts w:hint="eastAsia" w:ascii="宋体" w:hAnsi="宋体"/>
          <w:sz w:val="24"/>
          <w:highlight w:val="yellow"/>
        </w:rPr>
      </w:pPr>
      <w:r>
        <w:rPr>
          <w:rFonts w:hint="eastAsia" w:ascii="宋体" w:hAnsi="宋体"/>
          <w:sz w:val="24"/>
          <w:highlight w:val="yellow"/>
          <w:lang w:val="en-US" w:eastAsia="zh-CN"/>
        </w:rPr>
        <w:t>2、</w:t>
      </w:r>
      <w:r>
        <w:rPr>
          <w:rFonts w:hint="eastAsia" w:ascii="宋体" w:hAnsi="宋体"/>
          <w:sz w:val="24"/>
          <w:highlight w:val="yellow"/>
        </w:rPr>
        <w:t>第二册技术文件包含以下内容：</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公司资质</w:t>
      </w:r>
      <w:r>
        <w:rPr>
          <w:rFonts w:hint="eastAsia" w:ascii="宋体" w:hAnsi="宋体"/>
          <w:sz w:val="24"/>
          <w:highlight w:val="yellow"/>
          <w:lang w:eastAsia="zh-CN"/>
        </w:rPr>
        <w:t>、</w:t>
      </w:r>
      <w:r>
        <w:rPr>
          <w:rFonts w:hint="eastAsia" w:ascii="宋体" w:hAnsi="宋体"/>
          <w:sz w:val="24"/>
          <w:highlight w:val="yellow"/>
        </w:rPr>
        <w:t>同类业绩</w:t>
      </w:r>
      <w:r>
        <w:rPr>
          <w:rFonts w:hint="eastAsia" w:ascii="宋体" w:hAnsi="宋体"/>
          <w:sz w:val="24"/>
          <w:highlight w:val="yellow"/>
          <w:lang w:val="en-US" w:eastAsia="zh-CN"/>
        </w:rPr>
        <w:t>资料</w:t>
      </w:r>
      <w:r>
        <w:rPr>
          <w:rFonts w:hint="eastAsia" w:ascii="宋体" w:hAnsi="宋体"/>
          <w:sz w:val="24"/>
          <w:highlight w:val="yellow"/>
          <w:lang w:eastAsia="zh-CN"/>
        </w:rPr>
        <w:t>、</w:t>
      </w:r>
      <w:r>
        <w:rPr>
          <w:rFonts w:hint="eastAsia" w:ascii="宋体" w:hAnsi="宋体"/>
          <w:sz w:val="24"/>
          <w:highlight w:val="yellow"/>
          <w:lang w:val="en-US" w:eastAsia="zh-CN"/>
        </w:rPr>
        <w:t>产品</w:t>
      </w:r>
      <w:r>
        <w:rPr>
          <w:rFonts w:hint="eastAsia" w:ascii="宋体" w:hAnsi="宋体"/>
          <w:sz w:val="24"/>
          <w:highlight w:val="yellow"/>
          <w:lang w:eastAsia="zh-CN"/>
        </w:rPr>
        <w:t>物化性质、</w:t>
      </w:r>
      <w:r>
        <w:rPr>
          <w:rFonts w:hint="eastAsia" w:ascii="宋体" w:hAnsi="宋体"/>
          <w:sz w:val="24"/>
          <w:highlight w:val="yellow"/>
          <w:lang w:val="en-US" w:eastAsia="zh-CN"/>
        </w:rPr>
        <w:t>产品性能保证、</w:t>
      </w:r>
      <w:r>
        <w:rPr>
          <w:rFonts w:hint="eastAsia" w:ascii="宋体" w:hAnsi="宋体"/>
          <w:sz w:val="24"/>
          <w:highlight w:val="yellow"/>
          <w:lang w:eastAsia="zh-CN"/>
        </w:rPr>
        <w:t>供货</w:t>
      </w:r>
      <w:r>
        <w:rPr>
          <w:rFonts w:hint="eastAsia" w:ascii="宋体" w:hAnsi="宋体"/>
          <w:sz w:val="24"/>
          <w:highlight w:val="yellow"/>
          <w:lang w:val="en-US" w:eastAsia="zh-CN"/>
        </w:rPr>
        <w:t>周</w:t>
      </w:r>
      <w:r>
        <w:rPr>
          <w:rFonts w:hint="eastAsia" w:ascii="宋体" w:hAnsi="宋体"/>
          <w:sz w:val="24"/>
          <w:highlight w:val="yellow"/>
          <w:lang w:eastAsia="zh-CN"/>
        </w:rPr>
        <w:t>期、加药方案、技术交流、现场技术服务、包装运输及回收</w:t>
      </w:r>
      <w:r>
        <w:rPr>
          <w:rFonts w:hint="eastAsia" w:ascii="宋体" w:hAnsi="宋体"/>
          <w:sz w:val="24"/>
          <w:highlight w:val="yellow"/>
          <w:lang w:val="en-US" w:eastAsia="zh-CN"/>
        </w:rPr>
        <w:t>等内容</w:t>
      </w:r>
      <w:r>
        <w:rPr>
          <w:rFonts w:hint="eastAsia" w:ascii="宋体" w:hAnsi="宋体"/>
          <w:sz w:val="24"/>
          <w:highlight w:val="yellow"/>
        </w:rPr>
        <w:t>。</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w:t>
      </w:r>
      <w:r>
        <w:rPr>
          <w:rFonts w:hint="eastAsia" w:ascii="宋体" w:hAnsi="宋体"/>
          <w:sz w:val="24"/>
        </w:rPr>
        <w:t>就本次报价（编号：</w:t>
      </w:r>
      <w:r>
        <w:rPr>
          <w:rFonts w:hint="eastAsia" w:asciiTheme="minorEastAsia" w:hAnsiTheme="minorEastAsia" w:eastAsiaTheme="minorEastAsia"/>
          <w:bCs/>
          <w:sz w:val="24"/>
          <w:u w:val="single"/>
          <w:lang w:eastAsia="zh-CN"/>
        </w:rPr>
        <w:t>2024-FHC-高效脱硫剂-0603</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2024-FHC-高效脱硫剂-0603</w:t>
      </w:r>
      <w:r>
        <w:rPr>
          <w:rFonts w:hint="eastAsia" w:ascii="宋体" w:hAnsi="宋体"/>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硫磺回收联合装置高效脱硫剂</w:t>
      </w:r>
      <w:r>
        <w:rPr>
          <w:rFonts w:hint="eastAsia" w:ascii="宋体" w:hAnsi="宋体"/>
          <w:color w:val="auto"/>
          <w:sz w:val="24"/>
        </w:rPr>
        <w:t>：</w:t>
      </w:r>
    </w:p>
    <w:p>
      <w:pPr>
        <w:numPr>
          <w:ilvl w:val="0"/>
          <w:numId w:val="0"/>
        </w:numPr>
        <w:spacing w:line="312" w:lineRule="auto"/>
        <w:rPr>
          <w:rFonts w:hint="eastAsia" w:ascii="宋体" w:cs="宋体"/>
          <w:sz w:val="24"/>
        </w:rPr>
      </w:pPr>
      <w:r>
        <w:rPr>
          <w:rFonts w:hint="eastAsia" w:ascii="宋体" w:hAnsi="宋体"/>
          <w:color w:val="auto"/>
          <w:sz w:val="24"/>
          <w:lang w:val="en-US" w:eastAsia="zh-CN"/>
        </w:rPr>
        <w:t>2、</w:t>
      </w:r>
      <w:r>
        <w:rPr>
          <w:rFonts w:hint="eastAsia" w:ascii="宋体" w:hAnsi="宋体"/>
          <w:color w:val="auto"/>
          <w:sz w:val="24"/>
        </w:rPr>
        <w:t>数量</w:t>
      </w:r>
      <w:r>
        <w:rPr>
          <w:rFonts w:hint="eastAsia" w:ascii="宋体" w:hAnsi="宋体"/>
          <w:sz w:val="24"/>
          <w:lang w:eastAsia="zh-CN"/>
        </w:rPr>
        <w:t>：</w:t>
      </w:r>
      <w:r>
        <w:rPr>
          <w:rFonts w:hint="eastAsia" w:ascii="宋体" w:hAnsi="宋体"/>
          <w:sz w:val="24"/>
          <w:lang w:val="en-US" w:eastAsia="zh-CN"/>
        </w:rPr>
        <w:t>156吨</w:t>
      </w:r>
      <w:r>
        <w:rPr>
          <w:rFonts w:hint="eastAsia" w:ascii="宋体" w:cs="宋体"/>
          <w:sz w:val="24"/>
        </w:rPr>
        <w:t>（数量为年预估量，以实际发生量为准）</w:t>
      </w:r>
    </w:p>
    <w:p>
      <w:pPr>
        <w:numPr>
          <w:ilvl w:val="0"/>
          <w:numId w:val="0"/>
        </w:numPr>
        <w:spacing w:line="312" w:lineRule="auto"/>
        <w:ind w:firstLine="240" w:firstLineChars="100"/>
        <w:rPr>
          <w:rFonts w:hint="eastAsia" w:ascii="宋体" w:hAnsi="宋体"/>
          <w:color w:val="auto"/>
          <w:sz w:val="24"/>
          <w:u w:val="none"/>
          <w:lang w:val="en-US" w:eastAsia="zh-CN"/>
        </w:rPr>
      </w:pPr>
      <w:r>
        <w:rPr>
          <w:rFonts w:hint="eastAsia" w:ascii="宋体" w:hAnsi="宋体"/>
          <w:sz w:val="24"/>
          <w:lang w:val="en-US" w:eastAsia="zh-CN"/>
        </w:rPr>
        <w:t>规格型号：</w:t>
      </w:r>
      <w:r>
        <w:rPr>
          <w:rFonts w:hint="eastAsia" w:ascii="宋体" w:hAnsi="宋体"/>
          <w:sz w:val="24"/>
          <w:u w:val="single"/>
          <w:lang w:val="en-US" w:eastAsia="zh-CN"/>
        </w:rPr>
        <w:t xml:space="preserve">详见需方技术要求    </w:t>
      </w:r>
      <w:r>
        <w:rPr>
          <w:rFonts w:hint="eastAsia" w:ascii="宋体" w:hAnsi="宋体"/>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pStyle w:val="23"/>
        <w:numPr>
          <w:ilvl w:val="0"/>
          <w:numId w:val="0"/>
        </w:numPr>
        <w:spacing w:line="360" w:lineRule="auto"/>
        <w:jc w:val="left"/>
        <w:rPr>
          <w:rFonts w:hint="eastAsia" w:ascii="宋体" w:hAnsi="宋体"/>
          <w:color w:val="auto"/>
          <w:sz w:val="24"/>
          <w:lang w:val="en-US" w:eastAsia="zh-CN"/>
        </w:rPr>
      </w:pPr>
      <w:r>
        <w:rPr>
          <w:rFonts w:hint="eastAsia" w:ascii="宋体" w:hAnsi="宋体"/>
          <w:color w:val="auto"/>
          <w:sz w:val="24"/>
          <w:lang w:val="en-US" w:eastAsia="zh-CN"/>
        </w:rPr>
        <w:t>4、质量保证：</w:t>
      </w:r>
    </w:p>
    <w:tbl>
      <w:tblPr>
        <w:tblStyle w:val="8"/>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797"/>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80" w:type="dxa"/>
            <w:tcBorders>
              <w:bottom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项   目</w:t>
            </w:r>
          </w:p>
        </w:tc>
        <w:tc>
          <w:tcPr>
            <w:tcW w:w="2797" w:type="dxa"/>
            <w:tcBorders>
              <w:bottom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质量指标</w:t>
            </w:r>
          </w:p>
        </w:tc>
        <w:tc>
          <w:tcPr>
            <w:tcW w:w="2143" w:type="dxa"/>
            <w:tcBorders>
              <w:bottom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88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外   观</w:t>
            </w:r>
          </w:p>
        </w:tc>
        <w:tc>
          <w:tcPr>
            <w:tcW w:w="27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无色至浅黄色清澈透明液体</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8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运动粘度（20</w:t>
            </w:r>
            <w:r>
              <w:rPr>
                <w:rFonts w:hint="eastAsia" w:ascii="宋体" w:hAnsi="宋体" w:eastAsia="宋体" w:cs="宋体"/>
                <w:color w:val="000000"/>
                <w:szCs w:val="21"/>
              </w:rPr>
              <w:t>℃</w:t>
            </w:r>
            <w:r>
              <w:rPr>
                <w:rFonts w:ascii="Times New Roman" w:hAnsi="Times New Roman" w:eastAsia="宋体" w:cs="Times New Roman"/>
                <w:color w:val="000000"/>
                <w:szCs w:val="21"/>
              </w:rPr>
              <w:t>），m</w:t>
            </w:r>
            <w:r>
              <w:rPr>
                <w:rFonts w:ascii="Times New Roman" w:hAnsi="Times New Roman" w:eastAsia="宋体" w:cs="Times New Roman"/>
                <w:color w:val="000000"/>
                <w:szCs w:val="21"/>
                <w:vertAlign w:val="superscript"/>
              </w:rPr>
              <w:t>2</w:t>
            </w:r>
            <w:r>
              <w:rPr>
                <w:rFonts w:ascii="Times New Roman" w:hAnsi="Times New Roman" w:eastAsia="宋体" w:cs="Times New Roman"/>
                <w:color w:val="000000"/>
                <w:szCs w:val="21"/>
              </w:rPr>
              <w:t>/s</w:t>
            </w:r>
          </w:p>
        </w:tc>
        <w:tc>
          <w:tcPr>
            <w:tcW w:w="2797"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w:t>
            </w:r>
            <w:r>
              <w:rPr>
                <w:rFonts w:ascii="Times New Roman" w:hAnsi="Times New Roman" w:eastAsia="宋体" w:cs="Times New Roman"/>
                <w:color w:val="000000"/>
                <w:szCs w:val="21"/>
              </w:rPr>
              <w:t>0~110</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8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密度（20</w:t>
            </w:r>
            <w:r>
              <w:rPr>
                <w:rFonts w:hint="eastAsia" w:ascii="宋体" w:hAnsi="宋体" w:eastAsia="宋体" w:cs="宋体"/>
                <w:color w:val="000000"/>
                <w:szCs w:val="21"/>
              </w:rPr>
              <w:t>℃</w:t>
            </w:r>
            <w:r>
              <w:rPr>
                <w:rFonts w:ascii="Times New Roman" w:hAnsi="Times New Roman" w:eastAsia="宋体" w:cs="Times New Roman"/>
                <w:color w:val="000000"/>
                <w:szCs w:val="21"/>
              </w:rPr>
              <w:t>），kg/cm</w:t>
            </w:r>
            <w:r>
              <w:rPr>
                <w:rFonts w:ascii="Times New Roman" w:hAnsi="Times New Roman" w:eastAsia="宋体" w:cs="Times New Roman"/>
                <w:color w:val="000000"/>
                <w:szCs w:val="21"/>
                <w:vertAlign w:val="superscript"/>
              </w:rPr>
              <w:t>3</w:t>
            </w:r>
          </w:p>
        </w:tc>
        <w:tc>
          <w:tcPr>
            <w:tcW w:w="27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w:t>
            </w: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0~1.065</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GB/T4472-1984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88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有效组分含量（MDEA）</w:t>
            </w:r>
            <w:r>
              <w:rPr>
                <w:rFonts w:hint="eastAsia" w:ascii="Times New Roman" w:hAnsi="Times New Roman" w:eastAsia="宋体" w:cs="Times New Roman"/>
                <w:color w:val="000000"/>
                <w:szCs w:val="21"/>
              </w:rPr>
              <w:t>，</w:t>
            </w:r>
            <w:r>
              <w:rPr>
                <w:rFonts w:hint="eastAsia" w:ascii="Times New Roman" w:hAnsi="Times New Roman" w:eastAsia="宋体"/>
                <w:bCs/>
                <w:spacing w:val="4"/>
              </w:rPr>
              <w:t>wt%</w:t>
            </w:r>
            <w:r>
              <w:rPr>
                <w:rFonts w:ascii="Times New Roman" w:hAnsi="Times New Roman" w:eastAsia="宋体" w:cs="Times New Roman"/>
                <w:color w:val="000000"/>
                <w:szCs w:val="21"/>
              </w:rPr>
              <w:t xml:space="preserve"> </w:t>
            </w:r>
          </w:p>
        </w:tc>
        <w:tc>
          <w:tcPr>
            <w:tcW w:w="27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≥97</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GH/T 31589-2015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8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凝固点</w:t>
            </w:r>
            <w:r>
              <w:rPr>
                <w:rFonts w:hint="eastAsia" w:ascii="Times New Roman" w:hAnsi="Times New Roman" w:eastAsia="宋体" w:cs="Times New Roman"/>
                <w:color w:val="000000"/>
                <w:szCs w:val="21"/>
              </w:rPr>
              <w:t>，</w:t>
            </w:r>
            <w:r>
              <w:rPr>
                <w:rFonts w:hint="eastAsia" w:ascii="宋体" w:hAnsi="宋体" w:eastAsia="宋体" w:cs="宋体"/>
                <w:color w:val="000000"/>
                <w:szCs w:val="21"/>
              </w:rPr>
              <w:t>℃</w:t>
            </w:r>
          </w:p>
        </w:tc>
        <w:tc>
          <w:tcPr>
            <w:tcW w:w="27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≤-45</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880" w:type="dxa"/>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溶解性</w:t>
            </w:r>
          </w:p>
        </w:tc>
        <w:tc>
          <w:tcPr>
            <w:tcW w:w="2797" w:type="dxa"/>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与水互溶</w:t>
            </w:r>
          </w:p>
        </w:tc>
        <w:tc>
          <w:tcPr>
            <w:tcW w:w="2143" w:type="dxa"/>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 6324.1</w:t>
            </w:r>
          </w:p>
        </w:tc>
      </w:tr>
    </w:tbl>
    <w:p>
      <w:pPr>
        <w:numPr>
          <w:ilvl w:val="0"/>
          <w:numId w:val="0"/>
        </w:numPr>
        <w:spacing w:line="360" w:lineRule="exact"/>
        <w:jc w:val="left"/>
        <w:rPr>
          <w:rFonts w:hint="eastAsia" w:ascii="宋体" w:hAnsi="宋体" w:cs="宋体"/>
          <w:sz w:val="24"/>
          <w:lang w:val="en-US" w:eastAsia="zh-CN"/>
        </w:rPr>
      </w:pPr>
      <w:r>
        <w:rPr>
          <w:rFonts w:hint="eastAsia" w:ascii="宋体" w:hAnsi="宋体"/>
          <w:color w:val="auto"/>
          <w:sz w:val="24"/>
          <w:lang w:val="en-US" w:eastAsia="zh-CN"/>
        </w:rPr>
        <w:t>5、</w:t>
      </w:r>
      <w:r>
        <w:rPr>
          <w:rFonts w:hint="eastAsia" w:ascii="宋体" w:hAnsi="宋体" w:cs="宋体"/>
          <w:sz w:val="24"/>
          <w:lang w:val="en-US" w:eastAsia="zh-CN"/>
        </w:rPr>
        <w:t>性能保证:</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 xml:space="preserve">    在需方装置运行稳定，操作正常，满足技术要求第5.3条款工艺操作条件的情况下，使用供方提供的高效脱硫剂产品，保证：</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（1）溶剂再生单元</w:t>
      </w:r>
      <w:r>
        <w:rPr>
          <w:rFonts w:ascii="Times New Roman" w:hAnsi="Times New Roman" w:eastAsia="宋体" w:cs="Times New Roman"/>
          <w:sz w:val="24"/>
          <w:szCs w:val="24"/>
        </w:rPr>
        <w:t>贫液中的</w:t>
      </w:r>
      <w:r>
        <w:rPr>
          <w:rFonts w:hint="eastAsia" w:ascii="Times New Roman" w:hAnsi="Times New Roman" w:eastAsia="宋体" w:cs="Times New Roman"/>
          <w:sz w:val="24"/>
          <w:szCs w:val="24"/>
        </w:rPr>
        <w:t>H</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S</w:t>
      </w:r>
      <w:r>
        <w:rPr>
          <w:rFonts w:ascii="Times New Roman" w:hAnsi="Times New Roman" w:eastAsia="宋体" w:cs="Times New Roman"/>
          <w:sz w:val="24"/>
          <w:szCs w:val="24"/>
        </w:rPr>
        <w:t>≤1g/L，</w:t>
      </w:r>
      <w:r>
        <w:rPr>
          <w:rFonts w:hint="eastAsia" w:ascii="Times New Roman" w:hAnsi="Times New Roman" w:eastAsia="宋体" w:cs="Times New Roman"/>
          <w:sz w:val="24"/>
          <w:szCs w:val="24"/>
        </w:rPr>
        <w:t>硫磺回收单元</w:t>
      </w:r>
      <w:r>
        <w:rPr>
          <w:rFonts w:ascii="Times New Roman" w:hAnsi="Times New Roman" w:eastAsia="宋体" w:cs="Times New Roman"/>
          <w:sz w:val="24"/>
          <w:szCs w:val="24"/>
        </w:rPr>
        <w:t>贫液中</w:t>
      </w:r>
      <w:r>
        <w:rPr>
          <w:rFonts w:hint="eastAsia" w:ascii="Times New Roman" w:hAnsi="Times New Roman" w:eastAsia="宋体" w:cs="Times New Roman"/>
          <w:sz w:val="24"/>
          <w:szCs w:val="24"/>
        </w:rPr>
        <w:t>的H</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S≤0.5g/</w:t>
      </w:r>
      <w:r>
        <w:rPr>
          <w:rFonts w:ascii="Times New Roman" w:hAnsi="Times New Roman" w:eastAsia="宋体" w:cs="Times New Roman"/>
          <w:sz w:val="24"/>
          <w:szCs w:val="24"/>
        </w:rPr>
        <w:t>L。</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塔底0.45MPa蒸汽消耗≤15wt%</w:t>
      </w:r>
      <w:r>
        <w:rPr>
          <w:rFonts w:hint="eastAsia" w:ascii="Times New Roman" w:hAnsi="Times New Roman" w:eastAsia="宋体" w:cs="Times New Roman"/>
          <w:sz w:val="24"/>
          <w:szCs w:val="24"/>
        </w:rPr>
        <w:t>富胺液</w:t>
      </w:r>
      <w:r>
        <w:rPr>
          <w:rFonts w:ascii="Times New Roman" w:hAnsi="Times New Roman" w:eastAsia="宋体" w:cs="Times New Roman"/>
          <w:sz w:val="24"/>
          <w:szCs w:val="24"/>
        </w:rPr>
        <w:t>进塔</w:t>
      </w:r>
      <w:r>
        <w:rPr>
          <w:rFonts w:hint="eastAsia" w:ascii="Times New Roman" w:hAnsi="Times New Roman" w:eastAsia="宋体" w:cs="Times New Roman"/>
          <w:sz w:val="24"/>
          <w:szCs w:val="24"/>
        </w:rPr>
        <w:t>量。</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）溶剂</w:t>
      </w:r>
      <w:r>
        <w:rPr>
          <w:rFonts w:ascii="Times New Roman" w:hAnsi="Times New Roman" w:eastAsia="宋体" w:cs="Times New Roman"/>
          <w:sz w:val="24"/>
          <w:szCs w:val="24"/>
        </w:rPr>
        <w:t>泡沫高度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10cm，泡沫消失时间</w:t>
      </w:r>
      <w:r>
        <w:rPr>
          <w:rFonts w:hint="eastAsia" w:ascii="Times New Roman" w:hAnsi="Times New Roman" w:eastAsia="宋体" w:cs="Times New Roman"/>
          <w:sz w:val="24"/>
          <w:szCs w:val="24"/>
        </w:rPr>
        <w:t>≯</w:t>
      </w:r>
      <w:r>
        <w:rPr>
          <w:rFonts w:ascii="Times New Roman" w:hAnsi="Times New Roman" w:eastAsia="宋体" w:cs="Times New Roman"/>
          <w:sz w:val="24"/>
          <w:szCs w:val="24"/>
        </w:rPr>
        <w:t>10s。</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溶剂</w:t>
      </w:r>
      <w:r>
        <w:rPr>
          <w:rFonts w:hint="eastAsia" w:ascii="Times New Roman" w:hAnsi="Times New Roman" w:eastAsia="宋体" w:cs="Times New Roman"/>
          <w:sz w:val="24"/>
          <w:szCs w:val="24"/>
        </w:rPr>
        <w:t>损</w:t>
      </w:r>
      <w:r>
        <w:rPr>
          <w:rFonts w:ascii="Times New Roman" w:hAnsi="Times New Roman" w:eastAsia="宋体" w:cs="Times New Roman"/>
          <w:sz w:val="24"/>
          <w:szCs w:val="24"/>
        </w:rPr>
        <w:t>耗量≤0.2kg/t原料（液化气或干气）。</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加氢干气脱后硫化氢含量≤70mg/N</w:t>
      </w:r>
      <w:r>
        <w:rPr>
          <w:rFonts w:hint="eastAsia" w:ascii="Times New Roman" w:hAnsi="Times New Roman" w:eastAsia="宋体" w:cs="Times New Roman"/>
          <w:sz w:val="24"/>
          <w:szCs w:val="24"/>
        </w:rPr>
        <w:t>m³</w:t>
      </w:r>
      <w:r>
        <w:rPr>
          <w:rFonts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有机硫脱除率≥30%，无机硫脱除率≥99</w:t>
      </w: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7</w:t>
      </w:r>
      <w:r>
        <w:rPr>
          <w:rFonts w:hint="eastAsia" w:ascii="Times New Roman" w:hAnsi="Times New Roman" w:eastAsia="宋体" w:cs="Times New Roman"/>
          <w:sz w:val="24"/>
          <w:szCs w:val="24"/>
        </w:rPr>
        <w:t>）</w:t>
      </w:r>
      <w:r>
        <w:rPr>
          <w:rFonts w:ascii="Times New Roman" w:hAnsi="Times New Roman" w:eastAsia="宋体" w:cs="Times New Roman"/>
          <w:sz w:val="24"/>
          <w:szCs w:val="24"/>
        </w:rPr>
        <w:t>对设备</w:t>
      </w:r>
      <w:r>
        <w:rPr>
          <w:rFonts w:hint="eastAsia" w:ascii="Times New Roman" w:hAnsi="Times New Roman" w:eastAsia="宋体" w:cs="Times New Roman"/>
          <w:sz w:val="24"/>
          <w:szCs w:val="24"/>
        </w:rPr>
        <w:t>及管线</w:t>
      </w:r>
      <w:r>
        <w:rPr>
          <w:rFonts w:ascii="Times New Roman" w:hAnsi="Times New Roman" w:eastAsia="宋体" w:cs="Times New Roman"/>
          <w:sz w:val="24"/>
          <w:szCs w:val="24"/>
        </w:rPr>
        <w:t>无不良影响。</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8</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不会对</w:t>
      </w:r>
      <w:r>
        <w:rPr>
          <w:rFonts w:hint="eastAsia" w:ascii="Times New Roman" w:hAnsi="Times New Roman" w:eastAsia="宋体" w:cs="Times New Roman"/>
          <w:sz w:val="24"/>
          <w:szCs w:val="24"/>
        </w:rPr>
        <w:t>上游</w:t>
      </w:r>
      <w:r>
        <w:rPr>
          <w:rFonts w:ascii="Times New Roman" w:hAnsi="Times New Roman" w:eastAsia="宋体" w:cs="Times New Roman"/>
          <w:sz w:val="24"/>
          <w:szCs w:val="24"/>
        </w:rPr>
        <w:t>产品</w:t>
      </w:r>
      <w:r>
        <w:rPr>
          <w:rFonts w:hint="eastAsia" w:ascii="Times New Roman" w:hAnsi="Times New Roman" w:eastAsia="宋体" w:cs="Times New Roman"/>
          <w:sz w:val="24"/>
          <w:szCs w:val="24"/>
        </w:rPr>
        <w:t>及系统内现有的</w:t>
      </w:r>
      <w:r>
        <w:rPr>
          <w:rFonts w:ascii="Times New Roman" w:hAnsi="Times New Roman" w:eastAsia="宋体" w:cs="Times New Roman"/>
          <w:sz w:val="24"/>
          <w:szCs w:val="24"/>
        </w:rPr>
        <w:t>脱硫剂产生不良影响。</w:t>
      </w:r>
    </w:p>
    <w:p>
      <w:pPr>
        <w:numPr>
          <w:ilvl w:val="0"/>
          <w:numId w:val="0"/>
        </w:numPr>
        <w:spacing w:line="312" w:lineRule="auto"/>
        <w:rPr>
          <w:rFonts w:ascii="宋体" w:hAnsi="宋体"/>
          <w:color w:val="auto"/>
          <w:sz w:val="24"/>
        </w:rPr>
      </w:pPr>
      <w:r>
        <w:rPr>
          <w:rFonts w:hint="eastAsia" w:ascii="宋体" w:hAnsi="宋体"/>
          <w:color w:val="auto"/>
          <w:sz w:val="24"/>
          <w:lang w:val="en-US" w:eastAsia="zh-CN"/>
        </w:rPr>
        <w:t>6、质量验收标准：详见附件需方技术要求。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壹拾万元</w:t>
      </w:r>
      <w:r>
        <w:rPr>
          <w:rFonts w:hint="eastAsia" w:ascii="宋体" w:hAnsi="宋体"/>
          <w:sz w:val="24"/>
        </w:rPr>
        <w:t>整，若我司中选，我司同意按照要求</w:t>
      </w:r>
      <w:r>
        <w:rPr>
          <w:rFonts w:hint="eastAsia" w:ascii="宋体" w:hAnsi="宋体"/>
          <w:sz w:val="24"/>
          <w:lang w:val="en-US" w:eastAsia="zh-CN"/>
        </w:rPr>
        <w:t>转为履约保证金并作为合同质保金</w:t>
      </w:r>
      <w:r>
        <w:rPr>
          <w:rFonts w:hint="eastAsia" w:ascii="宋体" w:hAnsi="宋体"/>
          <w:color w:val="auto"/>
          <w:sz w:val="24"/>
          <w:highlight w:val="none"/>
          <w:lang w:val="en-US" w:eastAsia="zh-CN"/>
        </w:rPr>
        <w:t>待履约届满后且无质量问题一年后申请无息返还</w:t>
      </w:r>
      <w:r>
        <w:rPr>
          <w:rFonts w:hint="eastAsia" w:ascii="宋体" w:hAnsi="宋体"/>
          <w:color w:val="auto"/>
          <w:sz w:val="24"/>
          <w:highlight w:val="none"/>
        </w:rPr>
        <w:t>。</w:t>
      </w:r>
    </w:p>
    <w:p>
      <w:pPr>
        <w:spacing w:line="360" w:lineRule="exact"/>
        <w:jc w:val="left"/>
        <w:rPr>
          <w:rFonts w:hint="eastAsia" w:cs="Times New Roman"/>
          <w:sz w:val="24"/>
          <w:szCs w:val="24"/>
          <w:lang w:val="en-US" w:eastAsia="zh-CN"/>
        </w:rPr>
      </w:pPr>
      <w:r>
        <w:rPr>
          <w:rFonts w:hint="eastAsia" w:ascii="宋体" w:hAnsi="宋体"/>
          <w:sz w:val="24"/>
        </w:rPr>
        <w:t>二、到货期：</w:t>
      </w:r>
      <w:r>
        <w:rPr>
          <w:rFonts w:ascii="Times New Roman" w:hAnsi="Times New Roman" w:eastAsia="宋体" w:cs="Times New Roman"/>
          <w:sz w:val="24"/>
          <w:szCs w:val="24"/>
        </w:rPr>
        <w:t>分批送货（约3</w:t>
      </w:r>
      <w:r>
        <w:rPr>
          <w:rFonts w:hint="eastAsia" w:ascii="Times New Roman" w:hAnsi="Times New Roman" w:eastAsia="宋体" w:cs="Times New Roman"/>
          <w:sz w:val="24"/>
          <w:szCs w:val="24"/>
        </w:rPr>
        <w:t>个</w:t>
      </w:r>
      <w:r>
        <w:rPr>
          <w:rFonts w:ascii="Times New Roman" w:hAnsi="Times New Roman" w:eastAsia="宋体" w:cs="Times New Roman"/>
          <w:sz w:val="24"/>
          <w:szCs w:val="24"/>
        </w:rPr>
        <w:t>月送一次）</w:t>
      </w:r>
      <w:r>
        <w:rPr>
          <w:rFonts w:hint="eastAsia" w:cs="Times New Roman"/>
          <w:sz w:val="24"/>
          <w:szCs w:val="24"/>
          <w:lang w:eastAsia="zh-CN"/>
        </w:rPr>
        <w:t>，</w:t>
      </w:r>
      <w:r>
        <w:rPr>
          <w:rFonts w:hint="eastAsia" w:cs="Times New Roman"/>
          <w:sz w:val="24"/>
          <w:szCs w:val="24"/>
          <w:lang w:val="en-US" w:eastAsia="zh-CN"/>
        </w:rPr>
        <w:t>首批计划到货30吨。供方应于2024年10月份前具备供货条件，具体供货时间待需方通知，供方接到需方通知后需1周内发货。</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spacing w:line="360" w:lineRule="auto"/>
        <w:jc w:val="left"/>
        <w:rPr>
          <w:rFonts w:hint="eastAsia" w:ascii="宋体" w:hAnsi="宋体"/>
          <w:sz w:val="24"/>
          <w:lang w:val="en-US" w:eastAsia="zh-CN"/>
        </w:rPr>
      </w:pPr>
      <w:r>
        <w:rPr>
          <w:rFonts w:hint="eastAsia" w:ascii="宋体" w:hAnsi="宋体"/>
          <w:sz w:val="24"/>
        </w:rPr>
        <w:t>1、</w:t>
      </w:r>
      <w:r>
        <w:rPr>
          <w:rFonts w:hint="eastAsia" w:ascii="宋体" w:hAnsi="宋体"/>
          <w:sz w:val="24"/>
          <w:lang w:val="en-US" w:eastAsia="zh-CN"/>
        </w:rPr>
        <w:t>付款方式：现汇支付，分批到货、分批付款。每批产品到货后经需方验收合格后付款。</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五、执行时间：产品供货期为2024年7月1日至2025年12月31日。</w:t>
      </w:r>
    </w:p>
    <w:p>
      <w:pPr>
        <w:pStyle w:val="2"/>
        <w:rPr>
          <w:rFonts w:hint="eastAsia"/>
        </w:rPr>
      </w:pPr>
    </w:p>
    <w:p>
      <w:pPr>
        <w:pStyle w:val="2"/>
        <w:rPr>
          <w:rFonts w:hint="eastAsia"/>
        </w:rPr>
      </w:pPr>
    </w:p>
    <w:p>
      <w:pPr>
        <w:numPr>
          <w:ilvl w:val="0"/>
          <w:numId w:val="0"/>
        </w:numPr>
        <w:spacing w:line="312" w:lineRule="auto"/>
        <w:rPr>
          <w:rFonts w:hint="eastAsia" w:ascii="宋体" w:hAnsi="宋体"/>
          <w:sz w:val="24"/>
          <w:lang w:val="en-US" w:eastAsia="zh-CN"/>
        </w:rPr>
      </w:pPr>
    </w:p>
    <w:p>
      <w:pPr>
        <w:numPr>
          <w:ilvl w:val="0"/>
          <w:numId w:val="0"/>
        </w:numPr>
        <w:spacing w:line="312" w:lineRule="auto"/>
        <w:rPr>
          <w:rFonts w:hint="eastAsia" w:ascii="宋体" w:hAnsi="宋体" w:eastAsia="宋体"/>
          <w:sz w:val="24"/>
          <w:lang w:val="en-US" w:eastAsia="zh-CN"/>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hint="eastAsia" w:ascii="宋体" w:hAnsi="宋体"/>
          <w:sz w:val="28"/>
          <w:szCs w:val="28"/>
          <w:lang w:eastAsia="zh-CN"/>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2024-FHC-高效脱硫剂-0603</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lang w:eastAsia="zh-CN"/>
        </w:rPr>
        <w:t>：</w:t>
      </w:r>
      <w:r>
        <w:rPr>
          <w:rFonts w:hint="eastAsia" w:ascii="宋体" w:hAnsi="宋体"/>
          <w:sz w:val="28"/>
          <w:szCs w:val="28"/>
          <w:u w:val="single"/>
        </w:rPr>
        <w:t>详见</w:t>
      </w:r>
      <w:bookmarkEnd w:id="1"/>
      <w:r>
        <w:rPr>
          <w:rFonts w:hint="eastAsia" w:ascii="宋体" w:hAnsi="宋体"/>
          <w:sz w:val="28"/>
          <w:szCs w:val="28"/>
          <w:u w:val="single"/>
          <w:lang w:val="en-US" w:eastAsia="zh-CN"/>
        </w:rPr>
        <w:t>附件技术要求</w:t>
      </w:r>
      <w:r>
        <w:rPr>
          <w:rFonts w:hint="eastAsia" w:ascii="宋体" w:hAnsi="宋体"/>
          <w:sz w:val="28"/>
          <w:szCs w:val="28"/>
        </w:rPr>
        <w:t>；</w:t>
      </w:r>
      <w:r>
        <w:rPr>
          <w:rFonts w:hint="eastAsia" w:ascii="宋体" w:hAnsi="宋体" w:eastAsia="宋体" w:cs="Times New Roman"/>
          <w:sz w:val="28"/>
          <w:szCs w:val="28"/>
          <w:u w:val="none"/>
        </w:rPr>
        <w:t>含税单价：</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none"/>
        </w:rPr>
        <w:t>元/</w:t>
      </w:r>
      <w:r>
        <w:rPr>
          <w:rFonts w:hint="eastAsia" w:ascii="宋体" w:hAnsi="宋体" w:eastAsia="宋体" w:cs="Times New Roman"/>
          <w:sz w:val="28"/>
          <w:szCs w:val="28"/>
          <w:u w:val="none"/>
          <w:lang w:val="en-US" w:eastAsia="zh-CN"/>
        </w:rPr>
        <w:t>吨</w:t>
      </w:r>
      <w:r>
        <w:rPr>
          <w:rFonts w:hint="eastAsia" w:ascii="宋体" w:hAnsi="宋体" w:eastAsia="宋体" w:cs="Times New Roman"/>
          <w:sz w:val="28"/>
          <w:szCs w:val="28"/>
          <w:u w:val="none"/>
        </w:rPr>
        <w:t>，含税总价</w:t>
      </w:r>
      <w:r>
        <w:rPr>
          <w:rFonts w:hint="eastAsia" w:ascii="宋体" w:hAnsi="宋体" w:eastAsia="宋体" w:cs="Times New Roman"/>
          <w:sz w:val="28"/>
          <w:szCs w:val="28"/>
          <w:u w:val="none"/>
          <w:lang w:eastAsia="zh-CN"/>
        </w:rPr>
        <w:t>：</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none"/>
        </w:rPr>
        <w:t>元，</w:t>
      </w:r>
      <w:r>
        <w:rPr>
          <w:rFonts w:hint="eastAsia" w:ascii="宋体" w:hAnsi="宋体"/>
          <w:sz w:val="28"/>
          <w:szCs w:val="28"/>
        </w:rPr>
        <w:t>以汽运方式送到</w:t>
      </w:r>
      <w:r>
        <w:rPr>
          <w:rFonts w:hint="eastAsia" w:ascii="宋体" w:hAnsi="宋体"/>
          <w:sz w:val="28"/>
          <w:szCs w:val="28"/>
          <w:lang w:val="en-US" w:eastAsia="zh-CN"/>
        </w:rPr>
        <w:t>腾龙芳烃（漳州）</w:t>
      </w:r>
      <w:r>
        <w:rPr>
          <w:rFonts w:hint="eastAsia" w:ascii="宋体" w:hAnsi="宋体"/>
          <w:sz w:val="28"/>
          <w:szCs w:val="28"/>
        </w:rPr>
        <w:t>有限公司（详见我公司  年  月  日报价单）</w:t>
      </w:r>
      <w:r>
        <w:rPr>
          <w:rFonts w:hint="eastAsia" w:ascii="宋体" w:hAnsi="宋体"/>
          <w:sz w:val="28"/>
          <w:szCs w:val="28"/>
          <w:lang w:eastAsia="zh-CN"/>
        </w:rPr>
        <w:t>。</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lang w:eastAsia="zh-CN"/>
        </w:rPr>
        <w:t>：</w:t>
      </w:r>
      <w:r>
        <w:rPr>
          <w:rFonts w:hint="eastAsia" w:ascii="宋体" w:hAnsi="宋体"/>
          <w:sz w:val="28"/>
          <w:szCs w:val="28"/>
          <w:u w:val="single"/>
        </w:rPr>
        <w:t>详见</w:t>
      </w:r>
      <w:r>
        <w:rPr>
          <w:rFonts w:hint="eastAsia" w:ascii="宋体" w:hAnsi="宋体"/>
          <w:sz w:val="28"/>
          <w:szCs w:val="28"/>
          <w:u w:val="single"/>
          <w:lang w:val="en-US" w:eastAsia="zh-CN"/>
        </w:rPr>
        <w:t>附件技术要求</w:t>
      </w:r>
      <w:r>
        <w:rPr>
          <w:rFonts w:hint="eastAsia" w:ascii="宋体" w:hAnsi="宋体"/>
          <w:sz w:val="28"/>
          <w:szCs w:val="28"/>
        </w:rPr>
        <w:t>；</w:t>
      </w:r>
      <w:r>
        <w:rPr>
          <w:rFonts w:hint="eastAsia" w:ascii="宋体" w:hAnsi="宋体" w:eastAsia="宋体" w:cs="Times New Roman"/>
          <w:sz w:val="28"/>
          <w:szCs w:val="28"/>
          <w:u w:val="none"/>
        </w:rPr>
        <w:t>含税单价：</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none"/>
        </w:rPr>
        <w:t>元/</w:t>
      </w:r>
      <w:r>
        <w:rPr>
          <w:rFonts w:hint="eastAsia" w:ascii="宋体" w:hAnsi="宋体" w:eastAsia="宋体" w:cs="Times New Roman"/>
          <w:sz w:val="28"/>
          <w:szCs w:val="28"/>
          <w:u w:val="none"/>
          <w:lang w:val="en-US" w:eastAsia="zh-CN"/>
        </w:rPr>
        <w:t>吨</w:t>
      </w:r>
      <w:r>
        <w:rPr>
          <w:rFonts w:hint="eastAsia" w:ascii="宋体" w:hAnsi="宋体" w:eastAsia="宋体" w:cs="Times New Roman"/>
          <w:sz w:val="28"/>
          <w:szCs w:val="28"/>
          <w:u w:val="none"/>
        </w:rPr>
        <w:t>，含税总价</w:t>
      </w:r>
      <w:r>
        <w:rPr>
          <w:rFonts w:hint="eastAsia" w:ascii="宋体" w:hAnsi="宋体" w:eastAsia="宋体" w:cs="Times New Roman"/>
          <w:sz w:val="28"/>
          <w:szCs w:val="28"/>
          <w:u w:val="none"/>
          <w:lang w:eastAsia="zh-CN"/>
        </w:rPr>
        <w:t>：</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none"/>
        </w:rPr>
        <w:t>元，</w:t>
      </w:r>
      <w:r>
        <w:rPr>
          <w:rFonts w:hint="eastAsia" w:ascii="宋体" w:hAnsi="宋体"/>
          <w:sz w:val="28"/>
          <w:szCs w:val="28"/>
        </w:rPr>
        <w:t>以汽运方式送到</w:t>
      </w:r>
      <w:r>
        <w:rPr>
          <w:rFonts w:hint="eastAsia" w:ascii="宋体" w:hAnsi="宋体"/>
          <w:sz w:val="28"/>
          <w:szCs w:val="28"/>
          <w:lang w:val="en-US" w:eastAsia="zh-CN"/>
        </w:rPr>
        <w:t>腾龙芳烃（漳州）</w:t>
      </w:r>
      <w:r>
        <w:rPr>
          <w:rFonts w:hint="eastAsia" w:ascii="宋体" w:hAnsi="宋体"/>
          <w:sz w:val="28"/>
          <w:szCs w:val="28"/>
        </w:rPr>
        <w:t>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b/>
          <w:szCs w:val="21"/>
          <w:lang w:val="en-US" w:eastAsia="zh-CN"/>
        </w:rPr>
      </w:pPr>
      <w:r>
        <w:rPr>
          <w:rFonts w:hint="eastAsia" w:ascii="宋体" w:hAnsi="宋体"/>
          <w:b/>
          <w:szCs w:val="21"/>
          <w:lang w:val="en-US" w:eastAsia="zh-CN"/>
        </w:rPr>
        <w:t xml:space="preserve">                                </w:t>
      </w:r>
    </w:p>
    <w:p>
      <w:pPr>
        <w:spacing w:line="280" w:lineRule="exact"/>
        <w:ind w:firstLine="3373" w:firstLineChars="1600"/>
        <w:rPr>
          <w:rFonts w:hint="eastAsia" w:ascii="宋体" w:hAnsi="宋体" w:eastAsia="宋体"/>
          <w:b/>
          <w:szCs w:val="21"/>
          <w:lang w:val="en-US" w:eastAsia="zh-CN"/>
        </w:rPr>
      </w:pPr>
      <w:r>
        <w:rPr>
          <w:rFonts w:hint="eastAsia" w:ascii="宋体" w:hAnsi="宋体"/>
          <w:b/>
          <w:szCs w:val="21"/>
          <w:lang w:val="en-US" w:eastAsia="zh-CN"/>
        </w:rPr>
        <w:t>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6</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w:t>
      </w:r>
      <w:r>
        <w:rPr>
          <w:rFonts w:hint="eastAsia" w:ascii="宋体" w:hAnsi="宋体" w:cs="宋体"/>
          <w:b/>
          <w:kern w:val="0"/>
          <w:szCs w:val="21"/>
          <w:lang w:val="en-US" w:eastAsia="zh-CN"/>
        </w:rPr>
        <w:t>含税</w:t>
      </w:r>
      <w:r>
        <w:rPr>
          <w:rFonts w:hint="eastAsia" w:ascii="宋体" w:hAnsi="宋体" w:cs="宋体"/>
          <w:b/>
          <w:kern w:val="0"/>
          <w:szCs w:val="21"/>
        </w:rPr>
        <w:t>单价、</w:t>
      </w:r>
      <w:r>
        <w:rPr>
          <w:rFonts w:hint="eastAsia" w:ascii="宋体" w:hAnsi="宋体" w:cs="宋体"/>
          <w:b/>
          <w:kern w:val="0"/>
          <w:szCs w:val="21"/>
          <w:lang w:val="en-US" w:eastAsia="zh-CN"/>
        </w:rPr>
        <w:t>含税总</w:t>
      </w:r>
      <w:r>
        <w:rPr>
          <w:rFonts w:hint="eastAsia" w:ascii="宋体" w:hAnsi="宋体" w:cs="宋体"/>
          <w:b/>
          <w:kern w:val="0"/>
          <w:szCs w:val="21"/>
        </w:rPr>
        <w:t>金额、</w:t>
      </w:r>
      <w:r>
        <w:rPr>
          <w:rFonts w:hint="eastAsia" w:ascii="宋体" w:hAnsi="宋体" w:cs="宋体"/>
          <w:b/>
          <w:kern w:val="0"/>
          <w:szCs w:val="21"/>
          <w:lang w:val="en-US" w:eastAsia="zh-CN"/>
        </w:rPr>
        <w:t>不含税总金额、税金、</w:t>
      </w:r>
      <w:r>
        <w:rPr>
          <w:rFonts w:hint="eastAsia" w:ascii="宋体" w:hAnsi="宋体" w:cs="宋体"/>
          <w:b/>
          <w:kern w:val="0"/>
          <w:szCs w:val="21"/>
        </w:rPr>
        <w:t>备注:</w:t>
      </w:r>
    </w:p>
    <w:tbl>
      <w:tblPr>
        <w:tblStyle w:val="8"/>
        <w:tblW w:w="959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84"/>
        <w:gridCol w:w="824"/>
        <w:gridCol w:w="327"/>
        <w:gridCol w:w="584"/>
        <w:gridCol w:w="641"/>
        <w:gridCol w:w="840"/>
        <w:gridCol w:w="1080"/>
        <w:gridCol w:w="917"/>
        <w:gridCol w:w="152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59"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5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15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5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4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8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8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917"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1520"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税金（元）</w:t>
            </w:r>
          </w:p>
        </w:tc>
        <w:tc>
          <w:tcPr>
            <w:tcW w:w="152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9" w:type="dxa"/>
            <w:vAlign w:val="center"/>
          </w:tcPr>
          <w:p>
            <w:pPr>
              <w:spacing w:line="280" w:lineRule="exact"/>
              <w:jc w:val="both"/>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高效脱硫剂</w:t>
            </w:r>
          </w:p>
        </w:tc>
        <w:tc>
          <w:tcPr>
            <w:tcW w:w="584"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15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详见技术要求</w:t>
            </w:r>
          </w:p>
        </w:tc>
        <w:tc>
          <w:tcPr>
            <w:tcW w:w="584"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吨</w:t>
            </w:r>
          </w:p>
        </w:tc>
        <w:tc>
          <w:tcPr>
            <w:tcW w:w="641"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156</w:t>
            </w:r>
          </w:p>
        </w:tc>
        <w:tc>
          <w:tcPr>
            <w:tcW w:w="840" w:type="dxa"/>
            <w:vAlign w:val="center"/>
          </w:tcPr>
          <w:p>
            <w:pPr>
              <w:spacing w:line="280" w:lineRule="exact"/>
              <w:jc w:val="center"/>
              <w:rPr>
                <w:rFonts w:hint="default" w:ascii="宋体" w:hAnsi="宋体" w:cs="Times New Roman"/>
                <w:color w:val="000000"/>
                <w:sz w:val="21"/>
                <w:szCs w:val="21"/>
                <w:lang w:val="en-US" w:eastAsia="zh-CN"/>
              </w:rPr>
            </w:pPr>
          </w:p>
        </w:tc>
        <w:tc>
          <w:tcPr>
            <w:tcW w:w="1080" w:type="dxa"/>
            <w:vAlign w:val="center"/>
          </w:tcPr>
          <w:p>
            <w:pPr>
              <w:spacing w:line="280" w:lineRule="exact"/>
              <w:jc w:val="center"/>
              <w:rPr>
                <w:rFonts w:hint="default" w:ascii="宋体" w:hAnsi="宋体" w:cs="Times New Roman"/>
                <w:color w:val="000000"/>
                <w:sz w:val="21"/>
                <w:szCs w:val="21"/>
                <w:lang w:val="en-US" w:eastAsia="zh-CN"/>
              </w:rPr>
            </w:pPr>
          </w:p>
        </w:tc>
        <w:tc>
          <w:tcPr>
            <w:tcW w:w="917" w:type="dxa"/>
            <w:vAlign w:val="center"/>
          </w:tcPr>
          <w:p>
            <w:pPr>
              <w:spacing w:line="280" w:lineRule="exact"/>
              <w:jc w:val="center"/>
              <w:rPr>
                <w:rFonts w:hint="eastAsia" w:ascii="宋体" w:hAnsi="宋体" w:cs="Times New Roman"/>
                <w:color w:val="000000"/>
                <w:sz w:val="21"/>
                <w:szCs w:val="21"/>
                <w:lang w:val="en-US" w:eastAsia="zh-CN"/>
              </w:rPr>
            </w:pPr>
          </w:p>
        </w:tc>
        <w:tc>
          <w:tcPr>
            <w:tcW w:w="1520" w:type="dxa"/>
            <w:vAlign w:val="center"/>
          </w:tcPr>
          <w:p>
            <w:pPr>
              <w:spacing w:line="280" w:lineRule="exact"/>
              <w:jc w:val="center"/>
              <w:rPr>
                <w:rFonts w:hint="eastAsia" w:ascii="宋体" w:hAnsi="宋体" w:cs="Times New Roman"/>
                <w:color w:val="000000"/>
                <w:sz w:val="21"/>
                <w:szCs w:val="21"/>
                <w:lang w:val="en-US" w:eastAsia="zh-CN"/>
              </w:rPr>
            </w:pPr>
          </w:p>
        </w:tc>
        <w:tc>
          <w:tcPr>
            <w:tcW w:w="1520"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7"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7429" w:type="dxa"/>
            <w:gridSpan w:val="8"/>
            <w:vAlign w:val="center"/>
          </w:tcPr>
          <w:p>
            <w:pPr>
              <w:spacing w:line="280" w:lineRule="exact"/>
              <w:rPr>
                <w:rFonts w:hint="eastAsia" w:ascii="宋体" w:hAnsi="宋体"/>
                <w:color w:val="000000"/>
                <w:szCs w:val="21"/>
              </w:rPr>
            </w:pPr>
          </w:p>
        </w:tc>
      </w:tr>
    </w:tbl>
    <w:p>
      <w:pPr>
        <w:spacing w:line="280" w:lineRule="exact"/>
        <w:ind w:firstLine="420" w:firstLineChars="200"/>
        <w:rPr>
          <w:rFonts w:hint="eastAsia" w:ascii="宋体" w:hAnsi="宋体"/>
          <w:b/>
          <w:szCs w:val="21"/>
          <w:lang w:val="en-US" w:eastAsia="zh-CN"/>
        </w:rPr>
      </w:pPr>
      <w:r>
        <w:rPr>
          <w:rFonts w:hint="eastAsia" w:ascii="宋体" w:hAnsi="宋体"/>
          <w:szCs w:val="21"/>
        </w:rPr>
        <w:t>上述数量</w:t>
      </w:r>
      <w:r>
        <w:rPr>
          <w:rFonts w:hint="eastAsia" w:ascii="宋体" w:hAnsi="宋体"/>
          <w:szCs w:val="21"/>
          <w:lang w:val="en-US" w:eastAsia="zh-CN"/>
        </w:rPr>
        <w:t>及含税总金额均</w:t>
      </w:r>
      <w:r>
        <w:rPr>
          <w:rFonts w:hint="eastAsia" w:ascii="宋体" w:hAnsi="宋体"/>
          <w:szCs w:val="21"/>
        </w:rPr>
        <w:t>为暂定，需方可根据需要通过订单形式进行调整，双方按实际交货数量及实际交易价格结算。本合同约定价格中的含税价格，对应的增值税率为13%，在合同履行期间，如遇国家的税率调整，则，调整后的含税单价=原含税送到单价/1.13*新增值税率；</w:t>
      </w:r>
    </w:p>
    <w:p>
      <w:pPr>
        <w:spacing w:line="280" w:lineRule="exact"/>
        <w:rPr>
          <w:rFonts w:ascii="宋体" w:hAnsi="宋体"/>
          <w:b/>
          <w:color w:val="000000"/>
          <w:szCs w:val="21"/>
        </w:rPr>
      </w:pPr>
      <w:r>
        <w:rPr>
          <w:rFonts w:hint="eastAsia" w:ascii="宋体" w:hAnsi="宋体"/>
          <w:b/>
          <w:szCs w:val="21"/>
          <w:lang w:val="en-US" w:eastAsia="zh-CN"/>
        </w:rPr>
        <w:t>二</w:t>
      </w:r>
      <w:r>
        <w:rPr>
          <w:rFonts w:hint="eastAsia" w:ascii="宋体" w:hAnsi="宋体"/>
          <w:b/>
          <w:szCs w:val="21"/>
        </w:rPr>
        <w:t>、</w:t>
      </w:r>
      <w:r>
        <w:rPr>
          <w:rFonts w:hint="eastAsia" w:ascii="宋体" w:hAnsi="宋体"/>
          <w:b/>
          <w:color w:val="000000"/>
          <w:szCs w:val="21"/>
        </w:rPr>
        <w:t>供货有效期：</w:t>
      </w:r>
    </w:p>
    <w:p>
      <w:pPr>
        <w:spacing w:line="280" w:lineRule="exact"/>
        <w:ind w:firstLine="420" w:firstLineChars="200"/>
        <w:rPr>
          <w:rFonts w:hint="eastAsia" w:ascii="宋体" w:hAnsi="宋体"/>
          <w:b/>
          <w:szCs w:val="21"/>
        </w:rPr>
      </w:pPr>
      <w:r>
        <w:rPr>
          <w:rFonts w:hint="eastAsia" w:ascii="宋体" w:hAnsi="宋体"/>
          <w:color w:val="000000"/>
          <w:szCs w:val="21"/>
        </w:rPr>
        <w:t>本合同供货有效期</w:t>
      </w:r>
      <w:r>
        <w:rPr>
          <w:rFonts w:hint="eastAsia" w:ascii="宋体" w:hAnsi="宋体"/>
          <w:color w:val="000000"/>
          <w:szCs w:val="21"/>
          <w:lang w:eastAsia="zh-CN"/>
        </w:rPr>
        <w:t>：</w:t>
      </w:r>
      <w:r>
        <w:rPr>
          <w:rFonts w:hint="eastAsia" w:ascii="宋体" w:hAnsi="宋体"/>
          <w:color w:val="000000"/>
          <w:szCs w:val="21"/>
        </w:rPr>
        <w:t>从</w:t>
      </w:r>
      <w:r>
        <w:rPr>
          <w:rFonts w:hint="eastAsia" w:ascii="宋体" w:hAnsi="宋体"/>
          <w:color w:val="000000"/>
          <w:szCs w:val="21"/>
          <w:u w:val="single"/>
        </w:rPr>
        <w:t xml:space="preserve"> 20</w:t>
      </w:r>
      <w:r>
        <w:rPr>
          <w:rFonts w:hint="eastAsia" w:ascii="宋体" w:hAnsi="宋体"/>
          <w:color w:val="000000"/>
          <w:szCs w:val="21"/>
          <w:u w:val="single"/>
          <w:lang w:val="en-US" w:eastAsia="zh-CN"/>
        </w:rPr>
        <w:t>24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lang w:val="en-US" w:eastAsia="zh-CN"/>
        </w:rPr>
        <w:t>7</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lang w:val="en-US" w:eastAsia="zh-CN"/>
        </w:rPr>
        <w:t>12</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31</w:t>
      </w:r>
      <w:r>
        <w:rPr>
          <w:rFonts w:hint="eastAsia" w:ascii="宋体" w:hAnsi="宋体"/>
          <w:color w:val="000000"/>
          <w:szCs w:val="21"/>
        </w:rPr>
        <w:t>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见附件技术要求，</w:t>
      </w:r>
      <w:r>
        <w:rPr>
          <w:rFonts w:hint="eastAsia" w:ascii="宋体" w:hAnsi="宋体" w:cs="宋体"/>
          <w:color w:val="000000"/>
          <w:u w:val="single" w:color="000000"/>
        </w:rPr>
        <w:t>供方需提供所供产品质量检验证明，以需方指定单位验收为准</w:t>
      </w:r>
      <w:r>
        <w:rPr>
          <w:rFonts w:hint="eastAsia" w:ascii="宋体" w:hAnsi="宋体" w:cs="宋体"/>
          <w:color w:val="000000"/>
          <w:u w:val="single" w:color="000000"/>
          <w:lang w:eastAsia="zh-CN"/>
        </w:rPr>
        <w:t>。</w:t>
      </w:r>
      <w:r>
        <w:rPr>
          <w:rFonts w:hint="eastAsia" w:ascii="宋体" w:hAnsi="宋体" w:cs="Arial"/>
          <w:szCs w:val="21"/>
          <w:u w:val="single"/>
          <w:lang w:val="en-US" w:eastAsia="zh-CN"/>
        </w:rPr>
        <w:t xml:space="preserve">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2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吨桶包装，使用后的空桶由供方进行回收处理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lang w:eastAsia="zh-CN"/>
        </w:rPr>
        <w:t>：</w:t>
      </w:r>
      <w:r>
        <w:rPr>
          <w:rFonts w:hint="eastAsia" w:ascii="宋体" w:hAnsi="宋体"/>
          <w:szCs w:val="21"/>
          <w:lang w:val="en-US" w:eastAsia="zh-CN"/>
        </w:rPr>
        <w:t>____</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现汇支付，分批到货、分批付款。每批产品到货后，经需方或需方指定单位</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腾龙芳烃（漳州）有限公司</w:t>
      </w:r>
      <w:r>
        <w:rPr>
          <w:rFonts w:hint="eastAsia" w:ascii="宋体" w:hAnsi="宋体"/>
          <w:szCs w:val="21"/>
        </w:rPr>
        <w:t>（本合同中统称“需方”）</w:t>
      </w:r>
      <w:r>
        <w:rPr>
          <w:rFonts w:hint="eastAsia" w:ascii="宋体" w:hAnsi="宋体"/>
          <w:b w:val="0"/>
          <w:bCs/>
          <w:szCs w:val="21"/>
        </w:rPr>
        <w:t>根据</w:t>
      </w:r>
      <w:r>
        <w:rPr>
          <w:rFonts w:hint="eastAsia" w:ascii="宋体" w:hAnsi="宋体"/>
          <w:b w:val="0"/>
          <w:bCs/>
          <w:szCs w:val="21"/>
          <w:lang w:val="en-US" w:eastAsia="zh-CN"/>
        </w:rPr>
        <w:t>本</w:t>
      </w:r>
      <w:r>
        <w:rPr>
          <w:rFonts w:hint="eastAsia" w:ascii="宋体" w:hAnsi="宋体"/>
          <w:b w:val="0"/>
          <w:bCs/>
          <w:szCs w:val="21"/>
        </w:rPr>
        <w:t>签订的合同及技术要求约定的</w:t>
      </w:r>
      <w:r>
        <w:rPr>
          <w:rFonts w:hint="eastAsia" w:ascii="宋体" w:hAnsi="宋体"/>
          <w:b w:val="0"/>
          <w:bCs/>
          <w:szCs w:val="21"/>
          <w:lang w:val="en-US" w:eastAsia="zh-CN"/>
        </w:rPr>
        <w:t>验收，验收合格后</w:t>
      </w:r>
      <w:r>
        <w:rPr>
          <w:rFonts w:hint="eastAsia" w:ascii="宋体" w:hAnsi="宋体"/>
          <w:b w:val="0"/>
          <w:bCs/>
          <w:szCs w:val="21"/>
        </w:rPr>
        <w:t>供方提供相应金额的13%增值税专用发票以及结算所需的各类清单，需方收到并确认无误后支付货款。</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b w:val="0"/>
          <w:bCs/>
          <w:szCs w:val="21"/>
          <w:lang w:val="en-US" w:eastAsia="zh-CN"/>
        </w:rPr>
      </w:pPr>
      <w:r>
        <w:rPr>
          <w:rFonts w:hint="eastAsia" w:ascii="宋体" w:hAnsi="宋体"/>
          <w:b w:val="0"/>
          <w:bCs/>
          <w:szCs w:val="21"/>
          <w:lang w:val="en-US" w:eastAsia="zh-CN"/>
        </w:rPr>
        <w:t>分批到货，首批30吨需于2024年10月前具备供货条件，具体到货时间以需方通知为准。供方接到需方通知后需1周内发货。</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8"/>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w:t>
      </w:r>
      <w:r>
        <w:rPr>
          <w:rFonts w:hint="eastAsia" w:ascii="宋体" w:hAnsi="宋体"/>
          <w:szCs w:val="21"/>
          <w:lang w:eastAsia="zh-CN"/>
        </w:rPr>
        <w:t>、</w:t>
      </w:r>
      <w:r>
        <w:rPr>
          <w:rFonts w:hint="eastAsia" w:ascii="宋体" w:hAnsi="宋体"/>
          <w:szCs w:val="21"/>
          <w:lang w:val="en-US" w:eastAsia="zh-CN"/>
        </w:rPr>
        <w:t>防晒</w:t>
      </w:r>
      <w:r>
        <w:rPr>
          <w:rFonts w:hint="eastAsia" w:ascii="宋体" w:hAnsi="宋体"/>
          <w:szCs w:val="21"/>
        </w:rPr>
        <w:t>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lang w:val="en-US" w:eastAsia="zh-CN"/>
        </w:rPr>
        <w:t xml:space="preserve"> 伍 </w:t>
      </w:r>
      <w:r>
        <w:rPr>
          <w:rFonts w:hint="eastAsia" w:ascii="宋体" w:hAnsi="宋体"/>
          <w:szCs w:val="21"/>
          <w:u w:val="single"/>
        </w:rPr>
        <w:t xml:space="preserve">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w:t>
      </w:r>
      <w:r>
        <w:rPr>
          <w:rFonts w:hint="eastAsia" w:ascii="宋体" w:hAnsi="宋体"/>
          <w:color w:val="000000"/>
          <w:szCs w:val="21"/>
          <w:lang w:val="en-US" w:eastAsia="zh-CN"/>
        </w:rPr>
        <w:t>技术要求、</w:t>
      </w:r>
      <w:r>
        <w:rPr>
          <w:rFonts w:hint="eastAsia" w:ascii="宋体" w:hAnsi="宋体"/>
          <w:color w:val="000000"/>
          <w:szCs w:val="21"/>
        </w:rPr>
        <w:t>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lang w:val="en-US" w:eastAsia="zh-CN"/>
        </w:rPr>
      </w:pPr>
      <w:r>
        <w:rPr>
          <w:rFonts w:hint="eastAsia"/>
          <w:szCs w:val="21"/>
          <w:lang w:val="en-US" w:eastAsia="zh-CN"/>
        </w:rPr>
        <w:t>5.1供方根据需方要求缴纳履约保证金并作为合同质保金，金额为人民币壹拾万元整。合同履约期届满且无质量问题一年后，供方提交返还履约保证金申请后30工作日内无息返还。</w:t>
      </w:r>
    </w:p>
    <w:p>
      <w:pPr>
        <w:spacing w:line="300" w:lineRule="exact"/>
        <w:ind w:firstLine="420" w:firstLineChars="200"/>
        <w:rPr>
          <w:rFonts w:hint="eastAsia"/>
          <w:szCs w:val="21"/>
          <w:lang w:val="en-US" w:eastAsia="zh-CN"/>
        </w:rPr>
      </w:pPr>
      <w:r>
        <w:rPr>
          <w:rFonts w:hint="eastAsia"/>
          <w:szCs w:val="21"/>
          <w:lang w:val="en-US" w:eastAsia="zh-CN"/>
        </w:rPr>
        <w:t>5.2 性能保证、验收结算及赔偿和技术服务范围详见附件技术要求。</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8D38B"/>
    <w:multiLevelType w:val="singleLevel"/>
    <w:tmpl w:val="A238D38B"/>
    <w:lvl w:ilvl="0" w:tentative="0">
      <w:start w:val="3"/>
      <w:numFmt w:val="decimal"/>
      <w:suff w:val="nothing"/>
      <w:lvlText w:val="（%1）"/>
      <w:lvlJc w:val="left"/>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370500D3"/>
    <w:multiLevelType w:val="multilevel"/>
    <w:tmpl w:val="370500D3"/>
    <w:lvl w:ilvl="0" w:tentative="0">
      <w:start w:val="1"/>
      <w:numFmt w:val="decimal"/>
      <w:pStyle w:val="3"/>
      <w:suff w:val="space"/>
      <w:lvlText w:val="8.1.%1 "/>
      <w:lvlJc w:val="left"/>
      <w:pPr>
        <w:ind w:left="0" w:firstLine="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19445F"/>
    <w:multiLevelType w:val="singleLevel"/>
    <w:tmpl w:val="5419445F"/>
    <w:lvl w:ilvl="0" w:tentative="0">
      <w:start w:val="1"/>
      <w:numFmt w:val="decimal"/>
      <w:suff w:val="nothing"/>
      <w:lvlText w:val="%1."/>
      <w:lvlJc w:val="left"/>
      <w:rPr>
        <w:rFonts w:cs="Times New Roman"/>
      </w:rPr>
    </w:lvl>
  </w:abstractNum>
  <w:abstractNum w:abstractNumId="7">
    <w:nsid w:val="6AC72BA6"/>
    <w:multiLevelType w:val="multilevel"/>
    <w:tmpl w:val="6AC72BA6"/>
    <w:lvl w:ilvl="0" w:tentative="0">
      <w:start w:val="1"/>
      <w:numFmt w:val="decimal"/>
      <w:lvlText w:val="%1、"/>
      <w:lvlJc w:val="left"/>
      <w:pPr>
        <w:ind w:left="1200"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5"/>
  </w:num>
  <w:num w:numId="2">
    <w:abstractNumId w:val="2"/>
  </w:num>
  <w:num w:numId="3">
    <w:abstractNumId w:val="7"/>
  </w:num>
  <w:num w:numId="4">
    <w:abstractNumId w:val="4"/>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ZTVhZThkZGM1NWY0NjU2Nzg0OWIxZmQ3NWEyY2U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1E6147"/>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154260"/>
    <w:rsid w:val="01AB4154"/>
    <w:rsid w:val="02003C03"/>
    <w:rsid w:val="02185493"/>
    <w:rsid w:val="021D391B"/>
    <w:rsid w:val="022C6513"/>
    <w:rsid w:val="023F054C"/>
    <w:rsid w:val="024C0384"/>
    <w:rsid w:val="02773EF6"/>
    <w:rsid w:val="02CC4E1D"/>
    <w:rsid w:val="02D53A40"/>
    <w:rsid w:val="03033536"/>
    <w:rsid w:val="03182CF8"/>
    <w:rsid w:val="03261A08"/>
    <w:rsid w:val="032857C7"/>
    <w:rsid w:val="032D15FD"/>
    <w:rsid w:val="032F04D8"/>
    <w:rsid w:val="03A9303F"/>
    <w:rsid w:val="03D9195C"/>
    <w:rsid w:val="03DC17EA"/>
    <w:rsid w:val="03E270E3"/>
    <w:rsid w:val="03E5328D"/>
    <w:rsid w:val="041A4C52"/>
    <w:rsid w:val="042207A6"/>
    <w:rsid w:val="042D4439"/>
    <w:rsid w:val="04444FBA"/>
    <w:rsid w:val="046407CB"/>
    <w:rsid w:val="04675C1C"/>
    <w:rsid w:val="046B7835"/>
    <w:rsid w:val="046E24C0"/>
    <w:rsid w:val="046F7ACF"/>
    <w:rsid w:val="04785792"/>
    <w:rsid w:val="049270F9"/>
    <w:rsid w:val="05264C66"/>
    <w:rsid w:val="053A64CB"/>
    <w:rsid w:val="0546217C"/>
    <w:rsid w:val="055746BC"/>
    <w:rsid w:val="057373C3"/>
    <w:rsid w:val="059A34DA"/>
    <w:rsid w:val="059B734C"/>
    <w:rsid w:val="05C112E8"/>
    <w:rsid w:val="05CE4353"/>
    <w:rsid w:val="05CF5BDF"/>
    <w:rsid w:val="05D81DD9"/>
    <w:rsid w:val="061013A0"/>
    <w:rsid w:val="064416AA"/>
    <w:rsid w:val="06A3708D"/>
    <w:rsid w:val="06AB00B1"/>
    <w:rsid w:val="06CC1CD7"/>
    <w:rsid w:val="06DA70D7"/>
    <w:rsid w:val="070356B5"/>
    <w:rsid w:val="076D1F1D"/>
    <w:rsid w:val="077632ED"/>
    <w:rsid w:val="07811622"/>
    <w:rsid w:val="07817814"/>
    <w:rsid w:val="078523E2"/>
    <w:rsid w:val="078A61DF"/>
    <w:rsid w:val="07C04CC8"/>
    <w:rsid w:val="07E878CC"/>
    <w:rsid w:val="07E87C6B"/>
    <w:rsid w:val="07F06C92"/>
    <w:rsid w:val="07FB0E0D"/>
    <w:rsid w:val="080F7CCD"/>
    <w:rsid w:val="083568BD"/>
    <w:rsid w:val="08374DE3"/>
    <w:rsid w:val="08804899"/>
    <w:rsid w:val="08834CC9"/>
    <w:rsid w:val="088B1472"/>
    <w:rsid w:val="090A2F1F"/>
    <w:rsid w:val="09273ADC"/>
    <w:rsid w:val="097036E7"/>
    <w:rsid w:val="098E656B"/>
    <w:rsid w:val="099447D3"/>
    <w:rsid w:val="09A76DA2"/>
    <w:rsid w:val="09D05CBA"/>
    <w:rsid w:val="09D7548C"/>
    <w:rsid w:val="09E63A80"/>
    <w:rsid w:val="0A3A75BC"/>
    <w:rsid w:val="0A4D0638"/>
    <w:rsid w:val="0A58515B"/>
    <w:rsid w:val="0A8B6BF2"/>
    <w:rsid w:val="0A9F5CB5"/>
    <w:rsid w:val="0AA062B1"/>
    <w:rsid w:val="0AB96449"/>
    <w:rsid w:val="0ACC3EB5"/>
    <w:rsid w:val="0ADD75BB"/>
    <w:rsid w:val="0B0D38CD"/>
    <w:rsid w:val="0B1C170E"/>
    <w:rsid w:val="0B35169E"/>
    <w:rsid w:val="0B487285"/>
    <w:rsid w:val="0B4A13AC"/>
    <w:rsid w:val="0B8E420A"/>
    <w:rsid w:val="0C370F69"/>
    <w:rsid w:val="0C3D7481"/>
    <w:rsid w:val="0C7454D4"/>
    <w:rsid w:val="0C8B217D"/>
    <w:rsid w:val="0CB75B53"/>
    <w:rsid w:val="0CF127D7"/>
    <w:rsid w:val="0CFA5163"/>
    <w:rsid w:val="0D097641"/>
    <w:rsid w:val="0D980021"/>
    <w:rsid w:val="0DA163F9"/>
    <w:rsid w:val="0DAD56B9"/>
    <w:rsid w:val="0DD566C4"/>
    <w:rsid w:val="0E02486F"/>
    <w:rsid w:val="0E3D2F5D"/>
    <w:rsid w:val="0E3F22A2"/>
    <w:rsid w:val="0E772EE5"/>
    <w:rsid w:val="0E8B20AA"/>
    <w:rsid w:val="0E9503CA"/>
    <w:rsid w:val="0E960E06"/>
    <w:rsid w:val="0EA613B6"/>
    <w:rsid w:val="0EE26DF9"/>
    <w:rsid w:val="0EE30943"/>
    <w:rsid w:val="0F3141ED"/>
    <w:rsid w:val="0F4E62EA"/>
    <w:rsid w:val="0F821B8F"/>
    <w:rsid w:val="0F8C0A60"/>
    <w:rsid w:val="0FA07C0F"/>
    <w:rsid w:val="0FA364D6"/>
    <w:rsid w:val="0FCE6C96"/>
    <w:rsid w:val="0FE34343"/>
    <w:rsid w:val="0FF86012"/>
    <w:rsid w:val="10167D42"/>
    <w:rsid w:val="1051101C"/>
    <w:rsid w:val="105A2ADD"/>
    <w:rsid w:val="105B6F62"/>
    <w:rsid w:val="108E2EA4"/>
    <w:rsid w:val="10B3063E"/>
    <w:rsid w:val="10C613A6"/>
    <w:rsid w:val="10F1561E"/>
    <w:rsid w:val="111E4EA7"/>
    <w:rsid w:val="11715093"/>
    <w:rsid w:val="118A38B5"/>
    <w:rsid w:val="11EE0AF5"/>
    <w:rsid w:val="122E4A94"/>
    <w:rsid w:val="125F61EF"/>
    <w:rsid w:val="12737A03"/>
    <w:rsid w:val="12837C22"/>
    <w:rsid w:val="12CF31F9"/>
    <w:rsid w:val="12EA195B"/>
    <w:rsid w:val="12F479DF"/>
    <w:rsid w:val="132E735B"/>
    <w:rsid w:val="13331A89"/>
    <w:rsid w:val="1363320F"/>
    <w:rsid w:val="1387789C"/>
    <w:rsid w:val="13B74194"/>
    <w:rsid w:val="13DF42D8"/>
    <w:rsid w:val="142F7DC3"/>
    <w:rsid w:val="14494FEA"/>
    <w:rsid w:val="147B6B42"/>
    <w:rsid w:val="14937361"/>
    <w:rsid w:val="149868E6"/>
    <w:rsid w:val="14C1177D"/>
    <w:rsid w:val="14FC5116"/>
    <w:rsid w:val="15033088"/>
    <w:rsid w:val="150647E6"/>
    <w:rsid w:val="15101A52"/>
    <w:rsid w:val="15125849"/>
    <w:rsid w:val="15251B5D"/>
    <w:rsid w:val="154E7EC4"/>
    <w:rsid w:val="15BF2E22"/>
    <w:rsid w:val="15C23309"/>
    <w:rsid w:val="15C31A47"/>
    <w:rsid w:val="15F16D9A"/>
    <w:rsid w:val="15F24792"/>
    <w:rsid w:val="15F51CC1"/>
    <w:rsid w:val="15FE1378"/>
    <w:rsid w:val="15FE1EB4"/>
    <w:rsid w:val="16172661"/>
    <w:rsid w:val="16270A04"/>
    <w:rsid w:val="165069FC"/>
    <w:rsid w:val="16A920DF"/>
    <w:rsid w:val="173B43BC"/>
    <w:rsid w:val="178C691A"/>
    <w:rsid w:val="179453BC"/>
    <w:rsid w:val="183256DA"/>
    <w:rsid w:val="183B0D71"/>
    <w:rsid w:val="184968FC"/>
    <w:rsid w:val="185D1C5F"/>
    <w:rsid w:val="188C5585"/>
    <w:rsid w:val="18C27F65"/>
    <w:rsid w:val="18C402D3"/>
    <w:rsid w:val="18FA6BBD"/>
    <w:rsid w:val="191A3D61"/>
    <w:rsid w:val="192A2CC6"/>
    <w:rsid w:val="19332266"/>
    <w:rsid w:val="19B02F2D"/>
    <w:rsid w:val="19DA3B6D"/>
    <w:rsid w:val="19EF4D4D"/>
    <w:rsid w:val="19F04AD4"/>
    <w:rsid w:val="1A247E7E"/>
    <w:rsid w:val="1A2F6DF9"/>
    <w:rsid w:val="1A3168AB"/>
    <w:rsid w:val="1A4C05AB"/>
    <w:rsid w:val="1A4F0A64"/>
    <w:rsid w:val="1A747000"/>
    <w:rsid w:val="1AAD18E5"/>
    <w:rsid w:val="1ABC38F7"/>
    <w:rsid w:val="1AD31D10"/>
    <w:rsid w:val="1AF22A1C"/>
    <w:rsid w:val="1AFD66F4"/>
    <w:rsid w:val="1B233A0E"/>
    <w:rsid w:val="1B657395"/>
    <w:rsid w:val="1B672A28"/>
    <w:rsid w:val="1B7C1123"/>
    <w:rsid w:val="1B8F7883"/>
    <w:rsid w:val="1B927AE6"/>
    <w:rsid w:val="1BB72DA5"/>
    <w:rsid w:val="1BC93515"/>
    <w:rsid w:val="1C1B3FE4"/>
    <w:rsid w:val="1C1C3DEE"/>
    <w:rsid w:val="1C230F64"/>
    <w:rsid w:val="1C2A6CE8"/>
    <w:rsid w:val="1C513BF0"/>
    <w:rsid w:val="1C5C12F3"/>
    <w:rsid w:val="1C8261A0"/>
    <w:rsid w:val="1CF31038"/>
    <w:rsid w:val="1D0113C9"/>
    <w:rsid w:val="1D05782C"/>
    <w:rsid w:val="1D6F78F4"/>
    <w:rsid w:val="1D7757F1"/>
    <w:rsid w:val="1D841F34"/>
    <w:rsid w:val="1DB72E7F"/>
    <w:rsid w:val="1DDB74E0"/>
    <w:rsid w:val="1DF003E7"/>
    <w:rsid w:val="1E2F61EF"/>
    <w:rsid w:val="1E3264F3"/>
    <w:rsid w:val="1E600A9D"/>
    <w:rsid w:val="1E750E13"/>
    <w:rsid w:val="1EB505E6"/>
    <w:rsid w:val="1EBD3B62"/>
    <w:rsid w:val="1F02429F"/>
    <w:rsid w:val="1F133081"/>
    <w:rsid w:val="1F590291"/>
    <w:rsid w:val="1F8046AD"/>
    <w:rsid w:val="1FA12681"/>
    <w:rsid w:val="205A10AE"/>
    <w:rsid w:val="207E3421"/>
    <w:rsid w:val="208A175C"/>
    <w:rsid w:val="2090579A"/>
    <w:rsid w:val="20AF45AF"/>
    <w:rsid w:val="215846DF"/>
    <w:rsid w:val="216412DB"/>
    <w:rsid w:val="21BD6DBB"/>
    <w:rsid w:val="21E14DFB"/>
    <w:rsid w:val="21F04A25"/>
    <w:rsid w:val="220D4E25"/>
    <w:rsid w:val="22345BE0"/>
    <w:rsid w:val="22521DD3"/>
    <w:rsid w:val="227B0690"/>
    <w:rsid w:val="228E5A58"/>
    <w:rsid w:val="22A35795"/>
    <w:rsid w:val="22A62B30"/>
    <w:rsid w:val="22ED3ED6"/>
    <w:rsid w:val="2325120A"/>
    <w:rsid w:val="23464916"/>
    <w:rsid w:val="23496B54"/>
    <w:rsid w:val="23532FBD"/>
    <w:rsid w:val="237B661E"/>
    <w:rsid w:val="238B4E5F"/>
    <w:rsid w:val="239520D3"/>
    <w:rsid w:val="23BF50C8"/>
    <w:rsid w:val="23CC07DA"/>
    <w:rsid w:val="23F24C55"/>
    <w:rsid w:val="241D1936"/>
    <w:rsid w:val="247C7073"/>
    <w:rsid w:val="2496308D"/>
    <w:rsid w:val="24A9374C"/>
    <w:rsid w:val="250E72F9"/>
    <w:rsid w:val="25346A17"/>
    <w:rsid w:val="258777C9"/>
    <w:rsid w:val="2589209A"/>
    <w:rsid w:val="25A04AF0"/>
    <w:rsid w:val="25B40CD0"/>
    <w:rsid w:val="25CB1E8B"/>
    <w:rsid w:val="25D9170E"/>
    <w:rsid w:val="25E0040C"/>
    <w:rsid w:val="25F3676D"/>
    <w:rsid w:val="26035576"/>
    <w:rsid w:val="2665006F"/>
    <w:rsid w:val="26A124F9"/>
    <w:rsid w:val="26AA092A"/>
    <w:rsid w:val="271C65E1"/>
    <w:rsid w:val="273A5487"/>
    <w:rsid w:val="274761A1"/>
    <w:rsid w:val="27937EDA"/>
    <w:rsid w:val="27C62288"/>
    <w:rsid w:val="27CF60B0"/>
    <w:rsid w:val="27D36696"/>
    <w:rsid w:val="27E234BC"/>
    <w:rsid w:val="28012C6B"/>
    <w:rsid w:val="280475E2"/>
    <w:rsid w:val="282C18E9"/>
    <w:rsid w:val="2833742E"/>
    <w:rsid w:val="28566230"/>
    <w:rsid w:val="285B7C69"/>
    <w:rsid w:val="289968CF"/>
    <w:rsid w:val="28A837EA"/>
    <w:rsid w:val="28B0150E"/>
    <w:rsid w:val="28D51D40"/>
    <w:rsid w:val="28D92271"/>
    <w:rsid w:val="293555E2"/>
    <w:rsid w:val="299A1AD2"/>
    <w:rsid w:val="299A61C2"/>
    <w:rsid w:val="29AC4DAC"/>
    <w:rsid w:val="29B80978"/>
    <w:rsid w:val="29CE07E6"/>
    <w:rsid w:val="29D17C38"/>
    <w:rsid w:val="29DA1C97"/>
    <w:rsid w:val="29FC37D4"/>
    <w:rsid w:val="2A587284"/>
    <w:rsid w:val="2A7427E2"/>
    <w:rsid w:val="2A893557"/>
    <w:rsid w:val="2A8B1681"/>
    <w:rsid w:val="2A933574"/>
    <w:rsid w:val="2AAB2012"/>
    <w:rsid w:val="2ABC59CB"/>
    <w:rsid w:val="2AC0562D"/>
    <w:rsid w:val="2AC11AAE"/>
    <w:rsid w:val="2ADD2233"/>
    <w:rsid w:val="2AE84D10"/>
    <w:rsid w:val="2B0E039C"/>
    <w:rsid w:val="2B2F6BD9"/>
    <w:rsid w:val="2B4658AA"/>
    <w:rsid w:val="2B4A75F4"/>
    <w:rsid w:val="2B8E1B57"/>
    <w:rsid w:val="2B8E71EA"/>
    <w:rsid w:val="2B957AF1"/>
    <w:rsid w:val="2BA705F6"/>
    <w:rsid w:val="2BD36FC0"/>
    <w:rsid w:val="2BE04E2E"/>
    <w:rsid w:val="2C0B2A13"/>
    <w:rsid w:val="2C201604"/>
    <w:rsid w:val="2C31119D"/>
    <w:rsid w:val="2C3328C4"/>
    <w:rsid w:val="2C335C2A"/>
    <w:rsid w:val="2C535325"/>
    <w:rsid w:val="2C5548F9"/>
    <w:rsid w:val="2D2B1461"/>
    <w:rsid w:val="2DA319DC"/>
    <w:rsid w:val="2DF06759"/>
    <w:rsid w:val="2E12514F"/>
    <w:rsid w:val="2E351771"/>
    <w:rsid w:val="2E922324"/>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826FF9"/>
    <w:rsid w:val="30985912"/>
    <w:rsid w:val="309A6E65"/>
    <w:rsid w:val="30E60CDF"/>
    <w:rsid w:val="31183D8E"/>
    <w:rsid w:val="312B136C"/>
    <w:rsid w:val="3165141F"/>
    <w:rsid w:val="31771119"/>
    <w:rsid w:val="318E2800"/>
    <w:rsid w:val="31934494"/>
    <w:rsid w:val="319D55BA"/>
    <w:rsid w:val="31BD1137"/>
    <w:rsid w:val="31CE1FAB"/>
    <w:rsid w:val="31F1162F"/>
    <w:rsid w:val="31F21635"/>
    <w:rsid w:val="31F46862"/>
    <w:rsid w:val="321859D2"/>
    <w:rsid w:val="322E5C7B"/>
    <w:rsid w:val="323D28AC"/>
    <w:rsid w:val="32492609"/>
    <w:rsid w:val="328F6057"/>
    <w:rsid w:val="32A75EF3"/>
    <w:rsid w:val="32AE7831"/>
    <w:rsid w:val="32B37FA4"/>
    <w:rsid w:val="32C178A8"/>
    <w:rsid w:val="32DB1F0F"/>
    <w:rsid w:val="33413E8A"/>
    <w:rsid w:val="335E264F"/>
    <w:rsid w:val="337530C8"/>
    <w:rsid w:val="338059AD"/>
    <w:rsid w:val="33DB2E5A"/>
    <w:rsid w:val="33EA7F3E"/>
    <w:rsid w:val="33F1490B"/>
    <w:rsid w:val="33FD5E57"/>
    <w:rsid w:val="340C24DE"/>
    <w:rsid w:val="340F4394"/>
    <w:rsid w:val="34164CF1"/>
    <w:rsid w:val="342D7E99"/>
    <w:rsid w:val="345B10E7"/>
    <w:rsid w:val="346720B7"/>
    <w:rsid w:val="347C5E46"/>
    <w:rsid w:val="35165627"/>
    <w:rsid w:val="352C0C5B"/>
    <w:rsid w:val="35490544"/>
    <w:rsid w:val="35904376"/>
    <w:rsid w:val="35A0166C"/>
    <w:rsid w:val="35B058C7"/>
    <w:rsid w:val="35DE34F2"/>
    <w:rsid w:val="35F871FB"/>
    <w:rsid w:val="35FC498E"/>
    <w:rsid w:val="36417C8D"/>
    <w:rsid w:val="366436B8"/>
    <w:rsid w:val="36886515"/>
    <w:rsid w:val="368A2F91"/>
    <w:rsid w:val="368B1D4A"/>
    <w:rsid w:val="369F3C73"/>
    <w:rsid w:val="36AC3A23"/>
    <w:rsid w:val="36E954BF"/>
    <w:rsid w:val="36FA78CD"/>
    <w:rsid w:val="37370B6E"/>
    <w:rsid w:val="3768338E"/>
    <w:rsid w:val="37836ECB"/>
    <w:rsid w:val="37945B49"/>
    <w:rsid w:val="379D3B99"/>
    <w:rsid w:val="37D4553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4701F0"/>
    <w:rsid w:val="3B573FA4"/>
    <w:rsid w:val="3B8F0229"/>
    <w:rsid w:val="3BD4036B"/>
    <w:rsid w:val="3C1D4BEF"/>
    <w:rsid w:val="3C1E5B01"/>
    <w:rsid w:val="3C333506"/>
    <w:rsid w:val="3C3C0E2E"/>
    <w:rsid w:val="3C656913"/>
    <w:rsid w:val="3C8D6D94"/>
    <w:rsid w:val="3C94066E"/>
    <w:rsid w:val="3CFE624A"/>
    <w:rsid w:val="3D1251D3"/>
    <w:rsid w:val="3D173430"/>
    <w:rsid w:val="3D470E27"/>
    <w:rsid w:val="3D475A63"/>
    <w:rsid w:val="3DCB73E0"/>
    <w:rsid w:val="3E032F87"/>
    <w:rsid w:val="3E287885"/>
    <w:rsid w:val="3E447FF5"/>
    <w:rsid w:val="3E536639"/>
    <w:rsid w:val="3E565DBA"/>
    <w:rsid w:val="3EEE28F9"/>
    <w:rsid w:val="3F1539A0"/>
    <w:rsid w:val="3F1E4982"/>
    <w:rsid w:val="3F516B77"/>
    <w:rsid w:val="3FBB3A60"/>
    <w:rsid w:val="3FEE6A4A"/>
    <w:rsid w:val="401F30A7"/>
    <w:rsid w:val="402A4D00"/>
    <w:rsid w:val="40457BFD"/>
    <w:rsid w:val="40705383"/>
    <w:rsid w:val="40831E81"/>
    <w:rsid w:val="40891F67"/>
    <w:rsid w:val="408C76E2"/>
    <w:rsid w:val="409057BD"/>
    <w:rsid w:val="40C10231"/>
    <w:rsid w:val="41186225"/>
    <w:rsid w:val="414E2379"/>
    <w:rsid w:val="416F5968"/>
    <w:rsid w:val="417A6877"/>
    <w:rsid w:val="418324AC"/>
    <w:rsid w:val="41A04200"/>
    <w:rsid w:val="41A32F85"/>
    <w:rsid w:val="41B858E8"/>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7058"/>
    <w:rsid w:val="438A19A8"/>
    <w:rsid w:val="439439C5"/>
    <w:rsid w:val="4395062C"/>
    <w:rsid w:val="439E7A84"/>
    <w:rsid w:val="43D46D19"/>
    <w:rsid w:val="44026924"/>
    <w:rsid w:val="44236751"/>
    <w:rsid w:val="448C78B8"/>
    <w:rsid w:val="44B2410D"/>
    <w:rsid w:val="44CB1108"/>
    <w:rsid w:val="44E4129A"/>
    <w:rsid w:val="452C5A2B"/>
    <w:rsid w:val="453F611C"/>
    <w:rsid w:val="454D6E39"/>
    <w:rsid w:val="45C94E39"/>
    <w:rsid w:val="45CD5D18"/>
    <w:rsid w:val="45D568DB"/>
    <w:rsid w:val="45E64357"/>
    <w:rsid w:val="46051FED"/>
    <w:rsid w:val="46125FF1"/>
    <w:rsid w:val="46320679"/>
    <w:rsid w:val="46495A0E"/>
    <w:rsid w:val="464B079B"/>
    <w:rsid w:val="468077A8"/>
    <w:rsid w:val="468E6ECD"/>
    <w:rsid w:val="46AB53AC"/>
    <w:rsid w:val="46E07413"/>
    <w:rsid w:val="46EA56DB"/>
    <w:rsid w:val="4704021F"/>
    <w:rsid w:val="47616CD0"/>
    <w:rsid w:val="476C6251"/>
    <w:rsid w:val="479C322F"/>
    <w:rsid w:val="47A06F4B"/>
    <w:rsid w:val="47A978DA"/>
    <w:rsid w:val="48037F6C"/>
    <w:rsid w:val="480C6C1B"/>
    <w:rsid w:val="48295411"/>
    <w:rsid w:val="48B268BC"/>
    <w:rsid w:val="48B70BA6"/>
    <w:rsid w:val="48DF13FB"/>
    <w:rsid w:val="49157196"/>
    <w:rsid w:val="492D0C09"/>
    <w:rsid w:val="493B7D23"/>
    <w:rsid w:val="494B6BC0"/>
    <w:rsid w:val="49545F4C"/>
    <w:rsid w:val="497038CD"/>
    <w:rsid w:val="497205C6"/>
    <w:rsid w:val="49730A66"/>
    <w:rsid w:val="499A66C3"/>
    <w:rsid w:val="49A17BDC"/>
    <w:rsid w:val="49AC538B"/>
    <w:rsid w:val="49F220F0"/>
    <w:rsid w:val="4A532137"/>
    <w:rsid w:val="4A784075"/>
    <w:rsid w:val="4A9E208F"/>
    <w:rsid w:val="4AEC33B6"/>
    <w:rsid w:val="4B242E77"/>
    <w:rsid w:val="4B2451E8"/>
    <w:rsid w:val="4B320889"/>
    <w:rsid w:val="4B3D4012"/>
    <w:rsid w:val="4B4A24A6"/>
    <w:rsid w:val="4B8F2E5B"/>
    <w:rsid w:val="4B945212"/>
    <w:rsid w:val="4BC2454D"/>
    <w:rsid w:val="4BF27690"/>
    <w:rsid w:val="4C204881"/>
    <w:rsid w:val="4C775DE6"/>
    <w:rsid w:val="4C82133E"/>
    <w:rsid w:val="4CA3109F"/>
    <w:rsid w:val="4CB47B10"/>
    <w:rsid w:val="4CD9455C"/>
    <w:rsid w:val="4CE3486E"/>
    <w:rsid w:val="4CEB5B8E"/>
    <w:rsid w:val="4CF91653"/>
    <w:rsid w:val="4D13604C"/>
    <w:rsid w:val="4D2671DF"/>
    <w:rsid w:val="4D2D6907"/>
    <w:rsid w:val="4D376EA9"/>
    <w:rsid w:val="4D845D59"/>
    <w:rsid w:val="4DA80E22"/>
    <w:rsid w:val="4DB81F38"/>
    <w:rsid w:val="4DDB52DD"/>
    <w:rsid w:val="4DE92DD7"/>
    <w:rsid w:val="4DFE7BC4"/>
    <w:rsid w:val="4E0062C6"/>
    <w:rsid w:val="4E0D5475"/>
    <w:rsid w:val="4E6B6CEB"/>
    <w:rsid w:val="4EA1757E"/>
    <w:rsid w:val="4EA52677"/>
    <w:rsid w:val="4EAD5D22"/>
    <w:rsid w:val="4ECE6225"/>
    <w:rsid w:val="4F7714C8"/>
    <w:rsid w:val="4F796063"/>
    <w:rsid w:val="4F7B6890"/>
    <w:rsid w:val="4F8D5360"/>
    <w:rsid w:val="4FA265C1"/>
    <w:rsid w:val="4FAF2ACB"/>
    <w:rsid w:val="4FE0775F"/>
    <w:rsid w:val="4FE84A65"/>
    <w:rsid w:val="4FF14958"/>
    <w:rsid w:val="503B5A8A"/>
    <w:rsid w:val="505852F6"/>
    <w:rsid w:val="507E72C1"/>
    <w:rsid w:val="508235A6"/>
    <w:rsid w:val="50BB3ACD"/>
    <w:rsid w:val="50DE33C7"/>
    <w:rsid w:val="512F6EC2"/>
    <w:rsid w:val="513242BC"/>
    <w:rsid w:val="513403C7"/>
    <w:rsid w:val="518B38CB"/>
    <w:rsid w:val="518B4FD1"/>
    <w:rsid w:val="518E0C97"/>
    <w:rsid w:val="51E145FD"/>
    <w:rsid w:val="51E51CC3"/>
    <w:rsid w:val="520F62ED"/>
    <w:rsid w:val="52350240"/>
    <w:rsid w:val="52670AC3"/>
    <w:rsid w:val="529A77A5"/>
    <w:rsid w:val="52C5623B"/>
    <w:rsid w:val="532B2528"/>
    <w:rsid w:val="53396CC8"/>
    <w:rsid w:val="534D5B9F"/>
    <w:rsid w:val="534E3B27"/>
    <w:rsid w:val="53523F58"/>
    <w:rsid w:val="536C4A8A"/>
    <w:rsid w:val="53B11D35"/>
    <w:rsid w:val="53ED6794"/>
    <w:rsid w:val="53EF1D95"/>
    <w:rsid w:val="542657F3"/>
    <w:rsid w:val="542A50A2"/>
    <w:rsid w:val="542D5399"/>
    <w:rsid w:val="543E14AB"/>
    <w:rsid w:val="54B643C9"/>
    <w:rsid w:val="54CF10E0"/>
    <w:rsid w:val="54DD2BD3"/>
    <w:rsid w:val="553E317D"/>
    <w:rsid w:val="554D2C1E"/>
    <w:rsid w:val="556D7264"/>
    <w:rsid w:val="559230BD"/>
    <w:rsid w:val="55E907A3"/>
    <w:rsid w:val="55E92CB5"/>
    <w:rsid w:val="561A16CF"/>
    <w:rsid w:val="56325307"/>
    <w:rsid w:val="5659474A"/>
    <w:rsid w:val="56732B47"/>
    <w:rsid w:val="56D504BB"/>
    <w:rsid w:val="570F5D54"/>
    <w:rsid w:val="570F6504"/>
    <w:rsid w:val="5733660F"/>
    <w:rsid w:val="57343CB7"/>
    <w:rsid w:val="573834F1"/>
    <w:rsid w:val="57463334"/>
    <w:rsid w:val="574B6739"/>
    <w:rsid w:val="574D21DE"/>
    <w:rsid w:val="578B6597"/>
    <w:rsid w:val="57942C39"/>
    <w:rsid w:val="57B97E77"/>
    <w:rsid w:val="57EB2081"/>
    <w:rsid w:val="57FC2F43"/>
    <w:rsid w:val="583F04BE"/>
    <w:rsid w:val="5845276D"/>
    <w:rsid w:val="58641F03"/>
    <w:rsid w:val="58BD4EAA"/>
    <w:rsid w:val="58C534B8"/>
    <w:rsid w:val="58DA20C8"/>
    <w:rsid w:val="58E80569"/>
    <w:rsid w:val="58F8378F"/>
    <w:rsid w:val="58FE6BB9"/>
    <w:rsid w:val="592521E5"/>
    <w:rsid w:val="592E0C31"/>
    <w:rsid w:val="5930567C"/>
    <w:rsid w:val="593259F3"/>
    <w:rsid w:val="594531C0"/>
    <w:rsid w:val="596B1700"/>
    <w:rsid w:val="59A2106F"/>
    <w:rsid w:val="59A25083"/>
    <w:rsid w:val="59B02771"/>
    <w:rsid w:val="59B64E5B"/>
    <w:rsid w:val="59C41AA5"/>
    <w:rsid w:val="5A196198"/>
    <w:rsid w:val="5A36290A"/>
    <w:rsid w:val="5AAE2321"/>
    <w:rsid w:val="5AB52004"/>
    <w:rsid w:val="5AC454CC"/>
    <w:rsid w:val="5AED7240"/>
    <w:rsid w:val="5B004781"/>
    <w:rsid w:val="5B3C0D3E"/>
    <w:rsid w:val="5B416702"/>
    <w:rsid w:val="5B4E445F"/>
    <w:rsid w:val="5B510FBA"/>
    <w:rsid w:val="5B5E370D"/>
    <w:rsid w:val="5B713427"/>
    <w:rsid w:val="5B733CC7"/>
    <w:rsid w:val="5B8152A6"/>
    <w:rsid w:val="5B964C3B"/>
    <w:rsid w:val="5BF847A4"/>
    <w:rsid w:val="5C1F20CC"/>
    <w:rsid w:val="5C20337F"/>
    <w:rsid w:val="5C4D30E7"/>
    <w:rsid w:val="5C4F430C"/>
    <w:rsid w:val="5C514191"/>
    <w:rsid w:val="5C8B0489"/>
    <w:rsid w:val="5CF73949"/>
    <w:rsid w:val="5D3038FF"/>
    <w:rsid w:val="5D4208CB"/>
    <w:rsid w:val="5DBA71CA"/>
    <w:rsid w:val="5DCB432F"/>
    <w:rsid w:val="5DD6127D"/>
    <w:rsid w:val="5DD956B5"/>
    <w:rsid w:val="5DE04163"/>
    <w:rsid w:val="5DEC7C19"/>
    <w:rsid w:val="5DFC0EB0"/>
    <w:rsid w:val="5E086E60"/>
    <w:rsid w:val="5E5B4B1E"/>
    <w:rsid w:val="5E806603"/>
    <w:rsid w:val="5EDC2437"/>
    <w:rsid w:val="5F0D17C2"/>
    <w:rsid w:val="5F196376"/>
    <w:rsid w:val="5F3C0936"/>
    <w:rsid w:val="5F5A2BA2"/>
    <w:rsid w:val="5F683B20"/>
    <w:rsid w:val="5F6A1B70"/>
    <w:rsid w:val="5F715923"/>
    <w:rsid w:val="5F74528F"/>
    <w:rsid w:val="5F905960"/>
    <w:rsid w:val="5FAD0C82"/>
    <w:rsid w:val="600E16AB"/>
    <w:rsid w:val="603C6B90"/>
    <w:rsid w:val="608B4D11"/>
    <w:rsid w:val="60B146AA"/>
    <w:rsid w:val="60E930B4"/>
    <w:rsid w:val="61034DA8"/>
    <w:rsid w:val="61111960"/>
    <w:rsid w:val="612D5C44"/>
    <w:rsid w:val="61391E0A"/>
    <w:rsid w:val="616A0794"/>
    <w:rsid w:val="61716ECA"/>
    <w:rsid w:val="61984689"/>
    <w:rsid w:val="619B0D95"/>
    <w:rsid w:val="61A00D6C"/>
    <w:rsid w:val="61EC3C39"/>
    <w:rsid w:val="62093EA3"/>
    <w:rsid w:val="620B0745"/>
    <w:rsid w:val="621C5B02"/>
    <w:rsid w:val="6229181C"/>
    <w:rsid w:val="62293292"/>
    <w:rsid w:val="623C5690"/>
    <w:rsid w:val="624469DA"/>
    <w:rsid w:val="625B2CD4"/>
    <w:rsid w:val="62772330"/>
    <w:rsid w:val="629851A9"/>
    <w:rsid w:val="62B657FF"/>
    <w:rsid w:val="62C03657"/>
    <w:rsid w:val="62DF584D"/>
    <w:rsid w:val="62F96812"/>
    <w:rsid w:val="632D1B08"/>
    <w:rsid w:val="634B6B7B"/>
    <w:rsid w:val="637729C4"/>
    <w:rsid w:val="63813430"/>
    <w:rsid w:val="63A40F54"/>
    <w:rsid w:val="63E76134"/>
    <w:rsid w:val="64383FFB"/>
    <w:rsid w:val="6457654C"/>
    <w:rsid w:val="64834708"/>
    <w:rsid w:val="64A956EF"/>
    <w:rsid w:val="64AC0A38"/>
    <w:rsid w:val="64D43A06"/>
    <w:rsid w:val="64D45316"/>
    <w:rsid w:val="64D7550B"/>
    <w:rsid w:val="651A5C4B"/>
    <w:rsid w:val="653116C9"/>
    <w:rsid w:val="653A164C"/>
    <w:rsid w:val="65B31BCC"/>
    <w:rsid w:val="65B87A10"/>
    <w:rsid w:val="65D35C16"/>
    <w:rsid w:val="6606215B"/>
    <w:rsid w:val="66540648"/>
    <w:rsid w:val="666879C6"/>
    <w:rsid w:val="66B74724"/>
    <w:rsid w:val="66EA1E3B"/>
    <w:rsid w:val="66ED5049"/>
    <w:rsid w:val="671B3499"/>
    <w:rsid w:val="6774663E"/>
    <w:rsid w:val="67956067"/>
    <w:rsid w:val="67B71CB2"/>
    <w:rsid w:val="68031777"/>
    <w:rsid w:val="68353249"/>
    <w:rsid w:val="685272E2"/>
    <w:rsid w:val="68767A40"/>
    <w:rsid w:val="68B03C37"/>
    <w:rsid w:val="68C11D22"/>
    <w:rsid w:val="68D01D60"/>
    <w:rsid w:val="68D575AA"/>
    <w:rsid w:val="68EB7C0C"/>
    <w:rsid w:val="68F0116E"/>
    <w:rsid w:val="68F73295"/>
    <w:rsid w:val="69085BD7"/>
    <w:rsid w:val="69154FCB"/>
    <w:rsid w:val="69680059"/>
    <w:rsid w:val="69882A50"/>
    <w:rsid w:val="69931B97"/>
    <w:rsid w:val="699879F8"/>
    <w:rsid w:val="69C8110F"/>
    <w:rsid w:val="6A287ACE"/>
    <w:rsid w:val="6A544FCD"/>
    <w:rsid w:val="6AC26EA2"/>
    <w:rsid w:val="6AC44695"/>
    <w:rsid w:val="6B477EF6"/>
    <w:rsid w:val="6B513865"/>
    <w:rsid w:val="6B903974"/>
    <w:rsid w:val="6B9A256C"/>
    <w:rsid w:val="6BA373FF"/>
    <w:rsid w:val="6BEB1E5F"/>
    <w:rsid w:val="6C4957FC"/>
    <w:rsid w:val="6C515BF6"/>
    <w:rsid w:val="6C53730E"/>
    <w:rsid w:val="6C5534FB"/>
    <w:rsid w:val="6C61176F"/>
    <w:rsid w:val="6C666306"/>
    <w:rsid w:val="6CCC2D95"/>
    <w:rsid w:val="6D387925"/>
    <w:rsid w:val="6D3E0CE6"/>
    <w:rsid w:val="6D5A7AE3"/>
    <w:rsid w:val="6D6E3F95"/>
    <w:rsid w:val="6DB151E2"/>
    <w:rsid w:val="6DBF39F3"/>
    <w:rsid w:val="6DC0644E"/>
    <w:rsid w:val="6DCF6202"/>
    <w:rsid w:val="6DE71080"/>
    <w:rsid w:val="6E137528"/>
    <w:rsid w:val="6E3E07AD"/>
    <w:rsid w:val="6E80463B"/>
    <w:rsid w:val="6E895A0C"/>
    <w:rsid w:val="6EC56FAA"/>
    <w:rsid w:val="6F22793F"/>
    <w:rsid w:val="6F457884"/>
    <w:rsid w:val="6F531B65"/>
    <w:rsid w:val="6F570F4E"/>
    <w:rsid w:val="6F7C1012"/>
    <w:rsid w:val="6F883155"/>
    <w:rsid w:val="6F8C7070"/>
    <w:rsid w:val="6F9E118C"/>
    <w:rsid w:val="6FA2085B"/>
    <w:rsid w:val="6FE70842"/>
    <w:rsid w:val="6FEA4E60"/>
    <w:rsid w:val="6FF53E70"/>
    <w:rsid w:val="700713B2"/>
    <w:rsid w:val="701A2DBF"/>
    <w:rsid w:val="703D260A"/>
    <w:rsid w:val="70642ED3"/>
    <w:rsid w:val="70763652"/>
    <w:rsid w:val="70A15996"/>
    <w:rsid w:val="70A2792D"/>
    <w:rsid w:val="70C0193D"/>
    <w:rsid w:val="70F43E95"/>
    <w:rsid w:val="713779A1"/>
    <w:rsid w:val="715168D7"/>
    <w:rsid w:val="71806AFE"/>
    <w:rsid w:val="718A55DC"/>
    <w:rsid w:val="71FE5EAA"/>
    <w:rsid w:val="720C6BF9"/>
    <w:rsid w:val="72447793"/>
    <w:rsid w:val="724E26A6"/>
    <w:rsid w:val="727601AB"/>
    <w:rsid w:val="72953F4C"/>
    <w:rsid w:val="72BA2638"/>
    <w:rsid w:val="72E24278"/>
    <w:rsid w:val="72F247EE"/>
    <w:rsid w:val="73046E24"/>
    <w:rsid w:val="73117CBC"/>
    <w:rsid w:val="731D3DC6"/>
    <w:rsid w:val="73501BC3"/>
    <w:rsid w:val="73785811"/>
    <w:rsid w:val="73843B37"/>
    <w:rsid w:val="739B2C36"/>
    <w:rsid w:val="73A56DC9"/>
    <w:rsid w:val="73AA2AB8"/>
    <w:rsid w:val="73D8014A"/>
    <w:rsid w:val="73F076FD"/>
    <w:rsid w:val="7448595E"/>
    <w:rsid w:val="74490D87"/>
    <w:rsid w:val="746E1E39"/>
    <w:rsid w:val="74A148F5"/>
    <w:rsid w:val="74A25915"/>
    <w:rsid w:val="74D0444D"/>
    <w:rsid w:val="750000AA"/>
    <w:rsid w:val="750A7ABF"/>
    <w:rsid w:val="754931B4"/>
    <w:rsid w:val="75706FDE"/>
    <w:rsid w:val="75775492"/>
    <w:rsid w:val="759077E6"/>
    <w:rsid w:val="75940C8C"/>
    <w:rsid w:val="75BB2BFD"/>
    <w:rsid w:val="75C624A0"/>
    <w:rsid w:val="75C940ED"/>
    <w:rsid w:val="75CE763E"/>
    <w:rsid w:val="75E83013"/>
    <w:rsid w:val="765748C8"/>
    <w:rsid w:val="76680ED5"/>
    <w:rsid w:val="76AC7129"/>
    <w:rsid w:val="76D15FF3"/>
    <w:rsid w:val="76D71D89"/>
    <w:rsid w:val="773C2D8E"/>
    <w:rsid w:val="77550A67"/>
    <w:rsid w:val="77B83BB6"/>
    <w:rsid w:val="77BA2D12"/>
    <w:rsid w:val="7855561B"/>
    <w:rsid w:val="7856695F"/>
    <w:rsid w:val="7866427B"/>
    <w:rsid w:val="78A60FF4"/>
    <w:rsid w:val="78B06E49"/>
    <w:rsid w:val="78F67487"/>
    <w:rsid w:val="78F70F79"/>
    <w:rsid w:val="78F732D8"/>
    <w:rsid w:val="790F1791"/>
    <w:rsid w:val="791F3849"/>
    <w:rsid w:val="797350BA"/>
    <w:rsid w:val="79775EC9"/>
    <w:rsid w:val="799464C4"/>
    <w:rsid w:val="79D00415"/>
    <w:rsid w:val="79EE2754"/>
    <w:rsid w:val="7A0657BE"/>
    <w:rsid w:val="7A123562"/>
    <w:rsid w:val="7A1A7F37"/>
    <w:rsid w:val="7A1C7B11"/>
    <w:rsid w:val="7A227394"/>
    <w:rsid w:val="7A2F4AE0"/>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537D03"/>
    <w:rsid w:val="7CD535CF"/>
    <w:rsid w:val="7D34076E"/>
    <w:rsid w:val="7D4C75A5"/>
    <w:rsid w:val="7D53381A"/>
    <w:rsid w:val="7D624404"/>
    <w:rsid w:val="7D7477AD"/>
    <w:rsid w:val="7DBB0FE6"/>
    <w:rsid w:val="7DEB2B99"/>
    <w:rsid w:val="7DF25444"/>
    <w:rsid w:val="7DF27933"/>
    <w:rsid w:val="7E1A21B9"/>
    <w:rsid w:val="7E2C708B"/>
    <w:rsid w:val="7E6B4778"/>
    <w:rsid w:val="7E9B2B28"/>
    <w:rsid w:val="7EB910BD"/>
    <w:rsid w:val="7F476E1E"/>
    <w:rsid w:val="7FA15EE9"/>
    <w:rsid w:val="7FA77E3B"/>
    <w:rsid w:val="7FF10E47"/>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unhideWhenUsed/>
    <w:qFormat/>
    <w:uiPriority w:val="0"/>
    <w:pPr>
      <w:numPr>
        <w:ilvl w:val="0"/>
        <w:numId w:val="1"/>
      </w:numPr>
      <w:spacing w:line="360" w:lineRule="auto"/>
      <w:ind w:firstLine="480" w:firstLineChars="200"/>
      <w:jc w:val="left"/>
      <w:outlineLvl w:val="1"/>
    </w:pPr>
    <w:rPr>
      <w:rFonts w:ascii="Arial" w:hAnsi="Arial" w:eastAsia="宋体" w:cs="Times New Roman"/>
      <w:color w:val="000000" w:themeColor="text1"/>
      <w:sz w:val="24"/>
      <w:szCs w:val="24"/>
      <w14:textFill>
        <w14:solidFill>
          <w14:schemeClr w14:val="tx1"/>
        </w14:solidFill>
      </w14:textFill>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5">
    <w:name w:val="Body Text"/>
    <w:basedOn w:val="1"/>
    <w:qFormat/>
    <w:uiPriority w:val="1"/>
    <w:rPr>
      <w:sz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unhideWhenUsed/>
    <w:qFormat/>
    <w:uiPriority w:val="0"/>
    <w:rPr>
      <w:color w:val="0091F2"/>
      <w:sz w:val="18"/>
      <w:szCs w:val="18"/>
      <w:u w:val="none"/>
    </w:rPr>
  </w:style>
  <w:style w:type="character" w:styleId="13">
    <w:name w:val="Hyperlink"/>
    <w:basedOn w:val="10"/>
    <w:unhideWhenUsed/>
    <w:qFormat/>
    <w:uiPriority w:val="0"/>
    <w:rPr>
      <w:color w:val="0091F2"/>
      <w:sz w:val="18"/>
      <w:szCs w:val="18"/>
      <w:u w:val="none"/>
    </w:rPr>
  </w:style>
  <w:style w:type="character" w:styleId="14">
    <w:name w:val="HTML Code"/>
    <w:basedOn w:val="10"/>
    <w:unhideWhenUsed/>
    <w:qFormat/>
    <w:uiPriority w:val="0"/>
    <w:rPr>
      <w:rFonts w:ascii="Courier New" w:hAnsi="Courier New"/>
      <w:sz w:val="20"/>
    </w:rPr>
  </w:style>
  <w:style w:type="paragraph" w:customStyle="1" w:styleId="15">
    <w:name w:val="列表段落1"/>
    <w:basedOn w:val="1"/>
    <w:qFormat/>
    <w:uiPriority w:val="34"/>
    <w:pPr>
      <w:spacing w:before="206"/>
      <w:ind w:left="959" w:hanging="361"/>
    </w:pPr>
  </w:style>
  <w:style w:type="character" w:customStyle="1" w:styleId="16">
    <w:name w:val="cd_message"/>
    <w:basedOn w:val="10"/>
    <w:qFormat/>
    <w:uiPriority w:val="0"/>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列出段落1"/>
    <w:basedOn w:val="1"/>
    <w:qFormat/>
    <w:uiPriority w:val="99"/>
    <w:pPr>
      <w:ind w:firstLine="420" w:firstLineChars="200"/>
    </w:pPr>
  </w:style>
  <w:style w:type="character" w:customStyle="1" w:styleId="19">
    <w:name w:val="页眉 Char"/>
    <w:basedOn w:val="10"/>
    <w:link w:val="7"/>
    <w:qFormat/>
    <w:uiPriority w:val="0"/>
    <w:rPr>
      <w:kern w:val="2"/>
      <w:sz w:val="18"/>
      <w:szCs w:val="18"/>
    </w:rPr>
  </w:style>
  <w:style w:type="character" w:customStyle="1" w:styleId="20">
    <w:name w:val="common_over_page_btn1"/>
    <w:basedOn w:val="10"/>
    <w:qFormat/>
    <w:uiPriority w:val="0"/>
  </w:style>
  <w:style w:type="character" w:customStyle="1" w:styleId="21">
    <w:name w:val="common_over_page_btn2"/>
    <w:basedOn w:val="10"/>
    <w:qFormat/>
    <w:uiPriority w:val="0"/>
    <w:rPr>
      <w:color w:val="999999"/>
      <w:bdr w:val="single" w:color="D4D4D4" w:sz="6" w:space="0"/>
      <w:shd w:val="clear" w:color="auto" w:fill="FFFFFF"/>
    </w:rPr>
  </w:style>
  <w:style w:type="paragraph" w:customStyle="1" w:styleId="22">
    <w:name w:val="Table Paragraph"/>
    <w:basedOn w:val="1"/>
    <w:qFormat/>
    <w:uiPriority w:val="1"/>
  </w:style>
  <w:style w:type="paragraph" w:customStyle="1"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9951</Words>
  <Characters>10609</Characters>
  <Lines>36</Lines>
  <Paragraphs>10</Paragraphs>
  <TotalTime>69</TotalTime>
  <ScaleCrop>false</ScaleCrop>
  <LinksUpToDate>false</LinksUpToDate>
  <CharactersWithSpaces>11241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郑杰鹏</cp:lastModifiedBy>
  <dcterms:modified xsi:type="dcterms:W3CDTF">2024-06-12T05:39:24Z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AB2D210CA2374EE9A0E3157F9590224A_13</vt:lpwstr>
  </property>
</Properties>
</file>