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w:t>
      </w:r>
      <w:r>
        <w:rPr>
          <w:rFonts w:hint="eastAsia" w:ascii="宋体" w:hAnsi="宋体" w:cs="宋体"/>
          <w:color w:val="auto"/>
          <w:kern w:val="0"/>
          <w:sz w:val="72"/>
          <w:szCs w:val="72"/>
          <w:shd w:val="clear" w:color="auto" w:fill="FFFFFF"/>
          <w:lang w:eastAsia="zh-CN"/>
        </w:rPr>
        <w:t>参选</w:t>
      </w:r>
      <w:r>
        <w:rPr>
          <w:rFonts w:hint="eastAsia" w:ascii="宋体" w:hAnsi="宋体" w:cs="宋体"/>
          <w:color w:val="auto"/>
          <w:kern w:val="0"/>
          <w:sz w:val="72"/>
          <w:szCs w:val="72"/>
          <w:shd w:val="clear" w:color="auto" w:fill="FFFFFF"/>
        </w:rPr>
        <w:t>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lang w:eastAsia="zh-CN"/>
        </w:rPr>
        <w:t>参选</w:t>
      </w:r>
      <w:r>
        <w:rPr>
          <w:rFonts w:hint="eastAsia" w:ascii="宋体" w:hAnsi="宋体" w:cs="宋体"/>
          <w:color w:val="auto"/>
          <w:kern w:val="0"/>
          <w:sz w:val="36"/>
          <w:szCs w:val="36"/>
          <w:shd w:val="clear" w:color="auto" w:fill="FFFFFF"/>
        </w:rPr>
        <w:t>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磷酸</w:t>
      </w:r>
    </w:p>
    <w:p>
      <w:pPr>
        <w:widowControl/>
        <w:shd w:val="clear" w:color="auto" w:fill="FFFFFF"/>
        <w:jc w:val="center"/>
        <w:rPr>
          <w:rFonts w:hint="eastAsia" w:eastAsia="宋体"/>
          <w:color w:val="auto"/>
          <w:szCs w:val="21"/>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2024-FHC-磷酸-0529</w:t>
      </w:r>
    </w:p>
    <w:p>
      <w:pPr>
        <w:widowControl/>
        <w:shd w:val="clear" w:color="auto" w:fill="FFFFFF"/>
        <w:rPr>
          <w:color w:val="auto"/>
          <w:szCs w:val="21"/>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lang w:eastAsia="zh-CN"/>
        </w:rPr>
        <w:t>翔鹭石化（漳州）有限公司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4</w:t>
      </w:r>
      <w:r>
        <w:rPr>
          <w:rFonts w:hint="eastAsia" w:asciiTheme="minorEastAsia" w:hAnsiTheme="minorEastAsia" w:eastAsiaTheme="minorEastAsia" w:cstheme="minorEastAsia"/>
          <w:color w:val="auto"/>
          <w:kern w:val="0"/>
          <w:sz w:val="28"/>
          <w:szCs w:val="28"/>
          <w:shd w:val="clear" w:color="auto" w:fill="FFFFFF"/>
          <w:lang w:eastAsia="zh-CN"/>
        </w:rPr>
        <w:t>年</w:t>
      </w:r>
      <w:r>
        <w:rPr>
          <w:rFonts w:hint="eastAsia" w:asciiTheme="minorEastAsia" w:hAnsiTheme="minorEastAsia" w:eastAsiaTheme="minorEastAsia" w:cstheme="minorEastAsia"/>
          <w:color w:val="auto"/>
          <w:kern w:val="0"/>
          <w:sz w:val="28"/>
          <w:szCs w:val="28"/>
          <w:shd w:val="clear" w:color="auto" w:fill="FFFFFF"/>
          <w:lang w:val="en-US" w:eastAsia="zh-CN"/>
        </w:rPr>
        <w:t>6</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both"/>
        <w:rPr>
          <w:rFonts w:hint="eastAsia" w:ascii="宋体" w:hAnsi="宋体"/>
          <w:b/>
          <w:bCs/>
          <w:color w:val="auto"/>
          <w:sz w:val="36"/>
        </w:rPr>
      </w:pPr>
    </w:p>
    <w:p>
      <w:pPr>
        <w:spacing w:line="400" w:lineRule="exact"/>
        <w:jc w:val="center"/>
        <w:rPr>
          <w:b/>
          <w:color w:val="auto"/>
          <w:sz w:val="28"/>
        </w:rPr>
      </w:pPr>
      <w:r>
        <w:rPr>
          <w:rFonts w:hint="eastAsia" w:ascii="宋体" w:hAnsi="宋体"/>
          <w:b/>
          <w:bCs/>
          <w:color w:val="auto"/>
          <w:sz w:val="36"/>
        </w:rPr>
        <w:t>一、</w:t>
      </w:r>
      <w:r>
        <w:rPr>
          <w:rFonts w:hint="eastAsia" w:ascii="宋体" w:hAnsi="宋体"/>
          <w:b/>
          <w:bCs/>
          <w:color w:val="auto"/>
          <w:sz w:val="36"/>
          <w:lang w:eastAsia="zh-CN"/>
        </w:rPr>
        <w:t>参选</w:t>
      </w:r>
      <w:r>
        <w:rPr>
          <w:rFonts w:hint="eastAsia" w:ascii="宋体" w:hAnsi="宋体"/>
          <w:b/>
          <w:bCs/>
          <w:color w:val="auto"/>
          <w:sz w:val="36"/>
        </w:rPr>
        <w:t>公告</w:t>
      </w:r>
    </w:p>
    <w:p>
      <w:pPr>
        <w:jc w:val="center"/>
        <w:rPr>
          <w:rFonts w:hint="eastAsia" w:eastAsia="宋体"/>
          <w:b/>
          <w:bCs/>
          <w:color w:val="auto"/>
          <w:sz w:val="32"/>
          <w:lang w:eastAsia="zh-CN"/>
        </w:rPr>
      </w:pPr>
      <w:r>
        <w:rPr>
          <w:rFonts w:hint="eastAsia"/>
          <w:b/>
          <w:bCs/>
          <w:color w:val="auto"/>
          <w:sz w:val="32"/>
          <w:lang w:eastAsia="zh-CN"/>
        </w:rPr>
        <w:t>翔鹭石化（漳州）有限公司</w:t>
      </w:r>
    </w:p>
    <w:p>
      <w:pPr>
        <w:jc w:val="center"/>
        <w:rPr>
          <w:bCs/>
          <w:color w:val="auto"/>
          <w:szCs w:val="21"/>
        </w:rPr>
      </w:pPr>
      <w:r>
        <w:rPr>
          <w:rFonts w:hint="eastAsia"/>
          <w:b/>
          <w:bCs/>
          <w:color w:val="auto"/>
          <w:sz w:val="32"/>
          <w:lang w:eastAsia="zh-CN"/>
        </w:rPr>
        <w:t>磷酸</w:t>
      </w:r>
      <w:r>
        <w:rPr>
          <w:b/>
          <w:bCs/>
          <w:color w:val="auto"/>
          <w:sz w:val="32"/>
        </w:rPr>
        <w:t>采购</w:t>
      </w:r>
      <w:r>
        <w:rPr>
          <w:rFonts w:hint="eastAsia"/>
          <w:b/>
          <w:bCs/>
          <w:color w:val="auto"/>
          <w:sz w:val="32"/>
          <w:lang w:eastAsia="zh-CN"/>
        </w:rPr>
        <w:t>参选</w:t>
      </w:r>
      <w:r>
        <w:rPr>
          <w:rFonts w:hint="eastAsia"/>
          <w:b/>
          <w:bCs/>
          <w:color w:val="auto"/>
          <w:sz w:val="32"/>
        </w:rPr>
        <w:t>公告</w:t>
      </w:r>
    </w:p>
    <w:p>
      <w:pPr>
        <w:spacing w:before="100" w:beforeAutospacing="1" w:after="100" w:afterAutospacing="1" w:line="36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翔鹭石化（漳州）有限公司</w:t>
      </w:r>
      <w:r>
        <w:rPr>
          <w:rFonts w:hint="eastAsia" w:asciiTheme="minorEastAsia" w:hAnsiTheme="minorEastAsia" w:eastAsiaTheme="minorEastAsia"/>
          <w:bCs/>
          <w:color w:val="auto"/>
          <w:sz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磷酸</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2024-FHC-磷酸-0529）</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pacing w:val="-2"/>
          <w:sz w:val="24"/>
        </w:rPr>
        <w:t>欢迎</w:t>
      </w:r>
      <w:r>
        <w:rPr>
          <w:rFonts w:hint="eastAsia" w:asciiTheme="minorEastAsia" w:hAnsiTheme="minorEastAsia" w:eastAsiaTheme="minorEastAsia"/>
          <w:bCs/>
          <w:color w:val="auto"/>
          <w:spacing w:val="-2"/>
          <w:sz w:val="24"/>
          <w:lang w:val="en-US" w:eastAsia="zh-CN"/>
        </w:rPr>
        <w:t>国内</w:t>
      </w:r>
      <w:r>
        <w:rPr>
          <w:rFonts w:hint="eastAsia" w:asciiTheme="minorEastAsia" w:hAnsiTheme="minorEastAsia" w:eastAsiaTheme="minorEastAsia"/>
          <w:bCs/>
          <w:color w:val="auto"/>
          <w:spacing w:val="-2"/>
          <w:sz w:val="24"/>
        </w:rPr>
        <w:t>符合条件的供应商积极参选。</w:t>
      </w:r>
    </w:p>
    <w:p>
      <w:pPr>
        <w:pStyle w:val="10"/>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0"/>
        <w:numPr>
          <w:ilvl w:val="0"/>
          <w:numId w:val="2"/>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val="en-US" w:eastAsia="zh-CN"/>
        </w:rPr>
        <w:t>磷酸</w:t>
      </w:r>
    </w:p>
    <w:p>
      <w:pPr>
        <w:pStyle w:val="10"/>
        <w:numPr>
          <w:ilvl w:val="0"/>
          <w:numId w:val="2"/>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项目：</w:t>
      </w:r>
      <w:r>
        <w:rPr>
          <w:rFonts w:hint="eastAsia" w:asciiTheme="minorEastAsia" w:hAnsiTheme="minorEastAsia" w:eastAsiaTheme="minorEastAsia"/>
          <w:bCs/>
          <w:color w:val="auto"/>
          <w:sz w:val="24"/>
          <w:lang w:eastAsia="zh-CN"/>
        </w:rPr>
        <w:t>磷酸</w:t>
      </w:r>
      <w:r>
        <w:rPr>
          <w:rFonts w:hint="eastAsia" w:asciiTheme="minorEastAsia" w:hAnsiTheme="minorEastAsia" w:eastAsiaTheme="minorEastAsia"/>
          <w:bCs/>
          <w:color w:val="auto"/>
          <w:sz w:val="24"/>
        </w:rPr>
        <w:t>采购数量、质量、货期等要求详见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pStyle w:val="10"/>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0"/>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p>
    <w:p>
      <w:pPr>
        <w:pStyle w:val="10"/>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p>
    <w:p>
      <w:pPr>
        <w:pStyle w:val="10"/>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0"/>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人无诉讼纠纷。</w:t>
      </w:r>
    </w:p>
    <w:p>
      <w:pPr>
        <w:pStyle w:val="10"/>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具备相应的经营业绩</w:t>
      </w:r>
    </w:p>
    <w:p>
      <w:pPr>
        <w:pStyle w:val="10"/>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贰万伍仟圆整</w:t>
      </w:r>
    </w:p>
    <w:p>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w:t>
      </w:r>
      <w:r>
        <w:rPr>
          <w:rFonts w:hint="eastAsia" w:asciiTheme="minorEastAsia" w:hAnsiTheme="minorEastAsia" w:eastAsiaTheme="minorEastAsia"/>
          <w:b/>
          <w:bCs/>
          <w:color w:val="auto"/>
          <w:sz w:val="24"/>
          <w:lang w:eastAsia="zh-CN"/>
        </w:rPr>
        <w:t>参选</w:t>
      </w:r>
      <w:r>
        <w:rPr>
          <w:rFonts w:hint="eastAsia" w:asciiTheme="minorEastAsia" w:hAnsiTheme="minorEastAsia" w:eastAsiaTheme="minorEastAsia"/>
          <w:b/>
          <w:bCs/>
          <w:color w:val="auto"/>
          <w:sz w:val="24"/>
        </w:rPr>
        <w:t>文件</w:t>
      </w:r>
    </w:p>
    <w:p>
      <w:pPr>
        <w:pStyle w:val="10"/>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6</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13</w:t>
      </w:r>
      <w:r>
        <w:rPr>
          <w:rFonts w:hint="eastAsia" w:asciiTheme="majorEastAsia" w:hAnsiTheme="majorEastAsia" w:eastAsiaTheme="majorEastAsia"/>
          <w:color w:val="auto"/>
          <w:sz w:val="24"/>
        </w:rPr>
        <w:t>日（含当日）</w:t>
      </w:r>
      <w:r>
        <w:rPr>
          <w:rFonts w:hint="eastAsia" w:asciiTheme="majorEastAsia" w:hAnsiTheme="majorEastAsia" w:eastAsiaTheme="majorEastAsia"/>
          <w:color w:val="auto"/>
          <w:sz w:val="24"/>
          <w:lang w:eastAsia="zh-CN"/>
        </w:rPr>
        <w:t>。</w:t>
      </w:r>
    </w:p>
    <w:p>
      <w:pPr>
        <w:pStyle w:val="10"/>
        <w:numPr>
          <w:ilvl w:val="255"/>
          <w:numId w:val="0"/>
        </w:numPr>
        <w:spacing w:before="0" w:line="360" w:lineRule="auto"/>
        <w:ind w:left="832"/>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危化品经营许可证、业绩</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0"/>
        <w:spacing w:before="0" w:line="336" w:lineRule="auto"/>
        <w:ind w:left="832" w:firstLine="0"/>
        <w:rPr>
          <w:rFonts w:hint="eastAsia" w:asciiTheme="minorEastAsia" w:hAnsiTheme="minorEastAsia" w:eastAsiaTheme="minorEastAsia"/>
          <w:bCs/>
          <w:color w:val="auto"/>
          <w:sz w:val="24"/>
          <w:highlight w:val="yellow"/>
          <w:lang w:eastAsia="zh-CN"/>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汇款银行水单：</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贰万伍仟圆整</w:t>
      </w:r>
      <w:r>
        <w:rPr>
          <w:rFonts w:hint="eastAsia" w:asciiTheme="minorEastAsia" w:hAnsiTheme="minorEastAsia" w:eastAsiaTheme="minorEastAsia"/>
          <w:bCs/>
          <w:color w:val="auto"/>
          <w:sz w:val="24"/>
        </w:rPr>
        <w:t>，如中选、该保证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转为履约保证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，如不中选，在</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结束后请联系商务联系人办理无息等额退款。</w:t>
      </w:r>
      <w:r>
        <w:rPr>
          <w:rFonts w:hint="eastAsia" w:asciiTheme="minorEastAsia" w:hAnsiTheme="minorEastAsia" w:eastAsiaTheme="minorEastAsia"/>
          <w:bCs/>
          <w:color w:val="auto"/>
          <w:sz w:val="24"/>
          <w:highlight w:val="yellow"/>
          <w:lang w:eastAsia="zh-CN"/>
        </w:rPr>
        <w:t>（</w:t>
      </w:r>
      <w:r>
        <w:rPr>
          <w:rFonts w:hint="eastAsia" w:asciiTheme="minorEastAsia" w:hAnsiTheme="minorEastAsia" w:eastAsiaTheme="minorEastAsia"/>
          <w:bCs/>
          <w:color w:val="auto"/>
          <w:sz w:val="24"/>
          <w:highlight w:val="yellow"/>
          <w:lang w:val="en-US" w:eastAsia="zh-CN"/>
        </w:rPr>
        <w:t>保证金请备注项目名称！</w:t>
      </w:r>
      <w:r>
        <w:rPr>
          <w:rFonts w:hint="eastAsia" w:asciiTheme="minorEastAsia" w:hAnsiTheme="minorEastAsia" w:eastAsiaTheme="minorEastAsia"/>
          <w:bCs/>
          <w:color w:val="auto"/>
          <w:sz w:val="24"/>
          <w:highlight w:val="yellow"/>
          <w:lang w:eastAsia="zh-CN"/>
        </w:rPr>
        <w:t>）</w:t>
      </w:r>
    </w:p>
    <w:p>
      <w:pPr>
        <w:pStyle w:val="10"/>
        <w:spacing w:line="336" w:lineRule="auto"/>
        <w:ind w:left="0"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福建福海创石油化工有限公司</w:t>
      </w:r>
    </w:p>
    <w:p>
      <w:pPr>
        <w:spacing w:line="360" w:lineRule="auto"/>
        <w:ind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开户银行：中国银行漳州古雷经济开发区支行</w:t>
      </w:r>
    </w:p>
    <w:p>
      <w:pPr>
        <w:spacing w:line="360" w:lineRule="auto"/>
        <w:ind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    号：406574816628</w:t>
      </w:r>
    </w:p>
    <w:p>
      <w:pPr>
        <w:pStyle w:val="10"/>
        <w:numPr>
          <w:ilvl w:val="0"/>
          <w:numId w:val="4"/>
        </w:numPr>
        <w:spacing w:before="0"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文件：参选人自行下载</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0"/>
        <w:numPr>
          <w:ilvl w:val="0"/>
          <w:numId w:val="5"/>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3楼煤炭及辅料团队</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郑萍13015727080</w:t>
      </w:r>
      <w:r>
        <w:rPr>
          <w:rFonts w:hint="eastAsia" w:asciiTheme="minorEastAsia" w:hAnsiTheme="minorEastAsia" w:eastAsiaTheme="minorEastAsia"/>
          <w:bCs/>
          <w:sz w:val="24"/>
        </w:rPr>
        <w:t>。</w:t>
      </w:r>
    </w:p>
    <w:p>
      <w:pPr>
        <w:pStyle w:val="10"/>
        <w:numPr>
          <w:ilvl w:val="0"/>
          <w:numId w:val="5"/>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sz w:val="24"/>
          <w:lang w:val="en-US" w:eastAsia="zh-CN"/>
        </w:rPr>
        <w:t>2024年6月17</w:t>
      </w:r>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15:30</w:t>
      </w:r>
    </w:p>
    <w:p>
      <w:pPr>
        <w:pStyle w:val="10"/>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同时快递内随附参选文件电子版资料</w:t>
      </w:r>
      <w:r>
        <w:rPr>
          <w:rFonts w:asciiTheme="minorEastAsia" w:hAnsiTheme="minorEastAsia" w:eastAsiaTheme="minorEastAsia"/>
          <w:bCs/>
          <w:sz w:val="24"/>
          <w:highlight w:val="yellow"/>
        </w:rPr>
        <w:t>！</w:t>
      </w:r>
    </w:p>
    <w:p>
      <w:pPr>
        <w:pStyle w:val="10"/>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如遇</w:t>
      </w:r>
      <w:r>
        <w:rPr>
          <w:rFonts w:hint="eastAsia" w:asciiTheme="minorEastAsia" w:hAnsiTheme="minorEastAsia" w:eastAsiaTheme="minorEastAsia"/>
          <w:bCs/>
          <w:color w:val="auto"/>
          <w:sz w:val="24"/>
          <w:lang w:val="en-US" w:eastAsia="zh-CN"/>
        </w:rPr>
        <w:t>不可抗力等因素</w:t>
      </w:r>
      <w:r>
        <w:rPr>
          <w:rFonts w:hint="eastAsia" w:asciiTheme="minorEastAsia" w:hAnsiTheme="minorEastAsia" w:eastAsiaTheme="minorEastAsia"/>
          <w:bCs/>
          <w:color w:val="auto"/>
          <w:sz w:val="24"/>
        </w:rPr>
        <w:t>影响导致无法保证物流配送时间，需邮件说明原因并在参选文件</w:t>
      </w:r>
      <w:r>
        <w:rPr>
          <w:rFonts w:hint="eastAsia" w:asciiTheme="majorEastAsia" w:hAnsiTheme="majorEastAsia" w:eastAsiaTheme="majorEastAsia"/>
          <w:bCs/>
          <w:color w:val="auto"/>
          <w:sz w:val="24"/>
        </w:rPr>
        <w:t>递交截止时间前邮件加密发送参选文件至：</w:t>
      </w:r>
      <w:r>
        <w:rPr>
          <w:rFonts w:hint="eastAsia" w:asciiTheme="majorEastAsia" w:hAnsiTheme="majorEastAsia" w:eastAsiaTheme="majorEastAsia"/>
          <w:bCs/>
          <w:color w:val="auto"/>
          <w:sz w:val="24"/>
        </w:rPr>
        <w:fldChar w:fldCharType="begin"/>
      </w:r>
      <w:r>
        <w:rPr>
          <w:rFonts w:hint="eastAsia" w:asciiTheme="majorEastAsia" w:hAnsiTheme="majorEastAsia" w:eastAsiaTheme="majorEastAsia"/>
          <w:bCs/>
          <w:color w:val="auto"/>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auto"/>
          <w:sz w:val="24"/>
        </w:rPr>
        <w:fldChar w:fldCharType="separate"/>
      </w:r>
      <w:r>
        <w:rPr>
          <w:rFonts w:hint="eastAsia" w:asciiTheme="majorEastAsia" w:hAnsiTheme="majorEastAsia" w:eastAsiaTheme="majorEastAsia"/>
          <w:bCs/>
          <w:color w:val="auto"/>
          <w:sz w:val="24"/>
        </w:rPr>
        <w:t>wzcgb@fjpec.com.cn（邮件标题备注参选项目名称）。开选当日将由业务员联系获取加密密码。</w:t>
      </w:r>
      <w:r>
        <w:rPr>
          <w:rFonts w:hint="eastAsia" w:asciiTheme="majorEastAsia" w:hAnsiTheme="majorEastAsia" w:eastAsiaTheme="majorEastAsia"/>
          <w:bCs/>
          <w:color w:val="auto"/>
          <w:sz w:val="24"/>
        </w:rPr>
        <w:fldChar w:fldCharType="end"/>
      </w:r>
    </w:p>
    <w:p>
      <w:pPr>
        <w:pStyle w:val="10"/>
        <w:numPr>
          <w:ilvl w:val="0"/>
          <w:numId w:val="5"/>
        </w:numPr>
        <w:spacing w:before="100" w:beforeAutospacing="1" w:after="100" w:afterAutospacing="1"/>
        <w:ind w:left="1200" w:leftChars="0" w:firstLineChars="0"/>
        <w:rPr>
          <w:rFonts w:asciiTheme="minorEastAsia" w:hAnsiTheme="minorEastAsia" w:eastAsiaTheme="minorEastAsia"/>
          <w:b/>
          <w:bCs/>
          <w:color w:val="auto"/>
          <w:sz w:val="24"/>
        </w:rPr>
      </w:pPr>
      <w:r>
        <w:rPr>
          <w:rFonts w:hint="eastAsia" w:asciiTheme="majorEastAsia" w:hAnsiTheme="majorEastAsia" w:eastAsiaTheme="majorEastAsia"/>
          <w:bCs/>
          <w:color w:val="auto"/>
          <w:sz w:val="24"/>
        </w:rPr>
        <w:t>特别声明：（1）参选人必须对全部物资进行参选，不得部分参选，否则其</w:t>
      </w:r>
      <w:r>
        <w:rPr>
          <w:rFonts w:hint="eastAsia" w:asciiTheme="majorEastAsia" w:hAnsiTheme="majorEastAsia" w:eastAsiaTheme="majorEastAsia"/>
          <w:bCs/>
          <w:color w:val="auto"/>
          <w:sz w:val="24"/>
          <w:lang w:eastAsia="zh-CN"/>
        </w:rPr>
        <w:t>参选</w:t>
      </w:r>
      <w:r>
        <w:rPr>
          <w:rFonts w:hint="eastAsia" w:asciiTheme="majorEastAsia" w:hAnsiTheme="majorEastAsia" w:eastAsiaTheme="majorEastAsia"/>
          <w:bCs/>
          <w:color w:val="auto"/>
          <w:sz w:val="24"/>
        </w:rPr>
        <w:t>文件将被拒绝。（2）未进行登记报名的参选人，其递交的参选文件将被拒收。</w:t>
      </w:r>
    </w:p>
    <w:p>
      <w:pPr>
        <w:pStyle w:val="10"/>
        <w:numPr>
          <w:ilvl w:val="0"/>
          <w:numId w:val="0"/>
        </w:numPr>
        <w:spacing w:before="100" w:beforeAutospacing="1" w:after="100" w:afterAutospacing="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13015727080</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：wzcgb@fjp</w:t>
      </w:r>
      <w:r>
        <w:rPr>
          <w:rStyle w:val="11"/>
          <w:rFonts w:hint="eastAsia" w:ascii="Times New Roman" w:hAnsi="Times New Roman" w:eastAsia="宋体" w:cs="Times New Roman"/>
          <w:color w:val="auto"/>
        </w:rPr>
        <w:t>ec.com.cn</w:t>
      </w:r>
    </w:p>
    <w:p>
      <w:pPr>
        <w:pStyle w:val="2"/>
        <w:snapToGrid w:val="0"/>
        <w:spacing w:before="100" w:beforeAutospacing="1" w:after="100" w:afterAutospacing="1" w:line="36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陈海伟</w:t>
      </w:r>
      <w:r>
        <w:rPr>
          <w:rFonts w:hint="eastAsia" w:cs="宋体" w:asciiTheme="minorEastAsia" w:hAnsiTheme="minorEastAsia"/>
          <w:bCs/>
          <w:color w:val="auto"/>
          <w:sz w:val="24"/>
        </w:rPr>
        <w:t xml:space="preserve"> 电话：1361</w:t>
      </w:r>
      <w:r>
        <w:rPr>
          <w:rFonts w:hint="eastAsia" w:cs="宋体" w:asciiTheme="minorEastAsia" w:hAnsiTheme="minorEastAsia"/>
          <w:bCs/>
          <w:color w:val="auto"/>
          <w:sz w:val="24"/>
          <w:lang w:val="en-US" w:eastAsia="zh-CN"/>
        </w:rPr>
        <w:t>6</w:t>
      </w:r>
      <w:r>
        <w:rPr>
          <w:rFonts w:hint="eastAsia" w:cs="宋体" w:asciiTheme="minorEastAsia" w:hAnsiTheme="minorEastAsia"/>
          <w:bCs/>
          <w:color w:val="auto"/>
          <w:sz w:val="24"/>
          <w:lang w:eastAsia="zh-CN"/>
        </w:rPr>
        <w:t>0</w:t>
      </w:r>
      <w:r>
        <w:rPr>
          <w:rFonts w:hint="eastAsia" w:cs="宋体" w:asciiTheme="minorEastAsia" w:hAnsiTheme="minorEastAsia"/>
          <w:bCs/>
          <w:color w:val="auto"/>
          <w:sz w:val="24"/>
        </w:rPr>
        <w:t xml:space="preserve">07156  </w:t>
      </w:r>
      <w:r>
        <w:rPr>
          <w:rFonts w:hint="eastAsia" w:cs="宋体" w:asciiTheme="minorEastAsia" w:hAnsiTheme="minorEastAsia"/>
          <w:bCs/>
          <w:color w:val="auto"/>
          <w:sz w:val="24"/>
          <w:lang w:val="en-US" w:eastAsia="zh-CN"/>
        </w:rPr>
        <w:t xml:space="preserve"> </w:t>
      </w:r>
      <w:r>
        <w:rPr>
          <w:rFonts w:hint="eastAsia" w:cs="宋体" w:asciiTheme="minorEastAsia" w:hAnsiTheme="minorEastAsia"/>
          <w:bCs/>
          <w:color w:val="auto"/>
          <w:sz w:val="24"/>
        </w:rPr>
        <w:t>邮箱：</w:t>
      </w:r>
      <w:r>
        <w:rPr>
          <w:rFonts w:ascii="Arial" w:hAnsi="Arial" w:eastAsia="宋体" w:cs="Arial"/>
          <w:color w:val="auto"/>
          <w:sz w:val="18"/>
          <w:szCs w:val="18"/>
        </w:rPr>
        <w:t>hwchen@fhcpec.com.cn</w:t>
      </w:r>
    </w:p>
    <w:p>
      <w:pPr>
        <w:pStyle w:val="2"/>
        <w:snapToGrid w:val="0"/>
        <w:spacing w:before="100" w:beforeAutospacing="1" w:after="100" w:afterAutospacing="1" w:line="360" w:lineRule="auto"/>
        <w:ind w:left="412" w:firstLine="480" w:firstLineChars="200"/>
        <w:rPr>
          <w:rFonts w:hint="eastAsia" w:cs="宋体" w:asciiTheme="minorEastAsia" w:hAnsiTheme="minorEastAsia"/>
          <w:bCs/>
          <w:color w:val="auto"/>
          <w:sz w:val="24"/>
        </w:rPr>
      </w:pPr>
      <w:r>
        <w:rPr>
          <w:rFonts w:hint="eastAsia" w:cs="宋体" w:asciiTheme="minorEastAsia" w:hAnsiTheme="minorEastAsia"/>
          <w:bCs/>
          <w:color w:val="auto"/>
          <w:sz w:val="24"/>
        </w:rPr>
        <w:t>纪检监察室电话：0596-6311774</w:t>
      </w:r>
    </w:p>
    <w:p>
      <w:pPr>
        <w:pStyle w:val="2"/>
        <w:snapToGrid w:val="0"/>
        <w:spacing w:before="100" w:beforeAutospacing="1" w:after="100" w:afterAutospacing="1" w:line="360" w:lineRule="auto"/>
        <w:ind w:left="2090" w:leftChars="424" w:hanging="1200" w:hangingChars="500"/>
        <w:rPr>
          <w:rFonts w:hint="eastAsia" w:asciiTheme="minorEastAsia" w:hAnsiTheme="minorEastAsia"/>
          <w:bCs/>
          <w:sz w:val="24"/>
          <w:lang w:val="en-US" w:eastAsia="zh-CN"/>
        </w:rPr>
      </w:pPr>
      <w:r>
        <w:rPr>
          <w:rFonts w:hint="eastAsia" w:cs="宋体" w:asciiTheme="minorEastAsia" w:hAnsiTheme="minorEastAsia"/>
          <w:bCs/>
          <w:color w:val="auto"/>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bCs/>
          <w:sz w:val="24"/>
          <w:lang w:val="en-US" w:eastAsia="zh-CN"/>
        </w:rPr>
        <w:t>3楼</w:t>
      </w:r>
      <w:r>
        <w:rPr>
          <w:rFonts w:hint="eastAsia" w:asciiTheme="minorEastAsia" w:hAnsiTheme="minorEastAsia" w:eastAsiaTheme="minorEastAsia"/>
          <w:bCs/>
          <w:sz w:val="24"/>
        </w:rPr>
        <w:t>煤炭及辅料团队</w:t>
      </w:r>
      <w:r>
        <w:rPr>
          <w:rFonts w:hint="eastAsia" w:asciiTheme="minorEastAsia" w:hAnsiTheme="minorEastAsia"/>
          <w:bCs/>
          <w:sz w:val="24"/>
          <w:lang w:val="en-US" w:eastAsia="zh-CN"/>
        </w:rPr>
        <w:t xml:space="preserve">   </w:t>
      </w:r>
    </w:p>
    <w:p>
      <w:pPr>
        <w:pStyle w:val="2"/>
        <w:snapToGrid w:val="0"/>
        <w:spacing w:before="100" w:beforeAutospacing="1" w:after="100" w:afterAutospacing="1" w:line="336" w:lineRule="auto"/>
        <w:ind w:left="2090" w:leftChars="424" w:hanging="1200" w:hangingChars="500"/>
        <w:rPr>
          <w:rFonts w:hint="eastAsia" w:ascii="Arial" w:hAnsi="Arial" w:eastAsia="宋体" w:cs="Arial"/>
          <w:sz w:val="24"/>
          <w:shd w:val="clear" w:color="auto" w:fill="FFFFFF"/>
          <w:lang w:val="en-US" w:eastAsia="zh-CN"/>
        </w:rPr>
      </w:pPr>
      <w:r>
        <w:rPr>
          <w:rFonts w:hint="eastAsia" w:cs="宋体" w:asciiTheme="minorEastAsia" w:hAnsiTheme="minorEastAsia"/>
          <w:bCs/>
          <w:color w:val="auto"/>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pStyle w:val="2"/>
        <w:snapToGrid w:val="0"/>
        <w:spacing w:before="100" w:beforeAutospacing="1" w:after="100" w:afterAutospacing="1" w:line="336" w:lineRule="auto"/>
        <w:ind w:firstLine="5280" w:firstLineChars="2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eastAsia="zh-CN"/>
        </w:rPr>
        <w:t>翔鹭石化（漳州）有限公司</w:t>
      </w:r>
      <w:r>
        <w:rPr>
          <w:rFonts w:hint="eastAsia" w:asciiTheme="minorEastAsia" w:hAnsiTheme="minorEastAsia" w:eastAsiaTheme="minorEastAsia"/>
          <w:color w:val="auto"/>
          <w:sz w:val="24"/>
        </w:rPr>
        <w:t xml:space="preserve">  </w:t>
      </w:r>
    </w:p>
    <w:p>
      <w:pPr>
        <w:pStyle w:val="2"/>
        <w:snapToGrid w:val="0"/>
        <w:spacing w:before="100" w:beforeAutospacing="1" w:after="100" w:afterAutospacing="1" w:line="336" w:lineRule="auto"/>
        <w:ind w:left="0" w:leftChars="0" w:firstLine="5760" w:firstLineChars="2400"/>
        <w:rPr>
          <w:rFonts w:hint="eastAsia" w:ascii="宋体" w:hAnsi="宋体"/>
          <w:b/>
          <w:bCs/>
          <w:color w:val="auto"/>
          <w:sz w:val="36"/>
        </w:rPr>
      </w:pPr>
      <w:r>
        <w:rPr>
          <w:rFonts w:hint="eastAsia" w:asciiTheme="minorEastAsia" w:hAnsiTheme="minorEastAsia" w:eastAsiaTheme="minorEastAsia"/>
          <w:color w:val="auto"/>
          <w:sz w:val="24"/>
          <w:lang w:eastAsia="zh-CN"/>
        </w:rPr>
        <w:t>202</w:t>
      </w:r>
      <w:r>
        <w:rPr>
          <w:rFonts w:hint="eastAsia" w:asciiTheme="minorEastAsia" w:hAnsiTheme="minorEastAsia"/>
          <w:color w:val="auto"/>
          <w:sz w:val="24"/>
          <w:lang w:val="en-US" w:eastAsia="zh-CN"/>
        </w:rPr>
        <w:t>4</w:t>
      </w:r>
      <w:r>
        <w:rPr>
          <w:rFonts w:hint="eastAsia" w:asciiTheme="minorEastAsia" w:hAnsiTheme="minorEastAsia" w:eastAsiaTheme="minorEastAsia"/>
          <w:color w:val="auto"/>
          <w:sz w:val="24"/>
          <w:lang w:eastAsia="zh-CN"/>
        </w:rPr>
        <w:t>年</w:t>
      </w:r>
      <w:r>
        <w:rPr>
          <w:rFonts w:hint="eastAsia" w:asciiTheme="minorEastAsia" w:hAnsiTheme="minorEastAsia"/>
          <w:color w:val="auto"/>
          <w:sz w:val="24"/>
          <w:lang w:val="en-US" w:eastAsia="zh-CN"/>
        </w:rPr>
        <w:t>6</w:t>
      </w:r>
      <w:r>
        <w:rPr>
          <w:rFonts w:hint="eastAsia" w:asciiTheme="minorEastAsia" w:hAnsiTheme="minorEastAsia" w:eastAsiaTheme="minorEastAsia"/>
          <w:color w:val="auto"/>
          <w:sz w:val="24"/>
          <w:lang w:eastAsia="zh-CN"/>
        </w:rPr>
        <w:t>月</w:t>
      </w:r>
      <w:r>
        <w:rPr>
          <w:rFonts w:hint="eastAsia" w:asciiTheme="minorEastAsia" w:hAnsiTheme="minorEastAsia"/>
          <w:color w:val="auto"/>
          <w:sz w:val="24"/>
          <w:lang w:val="en-US" w:eastAsia="zh-CN"/>
        </w:rPr>
        <w:t>3</w:t>
      </w:r>
      <w:bookmarkStart w:id="2" w:name="_GoBack"/>
      <w:bookmarkEnd w:id="2"/>
      <w:r>
        <w:rPr>
          <w:rFonts w:hint="eastAsia" w:asciiTheme="minorEastAsia" w:hAnsiTheme="minorEastAsia" w:eastAsiaTheme="minorEastAsia"/>
          <w:color w:val="auto"/>
          <w:sz w:val="24"/>
          <w:lang w:eastAsia="zh-CN"/>
        </w:rPr>
        <w:t>日</w:t>
      </w: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w:t>
      </w:r>
      <w:r>
        <w:rPr>
          <w:rFonts w:hint="eastAsia" w:ascii="宋体" w:hAnsi="宋体"/>
          <w:color w:val="auto"/>
          <w:sz w:val="18"/>
          <w:szCs w:val="18"/>
          <w:lang w:eastAsia="zh-CN"/>
        </w:rPr>
        <w:t>参选</w:t>
      </w:r>
      <w:r>
        <w:rPr>
          <w:rFonts w:hint="eastAsia" w:ascii="宋体" w:hAnsi="宋体"/>
          <w:color w:val="auto"/>
          <w:sz w:val="18"/>
          <w:szCs w:val="18"/>
        </w:rPr>
        <w:t>涉及产品为：</w:t>
      </w:r>
      <w:r>
        <w:rPr>
          <w:rFonts w:hint="eastAsia" w:ascii="宋体" w:hAnsi="宋体"/>
          <w:color w:val="auto"/>
          <w:sz w:val="18"/>
          <w:szCs w:val="18"/>
          <w:u w:val="single"/>
          <w:lang w:val="en-US" w:eastAsia="zh-CN"/>
        </w:rPr>
        <w:t>磷酸</w:t>
      </w:r>
      <w:r>
        <w:rPr>
          <w:rFonts w:hint="eastAsia" w:ascii="宋体" w:hAnsi="宋体"/>
          <w:color w:val="auto"/>
          <w:sz w:val="18"/>
          <w:szCs w:val="18"/>
          <w:u w:val="single"/>
        </w:rPr>
        <w:t>。</w:t>
      </w:r>
    </w:p>
    <w:p>
      <w:pPr>
        <w:pStyle w:val="13"/>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w:t>
      </w:r>
      <w:r>
        <w:rPr>
          <w:rFonts w:hint="eastAsia" w:ascii="宋体" w:hAnsi="宋体"/>
          <w:color w:val="auto"/>
          <w:sz w:val="18"/>
          <w:szCs w:val="18"/>
          <w:lang w:eastAsia="zh-CN"/>
        </w:rPr>
        <w:t>参选</w:t>
      </w:r>
      <w:r>
        <w:rPr>
          <w:rFonts w:hint="eastAsia" w:ascii="宋体" w:hAnsi="宋体"/>
          <w:color w:val="auto"/>
          <w:sz w:val="18"/>
          <w:szCs w:val="18"/>
        </w:rPr>
        <w:t>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w:t>
      </w:r>
      <w:r>
        <w:rPr>
          <w:rFonts w:hint="eastAsia" w:ascii="宋体"/>
          <w:color w:val="auto"/>
          <w:sz w:val="18"/>
          <w:szCs w:val="18"/>
          <w:lang w:eastAsia="zh-CN"/>
        </w:rPr>
        <w:t>参选</w:t>
      </w:r>
      <w:r>
        <w:rPr>
          <w:rFonts w:hint="eastAsia" w:ascii="宋体"/>
          <w:color w:val="auto"/>
          <w:sz w:val="18"/>
          <w:szCs w:val="18"/>
        </w:rPr>
        <w:t>；</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w:t>
      </w:r>
      <w:r>
        <w:rPr>
          <w:rFonts w:hint="eastAsia" w:ascii="宋体"/>
          <w:color w:val="auto"/>
          <w:sz w:val="18"/>
          <w:szCs w:val="18"/>
          <w:lang w:eastAsia="zh-CN"/>
        </w:rPr>
        <w:t>参选</w:t>
      </w:r>
      <w:r>
        <w:rPr>
          <w:rFonts w:hint="eastAsia" w:ascii="宋体"/>
          <w:color w:val="auto"/>
          <w:sz w:val="18"/>
          <w:szCs w:val="18"/>
        </w:rPr>
        <w:t>人无诉讼纠纷。</w:t>
      </w:r>
    </w:p>
    <w:p>
      <w:pPr>
        <w:spacing w:line="320" w:lineRule="exact"/>
        <w:rPr>
          <w:rFonts w:hint="default" w:ascii="宋体" w:eastAsia="宋体"/>
          <w:color w:val="auto"/>
          <w:sz w:val="18"/>
          <w:szCs w:val="18"/>
          <w:lang w:val="en-US" w:eastAsia="zh-CN"/>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lang w:val="en-US" w:eastAsia="zh-CN"/>
        </w:rPr>
        <w:t>具备相应的经营业绩</w:t>
      </w:r>
    </w:p>
    <w:p>
      <w:pPr>
        <w:spacing w:line="320" w:lineRule="exact"/>
        <w:rPr>
          <w:rFonts w:hint="eastAsia" w:ascii="宋体" w:eastAsia="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参选保证</w:t>
      </w:r>
      <w:r>
        <w:rPr>
          <w:rFonts w:hint="eastAsia" w:ascii="宋体"/>
          <w:color w:val="auto"/>
          <w:sz w:val="18"/>
          <w:szCs w:val="18"/>
          <w:lang w:eastAsia="zh-CN"/>
        </w:rPr>
        <w:t>金</w:t>
      </w:r>
      <w:r>
        <w:rPr>
          <w:rFonts w:hint="eastAsia" w:ascii="宋体"/>
          <w:color w:val="auto"/>
          <w:sz w:val="18"/>
          <w:szCs w:val="18"/>
        </w:rPr>
        <w:t>：</w:t>
      </w:r>
      <w:r>
        <w:rPr>
          <w:rFonts w:hint="eastAsia" w:ascii="宋体"/>
          <w:color w:val="auto"/>
          <w:sz w:val="18"/>
          <w:szCs w:val="18"/>
          <w:lang w:val="en-US" w:eastAsia="zh-CN"/>
        </w:rPr>
        <w:t>贰万伍仟圆整</w:t>
      </w:r>
      <w:r>
        <w:rPr>
          <w:rFonts w:hint="eastAsia" w:asci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w:t>
      </w:r>
      <w:r>
        <w:rPr>
          <w:rFonts w:hint="eastAsia"/>
          <w:color w:val="auto"/>
          <w:sz w:val="18"/>
          <w:szCs w:val="18"/>
          <w:lang w:eastAsia="zh-CN"/>
        </w:rPr>
        <w:t>参选</w:t>
      </w:r>
      <w:r>
        <w:rPr>
          <w:rFonts w:hint="eastAsia"/>
          <w:color w:val="auto"/>
          <w:sz w:val="18"/>
          <w:szCs w:val="18"/>
        </w:rPr>
        <w:t>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r>
        <w:rPr>
          <w:rFonts w:hint="eastAsia" w:ascii="宋体" w:hAnsi="宋体"/>
          <w:color w:val="auto"/>
          <w:sz w:val="18"/>
          <w:szCs w:val="18"/>
          <w:lang w:eastAsia="zh-CN"/>
        </w:rPr>
        <w:t>参选</w:t>
      </w:r>
      <w:r>
        <w:rPr>
          <w:rFonts w:hint="eastAsia" w:ascii="宋体" w:hAnsi="宋体"/>
          <w:color w:val="auto"/>
          <w:sz w:val="18"/>
          <w:szCs w:val="18"/>
        </w:rPr>
        <w:t>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w:t>
      </w:r>
      <w:r>
        <w:rPr>
          <w:rFonts w:hint="eastAsia" w:ascii="宋体" w:hAnsi="宋体"/>
          <w:color w:val="auto"/>
          <w:sz w:val="18"/>
          <w:szCs w:val="18"/>
          <w:lang w:eastAsia="zh-CN"/>
        </w:rPr>
        <w:t>参选</w:t>
      </w:r>
      <w:r>
        <w:rPr>
          <w:rFonts w:hint="eastAsia" w:ascii="宋体" w:hAnsi="宋体"/>
          <w:color w:val="auto"/>
          <w:sz w:val="18"/>
          <w:szCs w:val="18"/>
        </w:rPr>
        <w:t>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rPr>
        <w:t>（6）报价单</w:t>
      </w: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质量规范</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在本公司或本集团范围内组织</w:t>
      </w:r>
      <w:r>
        <w:rPr>
          <w:rFonts w:hint="eastAsia" w:ascii="宋体" w:hAnsi="宋体"/>
          <w:color w:val="auto"/>
          <w:sz w:val="18"/>
          <w:szCs w:val="18"/>
          <w:lang w:eastAsia="zh-CN"/>
        </w:rPr>
        <w:t>参选</w:t>
      </w:r>
      <w:r>
        <w:rPr>
          <w:rFonts w:hint="eastAsia" w:ascii="宋体" w:hAnsi="宋体"/>
          <w:color w:val="auto"/>
          <w:sz w:val="18"/>
          <w:szCs w:val="18"/>
        </w:rPr>
        <w:t>小组成员召开</w:t>
      </w:r>
      <w:r>
        <w:rPr>
          <w:rFonts w:hint="eastAsia" w:ascii="宋体" w:hAnsi="宋体"/>
          <w:color w:val="auto"/>
          <w:sz w:val="18"/>
          <w:szCs w:val="18"/>
          <w:lang w:eastAsia="zh-CN"/>
        </w:rPr>
        <w:t>参选</w:t>
      </w:r>
      <w:r>
        <w:rPr>
          <w:rFonts w:hint="eastAsia" w:ascii="宋体" w:hAnsi="宋体"/>
          <w:color w:val="auto"/>
          <w:sz w:val="18"/>
          <w:szCs w:val="18"/>
        </w:rPr>
        <w:t>会议，检查参选文件是否符合规定，并作记录。</w:t>
      </w:r>
      <w:r>
        <w:rPr>
          <w:rFonts w:hint="eastAsia" w:ascii="宋体" w:hAnsi="宋体"/>
          <w:color w:val="auto"/>
          <w:sz w:val="18"/>
          <w:szCs w:val="18"/>
          <w:lang w:eastAsia="zh-CN"/>
        </w:rPr>
        <w:t>参选</w:t>
      </w:r>
      <w:r>
        <w:rPr>
          <w:rFonts w:hint="eastAsia" w:ascii="宋体" w:hAnsi="宋体"/>
          <w:color w:val="auto"/>
          <w:sz w:val="18"/>
          <w:szCs w:val="18"/>
        </w:rPr>
        <w:t>会议旨在确定所公开</w:t>
      </w:r>
      <w:r>
        <w:rPr>
          <w:rFonts w:hint="eastAsia" w:ascii="宋体" w:hAnsi="宋体"/>
          <w:color w:val="auto"/>
          <w:sz w:val="18"/>
          <w:szCs w:val="18"/>
          <w:lang w:eastAsia="zh-CN"/>
        </w:rPr>
        <w:t>参选</w:t>
      </w:r>
      <w:r>
        <w:rPr>
          <w:rFonts w:hint="eastAsia" w:ascii="宋体" w:hAnsi="宋体"/>
          <w:color w:val="auto"/>
          <w:sz w:val="18"/>
          <w:szCs w:val="18"/>
          <w:u w:val="single"/>
          <w:lang w:eastAsia="zh-CN"/>
        </w:rPr>
        <w:t>磷酸</w:t>
      </w:r>
      <w:r>
        <w:rPr>
          <w:rFonts w:hint="eastAsia" w:ascii="宋体" w:hAnsi="宋体"/>
          <w:color w:val="auto"/>
          <w:sz w:val="18"/>
          <w:szCs w:val="18"/>
          <w:u w:val="single"/>
        </w:rPr>
        <w:t>的</w:t>
      </w:r>
      <w:r>
        <w:rPr>
          <w:rFonts w:hint="eastAsia" w:ascii="宋体" w:hAnsi="宋体"/>
          <w:color w:val="auto"/>
          <w:sz w:val="18"/>
          <w:szCs w:val="18"/>
        </w:rPr>
        <w:t>采购价格。</w:t>
      </w:r>
      <w:r>
        <w:rPr>
          <w:rFonts w:hint="eastAsia" w:ascii="宋体" w:hAnsi="宋体"/>
          <w:color w:val="auto"/>
          <w:sz w:val="18"/>
          <w:szCs w:val="18"/>
          <w:lang w:eastAsia="zh-CN"/>
        </w:rPr>
        <w:t>参选</w:t>
      </w:r>
      <w:r>
        <w:rPr>
          <w:rFonts w:hint="eastAsia" w:ascii="宋体" w:hAnsi="宋体"/>
          <w:color w:val="auto"/>
          <w:sz w:val="18"/>
          <w:szCs w:val="18"/>
        </w:rPr>
        <w:t>会议确定价格之后：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w:t>
      </w:r>
      <w:r>
        <w:rPr>
          <w:rFonts w:hint="eastAsia" w:ascii="Arial" w:hAnsi="Arial" w:cs="Arial"/>
          <w:color w:val="auto"/>
          <w:sz w:val="18"/>
          <w:szCs w:val="18"/>
          <w:lang w:eastAsia="zh-CN"/>
        </w:rPr>
        <w:t>参选</w:t>
      </w:r>
      <w:r>
        <w:rPr>
          <w:rFonts w:hint="eastAsia" w:ascii="Arial" w:hAnsi="Arial" w:cs="Arial"/>
          <w:color w:val="auto"/>
          <w:sz w:val="18"/>
          <w:szCs w:val="18"/>
        </w:rPr>
        <w:t>。如果参选人未能按承诺的价格供货，则公开</w:t>
      </w:r>
      <w:r>
        <w:rPr>
          <w:rFonts w:hint="eastAsia" w:ascii="Arial" w:hAnsi="Arial" w:cs="Arial"/>
          <w:color w:val="auto"/>
          <w:sz w:val="18"/>
          <w:szCs w:val="18"/>
          <w:lang w:eastAsia="zh-CN"/>
        </w:rPr>
        <w:t>参选</w:t>
      </w:r>
      <w:r>
        <w:rPr>
          <w:rFonts w:hint="eastAsia" w:ascii="Arial" w:hAnsi="Arial" w:cs="Arial"/>
          <w:color w:val="auto"/>
          <w:sz w:val="18"/>
          <w:szCs w:val="18"/>
        </w:rPr>
        <w:t>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w:t>
      </w:r>
      <w:r>
        <w:rPr>
          <w:rFonts w:hint="eastAsia" w:ascii="Arial" w:hAnsi="Arial" w:cs="Arial"/>
          <w:color w:val="auto"/>
          <w:sz w:val="18"/>
          <w:szCs w:val="18"/>
          <w:lang w:eastAsia="zh-CN"/>
        </w:rPr>
        <w:t>参选</w:t>
      </w:r>
      <w:r>
        <w:rPr>
          <w:rFonts w:hint="eastAsia" w:ascii="Arial" w:hAnsi="Arial" w:cs="Arial"/>
          <w:color w:val="auto"/>
          <w:sz w:val="18"/>
          <w:szCs w:val="18"/>
        </w:rPr>
        <w:t>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小组各成员均有权参与议价。确定价格后，由采购部成员记录各供应商报价以及会议过程的调价情况，各成员共同签署《</w:t>
      </w:r>
      <w:r>
        <w:rPr>
          <w:rFonts w:hint="eastAsia" w:ascii="宋体" w:hAnsi="宋体"/>
          <w:color w:val="auto"/>
          <w:sz w:val="18"/>
          <w:szCs w:val="18"/>
          <w:lang w:eastAsia="zh-CN"/>
        </w:rPr>
        <w:t>参选</w:t>
      </w:r>
      <w:r>
        <w:rPr>
          <w:rFonts w:hint="eastAsia" w:ascii="宋体" w:hAnsi="宋体"/>
          <w:color w:val="auto"/>
          <w:sz w:val="18"/>
          <w:szCs w:val="18"/>
        </w:rPr>
        <w:t>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w:t>
      </w:r>
      <w:r>
        <w:rPr>
          <w:rFonts w:hint="eastAsia" w:ascii="宋体" w:hAnsi="宋体"/>
          <w:color w:val="auto"/>
          <w:sz w:val="18"/>
          <w:szCs w:val="18"/>
          <w:lang w:eastAsia="zh-CN"/>
        </w:rPr>
        <w:t>参选</w:t>
      </w:r>
      <w:r>
        <w:rPr>
          <w:rFonts w:hint="eastAsia" w:ascii="宋体" w:hAnsi="宋体"/>
          <w:color w:val="auto"/>
          <w:sz w:val="18"/>
          <w:szCs w:val="18"/>
        </w:rPr>
        <w:t>会议期间，确定价格后，愿意以确定的价格供货的报价人立即或会后邮件扫描或传真《公开</w:t>
      </w:r>
      <w:r>
        <w:rPr>
          <w:rFonts w:hint="eastAsia" w:ascii="宋体" w:hAnsi="宋体"/>
          <w:color w:val="auto"/>
          <w:sz w:val="18"/>
          <w:szCs w:val="18"/>
          <w:lang w:eastAsia="zh-CN"/>
        </w:rPr>
        <w:t>参选</w:t>
      </w:r>
      <w:r>
        <w:rPr>
          <w:rFonts w:hint="eastAsia" w:ascii="宋体" w:hAnsi="宋体"/>
          <w:color w:val="auto"/>
          <w:sz w:val="18"/>
          <w:szCs w:val="18"/>
        </w:rPr>
        <w:t>确认单》至我司，由采购部成员办理随后的公司订单送审手续。</w:t>
      </w:r>
      <w:r>
        <w:rPr>
          <w:rFonts w:hint="eastAsia" w:ascii="宋体" w:hAnsi="宋体"/>
          <w:color w:val="auto"/>
          <w:sz w:val="18"/>
          <w:szCs w:val="18"/>
          <w:lang w:eastAsia="zh-CN"/>
        </w:rPr>
        <w:t>参选</w:t>
      </w:r>
      <w:r>
        <w:rPr>
          <w:rFonts w:hint="eastAsia" w:ascii="宋体" w:hAnsi="宋体"/>
          <w:color w:val="auto"/>
          <w:sz w:val="18"/>
          <w:szCs w:val="18"/>
        </w:rPr>
        <w:t>数量为总数量，订单签署上</w:t>
      </w:r>
      <w:r>
        <w:rPr>
          <w:rFonts w:ascii="宋体"/>
          <w:color w:val="auto"/>
          <w:sz w:val="18"/>
          <w:szCs w:val="18"/>
        </w:rPr>
        <w:t>,</w:t>
      </w:r>
      <w:r>
        <w:rPr>
          <w:rFonts w:hint="eastAsia" w:ascii="宋体" w:hAnsi="宋体"/>
          <w:color w:val="auto"/>
          <w:sz w:val="18"/>
          <w:szCs w:val="18"/>
        </w:rPr>
        <w:t>实际订单签署数量根据</w:t>
      </w:r>
      <w:r>
        <w:rPr>
          <w:rFonts w:hint="eastAsia" w:ascii="宋体" w:hAnsi="宋体"/>
          <w:color w:val="auto"/>
          <w:sz w:val="18"/>
          <w:szCs w:val="18"/>
          <w:lang w:val="en-US" w:eastAsia="zh-CN"/>
        </w:rPr>
        <w:t>我司需求</w:t>
      </w:r>
      <w:r>
        <w:rPr>
          <w:rFonts w:hint="eastAsia" w:ascii="宋体" w:hAnsi="宋体"/>
          <w:color w:val="auto"/>
          <w:sz w:val="18"/>
          <w:szCs w:val="18"/>
        </w:rPr>
        <w:t>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eastAsia="zh-CN"/>
        </w:rPr>
        <w:t>翔鹭石化（漳州）有限公司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w:t>
      </w:r>
      <w:r>
        <w:rPr>
          <w:rFonts w:hint="eastAsia" w:ascii="宋体" w:hAnsi="宋体"/>
          <w:b/>
          <w:bCs/>
          <w:color w:val="auto"/>
          <w:sz w:val="36"/>
          <w:szCs w:val="36"/>
          <w:lang w:eastAsia="zh-CN"/>
        </w:rPr>
        <w:t>参选</w:t>
      </w:r>
      <w:r>
        <w:rPr>
          <w:rFonts w:hint="eastAsia" w:ascii="宋体" w:hAnsi="宋体"/>
          <w:b/>
          <w:bCs/>
          <w:color w:val="auto"/>
          <w:sz w:val="36"/>
          <w:szCs w:val="36"/>
        </w:rPr>
        <w:t>文件</w:t>
      </w:r>
    </w:p>
    <w:p>
      <w:pPr>
        <w:spacing w:line="500" w:lineRule="exact"/>
        <w:jc w:val="right"/>
        <w:rPr>
          <w:rFonts w:hint="eastAsia" w:ascii="宋体" w:eastAsia="宋体"/>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2024-FHC-磷酸-0529</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磷酸</w:t>
      </w:r>
      <w:r>
        <w:rPr>
          <w:rFonts w:hint="eastAsia" w:ascii="宋体" w:hAnsi="宋体"/>
          <w:color w:val="auto"/>
          <w:sz w:val="28"/>
          <w:szCs w:val="28"/>
        </w:rPr>
        <w:t>，具体要求如下：</w:t>
      </w:r>
      <w:r>
        <w:rPr>
          <w:rFonts w:ascii="宋体"/>
          <w:color w:val="auto"/>
          <w:sz w:val="28"/>
          <w:szCs w:val="28"/>
        </w:rPr>
        <w:tab/>
      </w:r>
    </w:p>
    <w:p>
      <w:pPr>
        <w:spacing w:line="35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1.磷酸采购数量：</w:t>
      </w:r>
      <w:r>
        <w:rPr>
          <w:rFonts w:hint="eastAsia" w:ascii="宋体" w:hAnsi="宋体" w:cs="宋体"/>
          <w:color w:val="auto"/>
          <w:sz w:val="24"/>
          <w:u w:val="single"/>
          <w:lang w:val="en-US" w:eastAsia="zh-CN"/>
        </w:rPr>
        <w:t>70</w:t>
      </w:r>
      <w:r>
        <w:rPr>
          <w:rFonts w:hint="eastAsia" w:ascii="宋体" w:hAnsi="宋体" w:eastAsia="宋体" w:cs="宋体"/>
          <w:color w:val="auto"/>
          <w:sz w:val="24"/>
          <w:lang w:val="en-US" w:eastAsia="zh-CN"/>
        </w:rPr>
        <w:t>吨（数量为</w:t>
      </w:r>
      <w:r>
        <w:rPr>
          <w:rFonts w:hint="eastAsia" w:ascii="宋体" w:hAnsi="宋体" w:cs="宋体"/>
          <w:color w:val="auto"/>
          <w:sz w:val="24"/>
          <w:lang w:val="en-US" w:eastAsia="zh-CN"/>
        </w:rPr>
        <w:t>预</w:t>
      </w:r>
      <w:r>
        <w:rPr>
          <w:rFonts w:hint="eastAsia" w:ascii="宋体" w:hAnsi="宋体" w:eastAsia="宋体" w:cs="宋体"/>
          <w:color w:val="auto"/>
          <w:sz w:val="24"/>
          <w:lang w:val="en-US" w:eastAsia="zh-CN"/>
        </w:rPr>
        <w:t>估量，以实际发生量为准）。</w:t>
      </w:r>
    </w:p>
    <w:p>
      <w:pPr>
        <w:pStyle w:val="6"/>
        <w:widowControl/>
        <w:spacing w:line="360" w:lineRule="auto"/>
        <w:rPr>
          <w:rFonts w:hint="eastAsia" w:ascii="宋体" w:hAnsi="宋体" w:eastAsia="宋体" w:cs="宋体"/>
          <w:color w:val="auto"/>
        </w:rPr>
      </w:pPr>
      <w:r>
        <w:rPr>
          <w:rFonts w:hint="eastAsia" w:ascii="宋体" w:hAnsi="宋体" w:cs="宋体"/>
          <w:color w:val="auto"/>
          <w:sz w:val="24"/>
        </w:rPr>
        <w:t>2.技术参数指标：</w:t>
      </w:r>
      <w:r>
        <w:rPr>
          <w:rFonts w:hint="eastAsia" w:ascii="宋体" w:hAnsi="宋体" w:eastAsia="宋体" w:cs="宋体"/>
          <w:color w:val="auto"/>
          <w:lang w:val="en-US" w:eastAsia="zh-CN"/>
        </w:rPr>
        <w:t>磷酸（H</w:t>
      </w:r>
      <w:r>
        <w:rPr>
          <w:rFonts w:hint="eastAsia" w:ascii="宋体" w:hAnsi="宋体" w:eastAsia="宋体" w:cs="宋体"/>
          <w:color w:val="auto"/>
          <w:sz w:val="32"/>
          <w:szCs w:val="32"/>
          <w:vertAlign w:val="subscript"/>
          <w:lang w:val="en-US" w:eastAsia="zh-CN"/>
        </w:rPr>
        <w:t>3</w:t>
      </w:r>
      <w:r>
        <w:rPr>
          <w:rFonts w:hint="eastAsia" w:ascii="宋体" w:hAnsi="宋体" w:eastAsia="宋体" w:cs="宋体"/>
          <w:color w:val="auto"/>
          <w:lang w:val="en-US" w:eastAsia="zh-CN"/>
        </w:rPr>
        <w:t>PO</w:t>
      </w:r>
      <w:r>
        <w:rPr>
          <w:rFonts w:hint="eastAsia" w:ascii="宋体" w:hAnsi="宋体" w:eastAsia="宋体" w:cs="宋体"/>
          <w:color w:val="auto"/>
          <w:sz w:val="32"/>
          <w:szCs w:val="32"/>
          <w:vertAlign w:val="subscript"/>
          <w:lang w:val="en-US" w:eastAsia="zh-CN"/>
        </w:rPr>
        <w:t>4</w:t>
      </w:r>
      <w:r>
        <w:rPr>
          <w:rFonts w:hint="eastAsia" w:ascii="宋体" w:hAnsi="宋体" w:eastAsia="宋体" w:cs="宋体"/>
          <w:color w:val="auto"/>
          <w:lang w:val="en-US" w:eastAsia="zh-CN"/>
        </w:rPr>
        <w:t>）w/%</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85</w:t>
      </w:r>
      <w:r>
        <w:rPr>
          <w:rFonts w:hint="eastAsia" w:ascii="宋体" w:hAnsi="宋体" w:eastAsia="宋体" w:cs="宋体"/>
          <w:color w:val="auto"/>
          <w:lang w:val="en-US" w:eastAsia="zh-CN"/>
        </w:rPr>
        <w:t>，详见附件质量规范</w:t>
      </w:r>
      <w:r>
        <w:rPr>
          <w:rFonts w:hint="eastAsia" w:ascii="宋体" w:hAnsi="宋体" w:eastAsia="宋体" w:cs="宋体"/>
          <w:color w:val="auto"/>
        </w:rPr>
        <w:t>。</w:t>
      </w:r>
    </w:p>
    <w:p>
      <w:pPr>
        <w:spacing w:line="360" w:lineRule="exact"/>
        <w:jc w:val="left"/>
        <w:rPr>
          <w:rFonts w:hint="eastAsia" w:ascii="宋体" w:eastAsia="宋体" w:cs="宋体"/>
          <w:color w:val="auto"/>
          <w:sz w:val="24"/>
          <w:lang w:eastAsia="zh-CN"/>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2024年7月1日-2024年12月31日，</w:t>
      </w:r>
      <w:r>
        <w:rPr>
          <w:rFonts w:hint="eastAsia" w:ascii="宋体" w:hAnsi="宋体"/>
          <w:color w:val="auto"/>
          <w:sz w:val="24"/>
        </w:rPr>
        <w:t>具体以需方通知为准</w:t>
      </w:r>
      <w:r>
        <w:rPr>
          <w:rFonts w:hint="eastAsia" w:ascii="宋体" w:hAnsi="宋体"/>
          <w:color w:val="auto"/>
          <w:sz w:val="24"/>
          <w:lang w:eastAsia="zh-CN"/>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磷酸</w:t>
      </w:r>
      <w:r>
        <w:rPr>
          <w:rFonts w:hint="eastAsia" w:ascii="宋体" w:hAnsi="宋体" w:cs="宋体"/>
          <w:color w:val="auto"/>
          <w:sz w:val="24"/>
        </w:rPr>
        <w:t>含税送到价。参选人需对全部</w:t>
      </w:r>
      <w:r>
        <w:rPr>
          <w:rFonts w:hint="eastAsia" w:ascii="宋体" w:hAnsi="宋体" w:cs="宋体"/>
          <w:color w:val="auto"/>
          <w:sz w:val="24"/>
          <w:lang w:eastAsia="zh-CN"/>
        </w:rPr>
        <w:t>参选</w:t>
      </w:r>
      <w:r>
        <w:rPr>
          <w:rFonts w:hint="eastAsia" w:ascii="宋体" w:hAnsi="宋体" w:cs="宋体"/>
          <w:color w:val="auto"/>
          <w:sz w:val="24"/>
        </w:rPr>
        <w:t>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hint="default" w:ascii="宋体" w:hAnsi="宋体" w:eastAsia="宋体" w:cs="宋体"/>
          <w:color w:val="auto"/>
          <w:sz w:val="24"/>
          <w:lang w:val="en-US" w:eastAsia="zh-CN"/>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付款方式：现汇支付。产品到货后，需方依据合同约定的质量、数量标准验收合格后，供方提供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w:t>
      </w:r>
      <w:r>
        <w:rPr>
          <w:rFonts w:hint="eastAsia" w:ascii="宋体" w:hAnsi="宋体" w:cs="宋体"/>
          <w:color w:val="auto"/>
          <w:sz w:val="24"/>
        </w:rPr>
        <w:t>供方</w:t>
      </w:r>
      <w:r>
        <w:rPr>
          <w:rFonts w:hint="eastAsia" w:ascii="宋体" w:hAnsi="宋体" w:cs="宋体"/>
          <w:color w:val="auto"/>
          <w:sz w:val="24"/>
          <w:lang w:val="en-US" w:eastAsia="zh-CN"/>
        </w:rPr>
        <w:t>支付货款</w:t>
      </w:r>
      <w:r>
        <w:rPr>
          <w:rFonts w:hint="eastAsia" w:ascii="宋体" w:hAnsi="宋体" w:cs="宋体"/>
          <w:color w:val="auto"/>
          <w:sz w:val="24"/>
        </w:rPr>
        <w:t>。</w:t>
      </w:r>
      <w:r>
        <w:rPr>
          <w:rFonts w:hint="eastAsia" w:ascii="宋体" w:hAnsi="宋体" w:cs="宋体"/>
          <w:color w:val="auto"/>
          <w:sz w:val="24"/>
          <w:lang w:val="en-US" w:eastAsia="zh-CN"/>
        </w:rPr>
        <w:t>分批到货、分批付款。</w:t>
      </w:r>
    </w:p>
    <w:p>
      <w:pPr>
        <w:spacing w:line="350" w:lineRule="exact"/>
        <w:jc w:val="left"/>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数量验收：以需方使用单位验收为准。</w:t>
      </w:r>
    </w:p>
    <w:p>
      <w:pPr>
        <w:numPr>
          <w:ilvl w:val="0"/>
          <w:numId w:val="6"/>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w:t>
      </w:r>
      <w:r>
        <w:rPr>
          <w:rFonts w:hint="eastAsia" w:asciiTheme="minorEastAsia" w:hAnsiTheme="minorEastAsia" w:eastAsiaTheme="minorEastAsia"/>
          <w:color w:val="auto"/>
          <w:sz w:val="24"/>
          <w:lang w:val="en-US" w:eastAsia="zh-CN"/>
        </w:rPr>
        <w:t>至</w:t>
      </w:r>
      <w:r>
        <w:rPr>
          <w:rFonts w:hint="eastAsia" w:asciiTheme="minorEastAsia" w:hAnsiTheme="minorEastAsia" w:eastAsiaTheme="minorEastAsia"/>
          <w:color w:val="auto"/>
          <w:sz w:val="24"/>
          <w:lang w:eastAsia="zh-CN"/>
        </w:rPr>
        <w:t>翔鹭石化（漳州）有限公司</w:t>
      </w:r>
      <w:r>
        <w:rPr>
          <w:rFonts w:hint="eastAsia" w:asciiTheme="minorEastAsia" w:hAnsiTheme="minorEastAsia" w:eastAsiaTheme="minorEastAsia"/>
          <w:color w:val="auto"/>
          <w:sz w:val="24"/>
          <w:lang w:val="en-US" w:eastAsia="zh-CN"/>
        </w:rPr>
        <w:t>指定仓库</w:t>
      </w:r>
      <w:r>
        <w:rPr>
          <w:rFonts w:hint="eastAsia" w:asciiTheme="minorEastAsia" w:hAnsiTheme="minorEastAsia" w:eastAsiaTheme="minorEastAsia"/>
          <w:color w:val="auto"/>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w:t>
      </w:r>
      <w:r>
        <w:rPr>
          <w:rFonts w:hint="eastAsia" w:ascii="宋体" w:hAnsi="宋体" w:cs="宋体"/>
          <w:color w:val="auto"/>
          <w:sz w:val="24"/>
          <w:lang w:eastAsia="zh-CN"/>
        </w:rPr>
        <w:t>参选</w:t>
      </w:r>
      <w:r>
        <w:rPr>
          <w:rFonts w:hint="eastAsia" w:ascii="宋体" w:hAnsi="宋体" w:cs="宋体"/>
          <w:color w:val="auto"/>
          <w:sz w:val="24"/>
        </w:rPr>
        <w:t>公告、参选规定及说明、公开</w:t>
      </w:r>
      <w:r>
        <w:rPr>
          <w:rFonts w:hint="eastAsia" w:ascii="宋体" w:hAnsi="宋体" w:cs="宋体"/>
          <w:color w:val="auto"/>
          <w:sz w:val="24"/>
          <w:lang w:eastAsia="zh-CN"/>
        </w:rPr>
        <w:t>参选</w:t>
      </w:r>
      <w:r>
        <w:rPr>
          <w:rFonts w:hint="eastAsia" w:ascii="宋体" w:hAnsi="宋体" w:cs="宋体"/>
          <w:color w:val="auto"/>
          <w:sz w:val="24"/>
        </w:rPr>
        <w:t>文件、参选书、法定代表人授权书、报价单</w:t>
      </w:r>
      <w:r>
        <w:rPr>
          <w:rFonts w:hint="eastAsia" w:ascii="宋体" w:hAnsi="宋体" w:cs="宋体"/>
          <w:color w:val="auto"/>
          <w:sz w:val="24"/>
          <w:lang w:eastAsia="zh-CN"/>
        </w:rPr>
        <w:t>、</w:t>
      </w:r>
      <w:r>
        <w:rPr>
          <w:rFonts w:hint="eastAsia" w:ascii="宋体" w:hAnsi="宋体" w:cs="宋体"/>
          <w:color w:val="auto"/>
          <w:sz w:val="24"/>
          <w:lang w:val="en-US" w:eastAsia="zh-CN"/>
        </w:rPr>
        <w:t>质量规范</w:t>
      </w:r>
      <w:r>
        <w:rPr>
          <w:rFonts w:hint="eastAsia" w:ascii="宋体" w:hAnsi="宋体" w:cs="宋体"/>
          <w:color w:val="auto"/>
          <w:sz w:val="24"/>
        </w:rPr>
        <w:t>，上述</w:t>
      </w:r>
      <w:r>
        <w:rPr>
          <w:rFonts w:hint="eastAsia" w:ascii="宋体" w:hAnsi="宋体" w:cs="宋体"/>
          <w:color w:val="auto"/>
          <w:sz w:val="24"/>
          <w:lang w:val="en-US" w:eastAsia="zh-CN"/>
        </w:rPr>
        <w:t>七</w:t>
      </w:r>
      <w:r>
        <w:rPr>
          <w:rFonts w:hint="eastAsia" w:ascii="宋体" w:hAnsi="宋体" w:cs="宋体"/>
          <w:color w:val="auto"/>
          <w:sz w:val="24"/>
        </w:rPr>
        <w:t>项文件一式两份并逐页盖公章。密封处盖章。</w:t>
      </w:r>
    </w:p>
    <w:p>
      <w:pPr>
        <w:spacing w:line="360" w:lineRule="exact"/>
        <w:jc w:val="left"/>
        <w:rPr>
          <w:rFonts w:hint="eastAsia" w:ascii="宋体" w:hAnsi="宋体" w:cs="宋体"/>
          <w:color w:val="auto"/>
          <w:sz w:val="24"/>
        </w:rPr>
      </w:pPr>
      <w:r>
        <w:rPr>
          <w:rFonts w:hint="eastAsia" w:ascii="宋体" w:hAnsi="宋体" w:cs="宋体"/>
          <w:color w:val="auto"/>
          <w:sz w:val="24"/>
        </w:rPr>
        <w:t>7.3我公司快递联系方式：</w:t>
      </w:r>
    </w:p>
    <w:p>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rPr>
        <w:t>公司名称：</w:t>
      </w:r>
      <w:r>
        <w:rPr>
          <w:rFonts w:hint="eastAsia" w:ascii="宋体" w:hAnsi="宋体" w:cs="宋体"/>
          <w:color w:val="auto"/>
          <w:sz w:val="24"/>
          <w:lang w:eastAsia="zh-CN"/>
        </w:rPr>
        <w:t>翔鹭石化（漳州）有限公司</w:t>
      </w:r>
    </w:p>
    <w:p>
      <w:pPr>
        <w:spacing w:line="360" w:lineRule="exact"/>
        <w:jc w:val="left"/>
        <w:rPr>
          <w:rFonts w:hint="eastAsia" w:ascii="宋体" w:hAnsi="宋体" w:cs="宋体"/>
          <w:color w:val="auto"/>
          <w:sz w:val="24"/>
        </w:rPr>
      </w:pPr>
      <w:r>
        <w:rPr>
          <w:rFonts w:hint="eastAsia" w:ascii="宋体" w:hAnsi="宋体" w:cs="宋体"/>
          <w:color w:val="auto"/>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w:t>
      </w:r>
      <w:r>
        <w:rPr>
          <w:rFonts w:hint="eastAsia" w:asciiTheme="minorEastAsia" w:hAnsiTheme="minorEastAsia" w:eastAsiaTheme="minorEastAsia"/>
          <w:bCs/>
          <w:sz w:val="24"/>
        </w:rPr>
        <w:t>煤炭及辅料团队</w:t>
      </w:r>
      <w:r>
        <w:rPr>
          <w:rFonts w:hint="eastAsia" w:ascii="宋体" w:hAnsi="宋体" w:cs="宋体"/>
          <w:color w:val="auto"/>
          <w:sz w:val="24"/>
        </w:rPr>
        <w:t xml:space="preserve"> </w:t>
      </w:r>
    </w:p>
    <w:p>
      <w:pPr>
        <w:spacing w:line="360" w:lineRule="exact"/>
        <w:jc w:val="left"/>
        <w:rPr>
          <w:rFonts w:hint="default" w:ascii="宋体" w:hAnsi="宋体" w:cs="宋体"/>
          <w:sz w:val="24"/>
          <w:lang w:val="en-US" w:eastAsia="zh-CN"/>
        </w:rPr>
      </w:pPr>
      <w:r>
        <w:rPr>
          <w:rFonts w:hint="eastAsia" w:ascii="宋体" w:hAnsi="宋体" w:cs="宋体"/>
          <w:color w:val="auto"/>
          <w:sz w:val="24"/>
        </w:rPr>
        <w:t>联系人：</w:t>
      </w:r>
      <w:r>
        <w:rPr>
          <w:rFonts w:hint="eastAsia" w:ascii="宋体" w:hAnsi="宋体" w:cs="宋体"/>
          <w:sz w:val="24"/>
          <w:lang w:val="en-US" w:eastAsia="zh-CN"/>
        </w:rPr>
        <w:t>郑萍</w:t>
      </w:r>
      <w:r>
        <w:rPr>
          <w:rFonts w:hint="eastAsia" w:ascii="宋体" w:hAnsi="宋体" w:cs="宋体"/>
          <w:sz w:val="24"/>
        </w:rPr>
        <w:t xml:space="preserve"> 手机：</w:t>
      </w:r>
      <w:r>
        <w:rPr>
          <w:rFonts w:hint="eastAsia" w:ascii="宋体" w:hAnsi="宋体" w:cs="宋体"/>
          <w:sz w:val="24"/>
          <w:lang w:eastAsia="zh-CN"/>
        </w:rPr>
        <w:t>13</w:t>
      </w:r>
      <w:r>
        <w:rPr>
          <w:rFonts w:hint="eastAsia" w:ascii="宋体" w:hAnsi="宋体" w:cs="宋体"/>
          <w:sz w:val="24"/>
          <w:lang w:val="en-US" w:eastAsia="zh-CN"/>
        </w:rPr>
        <w:t>015727080</w:t>
      </w:r>
    </w:p>
    <w:p>
      <w:p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8.签约公司：</w:t>
      </w:r>
      <w:r>
        <w:rPr>
          <w:rFonts w:hint="eastAsia" w:ascii="宋体" w:hAnsi="宋体" w:eastAsia="宋体" w:cs="宋体"/>
          <w:color w:val="auto"/>
          <w:sz w:val="24"/>
          <w:szCs w:val="24"/>
        </w:rPr>
        <w:t>本次采购将以</w:t>
      </w:r>
      <w:r>
        <w:rPr>
          <w:rFonts w:hint="eastAsia" w:ascii="宋体" w:hAnsi="宋体" w:eastAsia="宋体" w:cs="宋体"/>
          <w:color w:val="auto"/>
          <w:sz w:val="24"/>
          <w:szCs w:val="24"/>
          <w:lang w:val="en-US" w:eastAsia="zh-CN"/>
        </w:rPr>
        <w:t>翔鹭石化</w:t>
      </w:r>
      <w:r>
        <w:rPr>
          <w:rFonts w:hint="eastAsia" w:ascii="宋体" w:hAnsi="宋体" w:eastAsia="宋体" w:cs="宋体"/>
          <w:color w:val="auto"/>
          <w:sz w:val="24"/>
          <w:szCs w:val="24"/>
        </w:rPr>
        <w:t>（漳州）有限公司抬头进行签约</w:t>
      </w:r>
      <w:r>
        <w:rPr>
          <w:rFonts w:hint="eastAsia" w:ascii="宋体" w:hAnsi="宋体" w:eastAsia="宋体" w:cs="宋体"/>
          <w:color w:val="auto"/>
          <w:sz w:val="24"/>
          <w:szCs w:val="24"/>
          <w:lang w:eastAsia="zh-CN"/>
        </w:rPr>
        <w:t>。</w:t>
      </w:r>
    </w:p>
    <w:p>
      <w:pPr>
        <w:spacing w:line="360" w:lineRule="exact"/>
        <w:jc w:val="left"/>
        <w:rPr>
          <w:rFonts w:hint="eastAsia" w:ascii="宋体" w:eastAsia="宋体"/>
          <w:color w:val="auto"/>
          <w:sz w:val="24"/>
          <w:u w:val="single"/>
          <w:lang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翔鹭石化（漳州）有限公司</w:t>
      </w:r>
    </w:p>
    <w:p>
      <w:pPr>
        <w:spacing w:line="500" w:lineRule="exact"/>
        <w:ind w:firstLine="480" w:firstLineChars="200"/>
        <w:rPr>
          <w:rFonts w:hint="eastAsia" w:ascii="宋体" w:hAnsi="宋体"/>
          <w:color w:val="auto"/>
          <w:sz w:val="24"/>
        </w:rPr>
      </w:pPr>
      <w:r>
        <w:rPr>
          <w:rFonts w:hint="eastAsia" w:ascii="宋体" w:hAnsi="宋体"/>
          <w:color w:val="auto"/>
          <w:sz w:val="24"/>
        </w:rPr>
        <w:t>根据贵方的公开</w:t>
      </w:r>
      <w:r>
        <w:rPr>
          <w:rFonts w:hint="eastAsia" w:ascii="宋体" w:hAnsi="宋体"/>
          <w:color w:val="auto"/>
          <w:sz w:val="24"/>
          <w:lang w:eastAsia="zh-CN"/>
        </w:rPr>
        <w:t>参选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2024-FHC-磷酸-0529</w:t>
      </w:r>
      <w:r>
        <w:rPr>
          <w:rFonts w:hint="eastAsia" w:ascii="宋体" w:hAnsi="宋体"/>
          <w:color w:val="auto"/>
          <w:sz w:val="24"/>
        </w:rPr>
        <w:t>），被我方正式授权并代表我公司递交下述文件，并对此负责。</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参选公告</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）公开</w:t>
      </w:r>
      <w:r>
        <w:rPr>
          <w:rFonts w:hint="eastAsia" w:ascii="宋体" w:hAnsi="宋体"/>
          <w:color w:val="auto"/>
          <w:sz w:val="24"/>
          <w:lang w:eastAsia="zh-CN"/>
        </w:rPr>
        <w:t>参选</w:t>
      </w:r>
      <w:r>
        <w:rPr>
          <w:rFonts w:hint="eastAsia" w:ascii="宋体" w:hAnsi="宋体"/>
          <w:color w:val="auto"/>
          <w:sz w:val="24"/>
        </w:rPr>
        <w:t>文件</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）报价单</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lang w:val="en-US" w:eastAsia="zh-CN"/>
        </w:rPr>
        <w:t>质量规范</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w:t>
      </w:r>
      <w:r>
        <w:rPr>
          <w:rFonts w:hint="eastAsia" w:ascii="宋体" w:hAnsi="宋体"/>
          <w:color w:val="auto"/>
          <w:sz w:val="24"/>
          <w:lang w:eastAsia="zh-CN"/>
        </w:rPr>
        <w:t>参选</w:t>
      </w:r>
      <w:r>
        <w:rPr>
          <w:rFonts w:hint="eastAsia" w:ascii="宋体" w:hAnsi="宋体"/>
          <w:color w:val="auto"/>
          <w:sz w:val="24"/>
        </w:rPr>
        <w:t>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2024-FHC-磷酸-0529</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翔鹭石化（漳州）有限公司</w:t>
      </w:r>
    </w:p>
    <w:p>
      <w:pPr>
        <w:spacing w:line="500" w:lineRule="exact"/>
        <w:rPr>
          <w:rFonts w:ascii="宋体"/>
          <w:color w:val="auto"/>
          <w:sz w:val="24"/>
        </w:rPr>
      </w:pPr>
      <w:r>
        <w:rPr>
          <w:rFonts w:hint="eastAsia" w:ascii="宋体" w:hAnsi="宋体"/>
          <w:color w:val="auto"/>
          <w:sz w:val="24"/>
        </w:rPr>
        <w:t>一、对于贵公司（需方）公开</w:t>
      </w:r>
      <w:r>
        <w:rPr>
          <w:rFonts w:hint="eastAsia" w:ascii="宋体" w:hAnsi="宋体"/>
          <w:color w:val="auto"/>
          <w:sz w:val="24"/>
          <w:lang w:eastAsia="zh-CN"/>
        </w:rPr>
        <w:t>参选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2024-FHC-磷酸-0529</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磷酸</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70</w:t>
      </w:r>
      <w:r>
        <w:rPr>
          <w:rFonts w:hint="eastAsia" w:ascii="宋体" w:cs="宋体"/>
          <w:color w:val="auto"/>
          <w:sz w:val="24"/>
          <w:u w:val="none"/>
        </w:rPr>
        <w:t>吨</w:t>
      </w:r>
      <w:r>
        <w:rPr>
          <w:rFonts w:hint="eastAsia" w:ascii="宋体" w:hAnsi="宋体" w:eastAsia="宋体" w:cs="宋体"/>
          <w:color w:val="auto"/>
          <w:sz w:val="24"/>
          <w:lang w:val="en-US" w:eastAsia="zh-CN"/>
        </w:rPr>
        <w:t>（数量为</w:t>
      </w:r>
      <w:r>
        <w:rPr>
          <w:rFonts w:hint="eastAsia" w:ascii="宋体" w:hAnsi="宋体" w:cs="宋体"/>
          <w:color w:val="auto"/>
          <w:sz w:val="24"/>
          <w:lang w:val="en-US" w:eastAsia="zh-CN"/>
        </w:rPr>
        <w:t>预</w:t>
      </w:r>
      <w:r>
        <w:rPr>
          <w:rFonts w:hint="eastAsia" w:ascii="宋体" w:hAnsi="宋体" w:eastAsia="宋体" w:cs="宋体"/>
          <w:color w:val="auto"/>
          <w:sz w:val="24"/>
          <w:lang w:val="en-US" w:eastAsia="zh-CN"/>
        </w:rPr>
        <w:t>估量，以实际发生量为准）</w:t>
      </w:r>
    </w:p>
    <w:p>
      <w:pPr>
        <w:spacing w:line="500" w:lineRule="exact"/>
        <w:ind w:firstLine="240" w:firstLineChars="100"/>
        <w:rPr>
          <w:rFonts w:hint="eastAsia" w:ascii="宋体" w:hAnsi="宋体"/>
          <w:color w:val="auto"/>
          <w:sz w:val="24"/>
        </w:rPr>
      </w:pPr>
      <w:r>
        <w:rPr>
          <w:rFonts w:hint="eastAsia" w:ascii="宋体" w:hAnsi="宋体"/>
          <w:color w:val="auto"/>
          <w:sz w:val="24"/>
        </w:rPr>
        <w:t>含税送到单价：</w:t>
      </w:r>
      <w:r>
        <w:rPr>
          <w:rFonts w:hint="eastAsia" w:ascii="宋体" w:hAnsi="宋体"/>
          <w:color w:val="auto"/>
          <w:sz w:val="24"/>
          <w:u w:val="single"/>
        </w:rPr>
        <w:t xml:space="preserve">        </w:t>
      </w:r>
      <w:r>
        <w:rPr>
          <w:rFonts w:hint="eastAsia" w:ascii="宋体" w:hAnsi="宋体"/>
          <w:color w:val="auto"/>
          <w:sz w:val="24"/>
        </w:rPr>
        <w:t>元/吨，合计总价：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eastAsia="zh-CN"/>
        </w:rPr>
        <w:t>，</w:t>
      </w:r>
      <w:r>
        <w:rPr>
          <w:rFonts w:hint="eastAsia" w:ascii="宋体" w:hAnsi="宋体"/>
          <w:color w:val="auto"/>
          <w:sz w:val="24"/>
        </w:rPr>
        <w:t>税率  13%  。</w:t>
      </w:r>
    </w:p>
    <w:p>
      <w:pPr>
        <w:pStyle w:val="6"/>
        <w:widowControl/>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质量验收标准</w:t>
      </w:r>
      <w:r>
        <w:rPr>
          <w:rFonts w:hint="eastAsia" w:ascii="宋体" w:hAnsi="宋体"/>
          <w:color w:val="auto"/>
          <w:sz w:val="24"/>
          <w:lang w:eastAsia="zh-CN"/>
        </w:rPr>
        <w:t>：</w:t>
      </w:r>
      <w:r>
        <w:rPr>
          <w:rFonts w:hint="eastAsia" w:ascii="宋体" w:hAnsi="宋体" w:eastAsia="宋体" w:cs="宋体"/>
          <w:color w:val="auto"/>
          <w:lang w:val="en-US" w:eastAsia="zh-CN"/>
        </w:rPr>
        <w:t>磷酸（H</w:t>
      </w:r>
      <w:r>
        <w:rPr>
          <w:rFonts w:hint="eastAsia" w:ascii="宋体" w:hAnsi="宋体" w:eastAsia="宋体" w:cs="宋体"/>
          <w:color w:val="auto"/>
          <w:sz w:val="32"/>
          <w:szCs w:val="32"/>
          <w:vertAlign w:val="subscript"/>
          <w:lang w:val="en-US" w:eastAsia="zh-CN"/>
        </w:rPr>
        <w:t>3</w:t>
      </w:r>
      <w:r>
        <w:rPr>
          <w:rFonts w:hint="eastAsia" w:ascii="宋体" w:hAnsi="宋体" w:eastAsia="宋体" w:cs="宋体"/>
          <w:color w:val="auto"/>
          <w:lang w:val="en-US" w:eastAsia="zh-CN"/>
        </w:rPr>
        <w:t>PO</w:t>
      </w:r>
      <w:r>
        <w:rPr>
          <w:rFonts w:hint="eastAsia" w:ascii="宋体" w:hAnsi="宋体" w:eastAsia="宋体" w:cs="宋体"/>
          <w:color w:val="auto"/>
          <w:sz w:val="32"/>
          <w:szCs w:val="32"/>
          <w:vertAlign w:val="subscript"/>
          <w:lang w:val="en-US" w:eastAsia="zh-CN"/>
        </w:rPr>
        <w:t>4</w:t>
      </w:r>
      <w:r>
        <w:rPr>
          <w:rFonts w:hint="eastAsia" w:ascii="宋体" w:hAnsi="宋体" w:eastAsia="宋体" w:cs="宋体"/>
          <w:color w:val="auto"/>
          <w:lang w:val="en-US" w:eastAsia="zh-CN"/>
        </w:rPr>
        <w:t>）w/%</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85</w:t>
      </w:r>
      <w:r>
        <w:rPr>
          <w:rFonts w:hint="eastAsia" w:ascii="宋体" w:hAnsi="宋体" w:eastAsia="宋体" w:cs="宋体"/>
          <w:color w:val="auto"/>
          <w:lang w:val="en-US" w:eastAsia="zh-CN"/>
        </w:rPr>
        <w:t>，详见附件质量规范</w:t>
      </w:r>
      <w:r>
        <w:rPr>
          <w:rFonts w:hint="eastAsia" w:ascii="宋体" w:hAnsi="宋体" w:eastAsia="宋体" w:cs="宋体"/>
          <w:color w:val="auto"/>
        </w:rPr>
        <w:t>。</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我公司（供方）负责进厂交货途中的一切责任由我司（供方）承担。</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我司同意在</w:t>
      </w:r>
      <w:r>
        <w:rPr>
          <w:rFonts w:hint="eastAsia" w:ascii="宋体" w:hAnsi="宋体"/>
          <w:color w:val="auto"/>
          <w:sz w:val="24"/>
          <w:lang w:eastAsia="zh-CN"/>
        </w:rPr>
        <w:t>参选</w:t>
      </w:r>
      <w:r>
        <w:rPr>
          <w:rFonts w:hint="eastAsia" w:ascii="宋体" w:hAnsi="宋体"/>
          <w:color w:val="auto"/>
          <w:sz w:val="24"/>
        </w:rPr>
        <w:t>前缴纳保证</w:t>
      </w:r>
      <w:r>
        <w:rPr>
          <w:rFonts w:hint="eastAsia" w:ascii="宋体" w:hAnsi="宋体"/>
          <w:color w:val="auto"/>
          <w:sz w:val="24"/>
          <w:lang w:eastAsia="zh-CN"/>
        </w:rPr>
        <w:t>金</w:t>
      </w:r>
      <w:r>
        <w:rPr>
          <w:rFonts w:hint="eastAsia" w:ascii="宋体" w:hAnsi="宋体"/>
          <w:color w:val="auto"/>
          <w:sz w:val="24"/>
          <w:lang w:val="en-US" w:eastAsia="zh-CN"/>
        </w:rPr>
        <w:t>贰万伍仟圆整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hint="eastAsia" w:ascii="宋体" w:hAnsi="宋体" w:cs="宋体"/>
          <w:color w:val="auto"/>
          <w:sz w:val="24"/>
          <w:lang w:val="en-US" w:eastAsia="zh-CN"/>
        </w:rPr>
      </w:pPr>
      <w:r>
        <w:rPr>
          <w:rFonts w:hint="eastAsia" w:ascii="宋体" w:hAnsi="宋体"/>
          <w:color w:val="auto"/>
          <w:sz w:val="24"/>
        </w:rPr>
        <w:t>三、报价及结算方式：</w:t>
      </w:r>
      <w:r>
        <w:rPr>
          <w:rFonts w:hint="eastAsia" w:ascii="宋体" w:hAnsi="宋体" w:cs="宋体"/>
          <w:color w:val="auto"/>
          <w:sz w:val="24"/>
        </w:rPr>
        <w:t>现汇支付。产品到货后，需方依据合同约定的质量、数量标准验收合格后，供方提供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w:t>
      </w:r>
      <w:r>
        <w:rPr>
          <w:rFonts w:hint="eastAsia" w:ascii="宋体" w:hAnsi="宋体" w:cs="宋体"/>
          <w:color w:val="auto"/>
          <w:sz w:val="24"/>
        </w:rPr>
        <w:t>供方</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val="en-US" w:eastAsia="zh-CN"/>
        </w:rPr>
        <w:t>分批到货、分批付款。</w:t>
      </w:r>
    </w:p>
    <w:p>
      <w:pPr>
        <w:spacing w:line="312" w:lineRule="auto"/>
        <w:rPr>
          <w:rFonts w:ascii="宋体" w:hAnsi="宋体"/>
          <w:color w:val="auto"/>
          <w:sz w:val="24"/>
        </w:rPr>
      </w:pPr>
      <w:r>
        <w:rPr>
          <w:rFonts w:hint="eastAsia" w:ascii="宋体" w:hAnsi="宋体"/>
          <w:color w:val="auto"/>
          <w:sz w:val="24"/>
        </w:rPr>
        <w:t>四、质量验收标准：以需方质量规范验收为准。</w:t>
      </w:r>
    </w:p>
    <w:p>
      <w:pPr>
        <w:numPr>
          <w:ilvl w:val="0"/>
          <w:numId w:val="8"/>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rFonts w:ascii="宋体"/>
          <w:color w:val="auto"/>
          <w:sz w:val="24"/>
        </w:rPr>
      </w:pPr>
      <w:r>
        <w:rPr>
          <w:rFonts w:hint="eastAsia" w:ascii="宋体" w:hAnsi="宋体"/>
          <w:color w:val="auto"/>
          <w:sz w:val="24"/>
        </w:rPr>
        <w:t>时间：</w:t>
      </w:r>
    </w:p>
    <w:p>
      <w:pPr>
        <w:spacing w:line="400" w:lineRule="exact"/>
        <w:rPr>
          <w:rFonts w:ascii="宋体"/>
          <w:color w:val="auto"/>
          <w:sz w:val="24"/>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lang w:eastAsia="zh-CN"/>
        </w:rPr>
        <w:t>参选</w:t>
      </w:r>
      <w:r>
        <w:rPr>
          <w:rFonts w:hint="eastAsia" w:ascii="宋体"/>
          <w:b/>
          <w:bCs/>
          <w:color w:val="auto"/>
          <w:szCs w:val="21"/>
        </w:rPr>
        <w:t>确认单仅作为</w:t>
      </w:r>
      <w:r>
        <w:rPr>
          <w:rFonts w:hint="eastAsia" w:ascii="宋体"/>
          <w:b/>
          <w:bCs/>
          <w:color w:val="auto"/>
          <w:szCs w:val="21"/>
          <w:lang w:eastAsia="zh-CN"/>
        </w:rPr>
        <w:t>参选</w:t>
      </w:r>
      <w:r>
        <w:rPr>
          <w:rFonts w:hint="eastAsia" w:ascii="宋体"/>
          <w:b/>
          <w:bCs/>
          <w:color w:val="auto"/>
          <w:szCs w:val="21"/>
        </w:rPr>
        <w:t>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w:t>
      </w:r>
      <w:r>
        <w:rPr>
          <w:rFonts w:hint="eastAsia" w:ascii="宋体" w:hAnsi="宋体"/>
          <w:color w:val="auto"/>
          <w:sz w:val="32"/>
          <w:szCs w:val="32"/>
          <w:lang w:eastAsia="zh-CN"/>
        </w:rPr>
        <w:t>参选</w:t>
      </w:r>
      <w:r>
        <w:rPr>
          <w:rFonts w:hint="eastAsia" w:ascii="宋体" w:hAnsi="宋体"/>
          <w:color w:val="auto"/>
          <w:sz w:val="32"/>
          <w:szCs w:val="32"/>
        </w:rPr>
        <w:t>确认单</w:t>
      </w:r>
    </w:p>
    <w:p>
      <w:pPr>
        <w:rPr>
          <w:rFonts w:ascii="宋体"/>
          <w:color w:val="auto"/>
          <w:sz w:val="28"/>
          <w:szCs w:val="28"/>
        </w:rPr>
      </w:pPr>
      <w:r>
        <w:rPr>
          <w:rFonts w:hint="eastAsia" w:ascii="宋体" w:hAnsi="宋体"/>
          <w:color w:val="auto"/>
          <w:sz w:val="28"/>
          <w:szCs w:val="28"/>
          <w:lang w:eastAsia="zh-CN"/>
        </w:rPr>
        <w:t>翔鹭石化（漳州）有限公司</w:t>
      </w:r>
      <w:r>
        <w:rPr>
          <w:rFonts w:hint="eastAsia" w:ascii="宋体" w:hAnsi="宋体"/>
          <w:color w:val="auto"/>
          <w:sz w:val="28"/>
          <w:szCs w:val="28"/>
        </w:rPr>
        <w:t>：</w:t>
      </w:r>
    </w:p>
    <w:p>
      <w:pPr>
        <w:pStyle w:val="6"/>
        <w:widowControl/>
        <w:spacing w:line="360" w:lineRule="auto"/>
        <w:rPr>
          <w:rFonts w:ascii="宋体" w:hAnsi="宋体"/>
          <w:color w:val="auto"/>
          <w:sz w:val="28"/>
          <w:szCs w:val="28"/>
        </w:rPr>
      </w:pPr>
      <w:r>
        <w:rPr>
          <w:rFonts w:hint="eastAsia" w:ascii="宋体" w:hAnsi="宋体"/>
          <w:color w:val="auto"/>
          <w:sz w:val="28"/>
          <w:szCs w:val="28"/>
        </w:rPr>
        <w:t>对于贵公司的公开</w:t>
      </w:r>
      <w:r>
        <w:rPr>
          <w:rFonts w:hint="eastAsia" w:ascii="宋体" w:hAnsi="宋体"/>
          <w:color w:val="auto"/>
          <w:sz w:val="28"/>
          <w:szCs w:val="28"/>
          <w:lang w:eastAsia="zh-CN"/>
        </w:rPr>
        <w:t>参选</w:t>
      </w:r>
      <w:r>
        <w:rPr>
          <w:rFonts w:hint="eastAsia" w:ascii="宋体" w:hAnsi="宋体"/>
          <w:color w:val="auto"/>
          <w:sz w:val="28"/>
          <w:szCs w:val="28"/>
        </w:rPr>
        <w:t>文件（编号：</w:t>
      </w:r>
      <w:r>
        <w:rPr>
          <w:rFonts w:hint="eastAsia" w:ascii="宋体" w:hAnsi="宋体" w:cs="宋体"/>
          <w:bCs/>
          <w:color w:val="auto"/>
          <w:sz w:val="28"/>
          <w:szCs w:val="28"/>
          <w:u w:val="single"/>
          <w:lang w:eastAsia="zh-CN"/>
        </w:rPr>
        <w:t>2024-FHC-磷酸-0529</w:t>
      </w:r>
      <w:r>
        <w:rPr>
          <w:rFonts w:hint="eastAsia" w:ascii="宋体" w:hAnsi="宋体" w:eastAsia="宋体" w:cs="宋体"/>
          <w:color w:val="auto"/>
          <w:sz w:val="28"/>
          <w:szCs w:val="28"/>
        </w:rPr>
        <w:t>）</w:t>
      </w:r>
      <w:r>
        <w:rPr>
          <w:rFonts w:hint="eastAsia" w:ascii="宋体" w:hAnsi="宋体"/>
          <w:color w:val="auto"/>
          <w:sz w:val="28"/>
          <w:szCs w:val="28"/>
        </w:rPr>
        <w:t>，</w:t>
      </w:r>
      <w:bookmarkStart w:id="1" w:name="_Hlk59783074"/>
      <w:r>
        <w:rPr>
          <w:rFonts w:hint="eastAsia" w:ascii="宋体" w:hAnsi="宋体"/>
          <w:color w:val="auto"/>
          <w:sz w:val="28"/>
          <w:szCs w:val="28"/>
        </w:rPr>
        <w:t>供货质量</w:t>
      </w:r>
      <w:bookmarkEnd w:id="1"/>
      <w:r>
        <w:rPr>
          <w:rFonts w:hint="eastAsia" w:ascii="宋体" w:hAnsi="宋体"/>
          <w:color w:val="auto"/>
          <w:sz w:val="28"/>
          <w:szCs w:val="28"/>
          <w:lang w:eastAsia="zh-CN"/>
        </w:rPr>
        <w:t>：</w:t>
      </w:r>
      <w:r>
        <w:rPr>
          <w:rFonts w:hint="eastAsia" w:ascii="宋体" w:hAnsi="宋体" w:eastAsia="宋体" w:cs="Times New Roman"/>
          <w:color w:val="auto"/>
          <w:sz w:val="28"/>
          <w:szCs w:val="28"/>
          <w:u w:val="single"/>
          <w:lang w:val="en-US" w:eastAsia="zh-CN"/>
        </w:rPr>
        <w:t>磷酸（H</w:t>
      </w:r>
      <w:r>
        <w:rPr>
          <w:rFonts w:hint="eastAsia" w:ascii="宋体" w:hAnsi="宋体" w:eastAsia="宋体" w:cs="Times New Roman"/>
          <w:color w:val="auto"/>
          <w:sz w:val="32"/>
          <w:szCs w:val="32"/>
          <w:u w:val="single"/>
          <w:vertAlign w:val="subscript"/>
          <w:lang w:val="en-US" w:eastAsia="zh-CN"/>
        </w:rPr>
        <w:t>3</w:t>
      </w:r>
      <w:r>
        <w:rPr>
          <w:rFonts w:hint="eastAsia" w:ascii="宋体" w:hAnsi="宋体" w:eastAsia="宋体" w:cs="Times New Roman"/>
          <w:color w:val="auto"/>
          <w:sz w:val="28"/>
          <w:szCs w:val="28"/>
          <w:u w:val="single"/>
          <w:lang w:val="en-US" w:eastAsia="zh-CN"/>
        </w:rPr>
        <w:t>PO</w:t>
      </w:r>
      <w:r>
        <w:rPr>
          <w:rFonts w:hint="eastAsia" w:ascii="宋体" w:hAnsi="宋体" w:eastAsia="宋体" w:cs="Times New Roman"/>
          <w:color w:val="auto"/>
          <w:sz w:val="32"/>
          <w:szCs w:val="32"/>
          <w:u w:val="single"/>
          <w:vertAlign w:val="subscript"/>
          <w:lang w:val="en-US" w:eastAsia="zh-CN"/>
        </w:rPr>
        <w:t>4</w:t>
      </w:r>
      <w:r>
        <w:rPr>
          <w:rFonts w:hint="eastAsia" w:ascii="宋体" w:hAnsi="宋体" w:eastAsia="宋体" w:cs="Times New Roman"/>
          <w:color w:val="auto"/>
          <w:sz w:val="28"/>
          <w:szCs w:val="28"/>
          <w:u w:val="single"/>
          <w:lang w:val="en-US" w:eastAsia="zh-CN"/>
        </w:rPr>
        <w:t>）w/%≥85，</w:t>
      </w:r>
      <w:r>
        <w:rPr>
          <w:rFonts w:hint="eastAsia" w:ascii="宋体" w:hAnsi="宋体"/>
          <w:color w:val="auto"/>
          <w:sz w:val="28"/>
          <w:szCs w:val="28"/>
          <w:u w:val="single"/>
          <w:lang w:val="en-US" w:eastAsia="zh-CN"/>
        </w:rPr>
        <w:t>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70</w:t>
      </w:r>
      <w:r>
        <w:rPr>
          <w:rFonts w:hint="eastAsia" w:ascii="宋体" w:hAnsi="宋体"/>
          <w:color w:val="auto"/>
          <w:sz w:val="28"/>
          <w:szCs w:val="28"/>
        </w:rPr>
        <w:t>吨</w:t>
      </w:r>
      <w:r>
        <w:rPr>
          <w:rFonts w:hint="eastAsia" w:ascii="宋体" w:hAnsi="宋体"/>
          <w:color w:val="auto"/>
          <w:sz w:val="28"/>
          <w:szCs w:val="28"/>
          <w:u w:val="none"/>
          <w:lang w:val="en-US" w:eastAsia="zh-CN"/>
        </w:rPr>
        <w:t>，（数量为预估量，以实际发生量为准）</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翔鹭石化（漳州）有限公司</w:t>
      </w:r>
      <w:r>
        <w:rPr>
          <w:rFonts w:hint="eastAsia" w:ascii="宋体" w:hAnsi="宋体"/>
          <w:color w:val="auto"/>
          <w:sz w:val="28"/>
          <w:szCs w:val="28"/>
        </w:rPr>
        <w:t>（详见我公司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lang w:eastAsia="zh-CN"/>
        </w:rPr>
        <w:t>：</w:t>
      </w:r>
      <w:r>
        <w:rPr>
          <w:rFonts w:hint="eastAsia" w:ascii="宋体" w:hAnsi="宋体" w:eastAsia="宋体" w:cs="Times New Roman"/>
          <w:color w:val="auto"/>
          <w:sz w:val="28"/>
          <w:szCs w:val="28"/>
          <w:u w:val="single"/>
          <w:lang w:val="en-US" w:eastAsia="zh-CN"/>
        </w:rPr>
        <w:t>磷酸（H</w:t>
      </w:r>
      <w:r>
        <w:rPr>
          <w:rFonts w:hint="eastAsia" w:ascii="宋体" w:hAnsi="宋体" w:eastAsia="宋体" w:cs="Times New Roman"/>
          <w:color w:val="auto"/>
          <w:sz w:val="32"/>
          <w:szCs w:val="32"/>
          <w:u w:val="single"/>
          <w:vertAlign w:val="subscript"/>
          <w:lang w:val="en-US" w:eastAsia="zh-CN"/>
        </w:rPr>
        <w:t>3</w:t>
      </w:r>
      <w:r>
        <w:rPr>
          <w:rFonts w:hint="eastAsia" w:ascii="宋体" w:hAnsi="宋体" w:eastAsia="宋体" w:cs="Times New Roman"/>
          <w:color w:val="auto"/>
          <w:sz w:val="28"/>
          <w:szCs w:val="28"/>
          <w:u w:val="single"/>
          <w:lang w:val="en-US" w:eastAsia="zh-CN"/>
        </w:rPr>
        <w:t>PO</w:t>
      </w:r>
      <w:r>
        <w:rPr>
          <w:rFonts w:hint="eastAsia" w:ascii="宋体" w:hAnsi="宋体" w:eastAsia="宋体" w:cs="Times New Roman"/>
          <w:color w:val="auto"/>
          <w:sz w:val="32"/>
          <w:szCs w:val="32"/>
          <w:u w:val="single"/>
          <w:vertAlign w:val="subscript"/>
          <w:lang w:val="en-US" w:eastAsia="zh-CN"/>
        </w:rPr>
        <w:t>4</w:t>
      </w:r>
      <w:r>
        <w:rPr>
          <w:rFonts w:hint="eastAsia" w:ascii="宋体" w:hAnsi="宋体" w:eastAsia="宋体" w:cs="Times New Roman"/>
          <w:color w:val="auto"/>
          <w:sz w:val="28"/>
          <w:szCs w:val="28"/>
          <w:u w:val="single"/>
          <w:lang w:val="en-US" w:eastAsia="zh-CN"/>
        </w:rPr>
        <w:t>）w/%≥85，</w:t>
      </w:r>
      <w:r>
        <w:rPr>
          <w:rFonts w:hint="eastAsia" w:ascii="宋体" w:hAnsi="宋体"/>
          <w:color w:val="auto"/>
          <w:sz w:val="28"/>
          <w:szCs w:val="28"/>
          <w:u w:val="single"/>
          <w:lang w:val="en-US" w:eastAsia="zh-CN"/>
        </w:rPr>
        <w:t>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70</w:t>
      </w:r>
      <w:r>
        <w:rPr>
          <w:rFonts w:hint="eastAsia" w:ascii="宋体" w:hAnsi="宋体"/>
          <w:color w:val="auto"/>
          <w:sz w:val="28"/>
          <w:szCs w:val="28"/>
        </w:rPr>
        <w:t>吨，</w:t>
      </w:r>
      <w:r>
        <w:rPr>
          <w:rFonts w:hint="eastAsia" w:ascii="宋体" w:hAnsi="宋体"/>
          <w:color w:val="auto"/>
          <w:sz w:val="28"/>
          <w:szCs w:val="28"/>
          <w:u w:val="none"/>
          <w:lang w:val="en-US" w:eastAsia="zh-CN"/>
        </w:rPr>
        <w:t>（数量为预估量，以实际发生量为准）</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翔鹭石化（漳州）有限公司</w:t>
      </w:r>
      <w:r>
        <w:rPr>
          <w:rFonts w:hint="eastAsia" w:ascii="宋体" w:hAnsi="宋体"/>
          <w:color w:val="auto"/>
          <w:sz w:val="28"/>
          <w:szCs w:val="28"/>
        </w:rPr>
        <w:t>，根据贵公司实际需求进度安排供货。</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rPr>
          <w:rFonts w:ascii="宋体"/>
          <w:color w:val="auto"/>
          <w:sz w:val="28"/>
          <w:szCs w:val="28"/>
        </w:rPr>
      </w:pP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hint="eastAsia" w:ascii="宋体" w:hAnsi="宋体"/>
          <w:color w:val="auto"/>
          <w:sz w:val="28"/>
          <w:szCs w:val="28"/>
          <w:lang w:val="en-US" w:eastAsia="zh-CN"/>
        </w:rPr>
      </w:pPr>
      <w:r>
        <w:rPr>
          <w:rFonts w:hint="eastAsia" w:ascii="宋体" w:hAnsi="宋体"/>
          <w:color w:val="auto"/>
          <w:sz w:val="28"/>
          <w:szCs w:val="28"/>
        </w:rPr>
        <w:t xml:space="preserve">        日期： </w:t>
      </w:r>
    </w:p>
    <w:p>
      <w:pPr>
        <w:wordWrap w:val="0"/>
        <w:jc w:val="both"/>
        <w:rPr>
          <w:rFonts w:hint="eastAsia" w:ascii="宋体" w:hAnsi="宋体"/>
          <w:color w:val="auto"/>
          <w:sz w:val="28"/>
          <w:szCs w:val="28"/>
          <w:lang w:val="en-US" w:eastAsia="zh-CN"/>
        </w:rPr>
      </w:pPr>
      <w:r>
        <w:rPr>
          <w:rFonts w:hint="eastAsia" w:ascii="宋体" w:hAnsi="宋体"/>
          <w:color w:val="auto"/>
          <w:sz w:val="28"/>
          <w:szCs w:val="28"/>
          <w:lang w:val="en-US" w:eastAsia="zh-CN"/>
        </w:rPr>
        <w:t>附件</w:t>
      </w:r>
    </w:p>
    <w:p>
      <w:pPr>
        <w:wordWrap w:val="0"/>
        <w:jc w:val="center"/>
        <w:rPr>
          <w:rFonts w:hint="eastAsia" w:ascii="宋体" w:hAnsi="宋体"/>
          <w:b/>
          <w:bCs/>
          <w:color w:val="auto"/>
          <w:sz w:val="32"/>
          <w:szCs w:val="32"/>
          <w:lang w:val="en-US" w:eastAsia="zh-CN"/>
        </w:rPr>
      </w:pPr>
    </w:p>
    <w:p>
      <w:pPr>
        <w:wordWrap w:val="0"/>
        <w:jc w:val="center"/>
        <w:rPr>
          <w:rFonts w:hint="default" w:ascii="宋体" w:hAnsi="宋体"/>
          <w:b/>
          <w:bCs/>
          <w:color w:val="auto"/>
          <w:sz w:val="32"/>
          <w:szCs w:val="32"/>
          <w:lang w:val="en-US" w:eastAsia="zh-CN"/>
        </w:rPr>
      </w:pPr>
      <w:r>
        <w:rPr>
          <w:rFonts w:hint="eastAsia" w:ascii="宋体" w:hAnsi="宋体"/>
          <w:b/>
          <w:bCs/>
          <w:color w:val="auto"/>
          <w:sz w:val="32"/>
          <w:szCs w:val="32"/>
          <w:lang w:val="en-US" w:eastAsia="zh-CN"/>
        </w:rPr>
        <w:t>质量规范</w:t>
      </w:r>
    </w:p>
    <w:p>
      <w:pPr>
        <w:spacing w:before="0" w:line="240" w:lineRule="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drawing>
          <wp:inline distT="0" distB="0" distL="114300" distR="114300">
            <wp:extent cx="5271770" cy="2632075"/>
            <wp:effectExtent l="0" t="0" r="5080" b="15875"/>
            <wp:docPr id="2" name="图片 2" descr="磷酸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磷酸质量规范"/>
                    <pic:cNvPicPr>
                      <a:picLocks noChangeAspect="1"/>
                    </pic:cNvPicPr>
                  </pic:nvPicPr>
                  <pic:blipFill>
                    <a:blip r:embed="rId5"/>
                    <a:stretch>
                      <a:fillRect/>
                    </a:stretch>
                  </pic:blipFill>
                  <pic:spPr>
                    <a:xfrm>
                      <a:off x="0" y="0"/>
                      <a:ext cx="5271770" cy="2632075"/>
                    </a:xfrm>
                    <a:prstGeom prst="rect">
                      <a:avLst/>
                    </a:prstGeom>
                  </pic:spPr>
                </pic:pic>
              </a:graphicData>
            </a:graphic>
          </wp:inline>
        </w:drawing>
      </w:r>
    </w:p>
    <w:p>
      <w:pPr>
        <w:spacing w:before="6" w:line="240" w:lineRule="auto"/>
        <w:rPr>
          <w:rFonts w:ascii="Times New Roman" w:hAnsi="Times New Roman" w:eastAsia="Times New Roman" w:cs="Times New Roman"/>
          <w:sz w:val="23"/>
          <w:szCs w:val="23"/>
        </w:rPr>
      </w:pPr>
    </w:p>
    <w:p>
      <w:pPr>
        <w:spacing w:before="0" w:line="460" w:lineRule="exact"/>
        <w:ind w:right="4024"/>
        <w:jc w:val="center"/>
        <w:rPr>
          <w:rFonts w:hint="eastAsia" w:ascii="宋体" w:hAnsi="宋体" w:eastAsia="宋体" w:cs="宋体"/>
          <w:b/>
          <w:bCs/>
          <w:sz w:val="28"/>
          <w:szCs w:val="28"/>
        </w:rPr>
      </w:pPr>
      <w:r>
        <w:rPr>
          <w:rFonts w:hint="eastAsia" w:ascii="宋体" w:hAnsi="宋体" w:eastAsia="宋体" w:cs="宋体"/>
          <w:b/>
          <w:bCs/>
          <w:color w:val="auto"/>
          <w:sz w:val="28"/>
          <w:szCs w:val="28"/>
          <w:lang w:val="en-US" w:eastAsia="zh-CN"/>
        </w:rPr>
        <w:t xml:space="preserve">                        </w:t>
      </w: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line="280" w:lineRule="exact"/>
        <w:jc w:val="center"/>
        <w:rPr>
          <w:rFonts w:ascii="宋体" w:hAnsi="宋体"/>
          <w:b/>
          <w:color w:val="000000"/>
          <w:sz w:val="24"/>
        </w:rPr>
      </w:pPr>
      <w:r>
        <w:rPr>
          <w:rFonts w:hint="eastAsia" w:ascii="宋体" w:hAnsi="宋体"/>
          <w:b/>
          <w:color w:val="000000"/>
          <w:sz w:val="24"/>
        </w:rPr>
        <w:t xml:space="preserve"> 一般货物（产品）采购合同</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翔鹭石化</w:t>
      </w:r>
      <w:r>
        <w:rPr>
          <w:rFonts w:hint="eastAsia" w:ascii="宋体" w:hAnsi="宋体"/>
          <w:b/>
          <w:color w:val="000000"/>
          <w:szCs w:val="21"/>
        </w:rPr>
        <w:t>（漳州）有限公司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2024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不含税总金额、税额、含税总</w:t>
      </w:r>
      <w:r>
        <w:rPr>
          <w:rFonts w:hint="eastAsia" w:ascii="宋体" w:hAnsi="宋体" w:cs="宋体"/>
          <w:b/>
          <w:color w:val="000000"/>
          <w:kern w:val="0"/>
          <w:szCs w:val="21"/>
        </w:rPr>
        <w:t>金额、备注:</w:t>
      </w:r>
    </w:p>
    <w:tbl>
      <w:tblPr>
        <w:tblStyle w:val="7"/>
        <w:tblpPr w:leftFromText="180" w:rightFromText="180" w:vertAnchor="text" w:horzAnchor="page" w:tblpX="1383" w:tblpY="72"/>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22"/>
        <w:gridCol w:w="1129"/>
        <w:gridCol w:w="341"/>
        <w:gridCol w:w="399"/>
        <w:gridCol w:w="887"/>
        <w:gridCol w:w="773"/>
        <w:gridCol w:w="1538"/>
        <w:gridCol w:w="1026"/>
        <w:gridCol w:w="12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44"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22"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29"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40" w:type="dxa"/>
            <w:gridSpan w:val="2"/>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87"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73" w:type="dxa"/>
            <w:noWrap w:val="0"/>
            <w:vAlign w:val="center"/>
          </w:tcPr>
          <w:p>
            <w:pPr>
              <w:spacing w:line="280" w:lineRule="exact"/>
              <w:jc w:val="center"/>
              <w:rPr>
                <w:rFonts w:hint="eastAsia" w:ascii="宋体" w:hAnsi="宋体" w:eastAsia="宋体"/>
                <w:color w:val="000000"/>
                <w:szCs w:val="21"/>
                <w:lang w:eastAsia="zh-CN"/>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1538" w:type="dxa"/>
            <w:noWrap w:val="0"/>
            <w:vAlign w:val="center"/>
          </w:tcPr>
          <w:p>
            <w:pPr>
              <w:spacing w:line="2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不含税总金额</w:t>
            </w:r>
          </w:p>
          <w:p>
            <w:pPr>
              <w:spacing w:line="2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（元）</w:t>
            </w:r>
          </w:p>
        </w:tc>
        <w:tc>
          <w:tcPr>
            <w:tcW w:w="1026" w:type="dxa"/>
            <w:noWrap w:val="0"/>
            <w:vAlign w:val="center"/>
          </w:tcPr>
          <w:p>
            <w:pPr>
              <w:spacing w:line="2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税额  （元）</w:t>
            </w:r>
          </w:p>
        </w:tc>
        <w:tc>
          <w:tcPr>
            <w:tcW w:w="121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1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44" w:type="dxa"/>
            <w:noWrap w:val="0"/>
            <w:vAlign w:val="center"/>
          </w:tcPr>
          <w:p>
            <w:pPr>
              <w:spacing w:line="280" w:lineRule="exact"/>
              <w:jc w:val="center"/>
              <w:rPr>
                <w:rFonts w:hint="eastAsia" w:ascii="宋体" w:hAnsi="宋体" w:eastAsia="宋体" w:cs="宋体"/>
                <w:color w:val="000000"/>
                <w:sz w:val="18"/>
                <w:szCs w:val="18"/>
                <w:lang w:val="en-US" w:eastAsia="zh-CN"/>
              </w:rPr>
            </w:pPr>
            <w:r>
              <w:rPr>
                <w:rFonts w:hint="eastAsia" w:ascii="宋体" w:hAnsi="宋体" w:cs="宋体"/>
                <w:sz w:val="21"/>
                <w:szCs w:val="21"/>
              </w:rPr>
              <w:t>磷酸</w:t>
            </w:r>
          </w:p>
        </w:tc>
        <w:tc>
          <w:tcPr>
            <w:tcW w:w="722" w:type="dxa"/>
            <w:noWrap w:val="0"/>
            <w:vAlign w:val="center"/>
          </w:tcPr>
          <w:p>
            <w:pPr>
              <w:spacing w:line="280" w:lineRule="exact"/>
              <w:jc w:val="center"/>
              <w:rPr>
                <w:rFonts w:hint="eastAsia" w:ascii="宋体" w:hAnsi="宋体" w:eastAsia="宋体" w:cs="宋体"/>
                <w:color w:val="000000"/>
                <w:sz w:val="18"/>
                <w:szCs w:val="18"/>
                <w:lang w:val="en-US" w:eastAsia="zh-CN"/>
              </w:rPr>
            </w:pPr>
            <w:r>
              <w:rPr>
                <w:rFonts w:ascii="宋体" w:hAnsi="宋体" w:cs="宋体"/>
                <w:color w:val="000000"/>
                <w:sz w:val="21"/>
                <w:szCs w:val="21"/>
              </w:rPr>
              <w:t>/</w:t>
            </w:r>
          </w:p>
        </w:tc>
        <w:tc>
          <w:tcPr>
            <w:tcW w:w="1129" w:type="dxa"/>
            <w:noWrap w:val="0"/>
            <w:vAlign w:val="center"/>
          </w:tcPr>
          <w:p>
            <w:pPr>
              <w:spacing w:line="280" w:lineRule="exact"/>
              <w:jc w:val="both"/>
              <w:rPr>
                <w:rFonts w:hint="eastAsia" w:ascii="宋体" w:hAnsi="宋体" w:eastAsia="宋体" w:cs="宋体"/>
                <w:color w:val="000000"/>
                <w:sz w:val="18"/>
                <w:szCs w:val="18"/>
                <w:lang w:val="en-US" w:eastAsia="zh-CN"/>
              </w:rPr>
            </w:pPr>
            <w:r>
              <w:rPr>
                <w:rFonts w:hint="eastAsia" w:ascii="宋体"/>
                <w:color w:val="000000"/>
                <w:lang w:val="en-US" w:eastAsia="zh-CN"/>
              </w:rPr>
              <w:t>85%，具体详见附件</w:t>
            </w:r>
          </w:p>
        </w:tc>
        <w:tc>
          <w:tcPr>
            <w:tcW w:w="740" w:type="dxa"/>
            <w:gridSpan w:val="2"/>
            <w:noWrap w:val="0"/>
            <w:vAlign w:val="center"/>
          </w:tcPr>
          <w:p>
            <w:pPr>
              <w:spacing w:line="2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21"/>
                <w:szCs w:val="21"/>
                <w:lang w:val="en-US" w:eastAsia="zh-CN"/>
              </w:rPr>
              <w:t>吨</w:t>
            </w:r>
          </w:p>
        </w:tc>
        <w:tc>
          <w:tcPr>
            <w:tcW w:w="887" w:type="dxa"/>
            <w:noWrap w:val="0"/>
            <w:vAlign w:val="center"/>
          </w:tcPr>
          <w:p>
            <w:pPr>
              <w:spacing w:line="280" w:lineRule="exact"/>
              <w:jc w:val="center"/>
              <w:rPr>
                <w:rFonts w:hint="eastAsia" w:ascii="宋体" w:hAnsi="宋体" w:eastAsia="宋体" w:cs="宋体"/>
                <w:color w:val="000000"/>
                <w:sz w:val="18"/>
                <w:szCs w:val="18"/>
                <w:lang w:val="en-US" w:eastAsia="zh-CN"/>
              </w:rPr>
            </w:pPr>
            <w:r>
              <w:rPr>
                <w:rFonts w:hint="eastAsia" w:ascii="宋体" w:hAnsi="宋体"/>
                <w:color w:val="000000"/>
                <w:sz w:val="18"/>
                <w:szCs w:val="18"/>
                <w:lang w:val="en-US" w:eastAsia="zh-CN"/>
              </w:rPr>
              <w:t>70</w:t>
            </w:r>
          </w:p>
        </w:tc>
        <w:tc>
          <w:tcPr>
            <w:tcW w:w="773" w:type="dxa"/>
            <w:noWrap w:val="0"/>
            <w:vAlign w:val="center"/>
          </w:tcPr>
          <w:p>
            <w:pPr>
              <w:spacing w:line="280" w:lineRule="exact"/>
              <w:jc w:val="center"/>
              <w:rPr>
                <w:rFonts w:hint="eastAsia" w:ascii="宋体" w:hAnsi="宋体" w:eastAsia="宋体" w:cs="宋体"/>
                <w:color w:val="000000"/>
                <w:sz w:val="18"/>
                <w:szCs w:val="18"/>
                <w:lang w:val="en-US" w:eastAsia="zh-CN"/>
              </w:rPr>
            </w:pPr>
          </w:p>
        </w:tc>
        <w:tc>
          <w:tcPr>
            <w:tcW w:w="1538" w:type="dxa"/>
            <w:noWrap w:val="0"/>
            <w:vAlign w:val="center"/>
          </w:tcPr>
          <w:p>
            <w:pPr>
              <w:spacing w:line="28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026" w:type="dxa"/>
            <w:noWrap w:val="0"/>
            <w:vAlign w:val="center"/>
          </w:tcPr>
          <w:p>
            <w:pPr>
              <w:spacing w:line="28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218" w:type="dxa"/>
            <w:noWrap w:val="0"/>
            <w:vAlign w:val="center"/>
          </w:tcPr>
          <w:p>
            <w:pPr>
              <w:spacing w:line="280" w:lineRule="exact"/>
              <w:jc w:val="center"/>
              <w:rPr>
                <w:rFonts w:hint="eastAsia" w:ascii="宋体" w:hAnsi="宋体" w:eastAsia="宋体" w:cs="宋体"/>
                <w:color w:val="000000"/>
                <w:sz w:val="18"/>
                <w:szCs w:val="18"/>
                <w:lang w:val="en-US" w:eastAsia="zh-CN"/>
              </w:rPr>
            </w:pPr>
          </w:p>
        </w:tc>
        <w:tc>
          <w:tcPr>
            <w:tcW w:w="918" w:type="dxa"/>
            <w:noWrap w:val="0"/>
            <w:vAlign w:val="center"/>
          </w:tcPr>
          <w:p>
            <w:pPr>
              <w:spacing w:line="280" w:lineRule="exact"/>
              <w:jc w:val="center"/>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36" w:type="dxa"/>
            <w:gridSpan w:val="4"/>
            <w:noWrap w:val="0"/>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759" w:type="dxa"/>
            <w:gridSpan w:val="7"/>
            <w:noWrap w:val="0"/>
            <w:vAlign w:val="center"/>
          </w:tcPr>
          <w:p>
            <w:pPr>
              <w:spacing w:line="280" w:lineRule="exact"/>
              <w:ind w:firstLine="1470" w:firstLineChars="700"/>
              <w:rPr>
                <w:rFonts w:hint="eastAsia" w:ascii="宋体" w:hAnsi="宋体" w:eastAsia="宋体"/>
                <w:color w:val="000000"/>
                <w:szCs w:val="21"/>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pPr>
        <w:spacing w:line="280" w:lineRule="exact"/>
        <w:rPr>
          <w:rFonts w:hint="eastAsia" w:ascii="宋体" w:hAnsi="宋体"/>
          <w:b/>
          <w:color w:val="000000"/>
          <w:szCs w:val="21"/>
        </w:rPr>
      </w:pP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0"/>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color w:val="000000"/>
          <w:u w:val="single"/>
          <w:lang w:val="en-US" w:eastAsia="zh-CN"/>
        </w:rPr>
        <w:t>85%，具体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themeColor="text1"/>
          <w:szCs w:val="21"/>
          <w14:textFill>
            <w14:solidFill>
              <w14:schemeClr w14:val="tx1"/>
            </w14:solidFill>
          </w14:textFill>
        </w:rPr>
        <w:t>1、袋装：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FF0000"/>
          <w:szCs w:val="21"/>
        </w:rPr>
        <w:t xml:space="preserve">  </w:t>
      </w:r>
      <w:r>
        <w:rPr>
          <w:rFonts w:hint="eastAsia" w:ascii="宋体" w:hAnsi="宋体"/>
          <w:color w:val="000000"/>
          <w:szCs w:val="21"/>
        </w:rPr>
        <w:t>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w:t>
      </w:r>
      <w:r>
        <w:rPr>
          <w:rFonts w:hint="eastAsia" w:ascii="宋体" w:hAnsi="宋体"/>
          <w:color w:val="000000"/>
          <w:szCs w:val="21"/>
          <w:lang w:val="en-US" w:eastAsia="zh-CN"/>
        </w:rPr>
        <w:t>翔鹭石化（漳州）</w:t>
      </w:r>
      <w:r>
        <w:rPr>
          <w:rFonts w:hint="eastAsia" w:ascii="宋体" w:hAnsi="宋体"/>
          <w:color w:val="000000"/>
          <w:szCs w:val="21"/>
        </w:rPr>
        <w:t>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翔鹭石化</w:t>
      </w:r>
      <w:r>
        <w:rPr>
          <w:rFonts w:hint="eastAsia" w:ascii="宋体" w:hAnsi="宋体"/>
          <w:b w:val="0"/>
          <w:bCs/>
          <w:color w:val="000000"/>
          <w:szCs w:val="21"/>
          <w:u w:val="single"/>
        </w:rPr>
        <w:t>（漳州）有限公司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hint="eastAsia"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hint="eastAsia" w:ascii="宋体" w:hAnsi="宋体"/>
          <w:color w:val="000000"/>
          <w:szCs w:val="21"/>
        </w:rPr>
      </w:pPr>
    </w:p>
    <w:p>
      <w:pPr>
        <w:spacing w:line="280" w:lineRule="exact"/>
        <w:rPr>
          <w:rFonts w:hint="eastAsia" w:ascii="宋体" w:hAnsi="宋体"/>
          <w:color w:val="000000"/>
          <w:szCs w:val="21"/>
        </w:rPr>
      </w:pPr>
    </w:p>
    <w:tbl>
      <w:tblPr>
        <w:tblStyle w:val="7"/>
        <w:tblpPr w:leftFromText="180" w:rightFromText="180" w:vertAnchor="text" w:horzAnchor="page" w:tblpX="558" w:tblpY="215"/>
        <w:tblOverlap w:val="never"/>
        <w:tblW w:w="11014" w:type="dxa"/>
        <w:tblInd w:w="0" w:type="dxa"/>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CellMar>
            <w:top w:w="0" w:type="dxa"/>
            <w:left w:w="108" w:type="dxa"/>
            <w:bottom w:w="0" w:type="dxa"/>
            <w:right w:w="108" w:type="dxa"/>
          </w:tblCellMar>
        </w:tblPrEx>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翔鹭石化</w:t>
            </w:r>
            <w:r>
              <w:rPr>
                <w:rFonts w:hint="eastAsia" w:ascii="宋体" w:hAnsi="宋体"/>
                <w:b/>
                <w:color w:val="000000"/>
                <w:szCs w:val="21"/>
              </w:rPr>
              <w:t>（漳州）有限公司</w:t>
            </w:r>
          </w:p>
        </w:tc>
      </w:tr>
      <w:tr>
        <w:tblPrEx>
          <w:tblCellMar>
            <w:top w:w="0" w:type="dxa"/>
            <w:left w:w="108" w:type="dxa"/>
            <w:bottom w:w="0" w:type="dxa"/>
            <w:right w:w="108" w:type="dxa"/>
          </w:tblCellMar>
        </w:tblPrEx>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b w:val="0"/>
                <w:bCs/>
                <w:color w:val="000000"/>
                <w:sz w:val="18"/>
                <w:szCs w:val="18"/>
                <w:lang w:val="en-US" w:eastAsia="zh-CN"/>
              </w:rPr>
              <w:t>漳州市古雷港经济开发区腾龙路86号</w:t>
            </w:r>
          </w:p>
        </w:tc>
      </w:tr>
      <w:tr>
        <w:tblPrEx>
          <w:tblCellMar>
            <w:top w:w="0" w:type="dxa"/>
            <w:left w:w="108" w:type="dxa"/>
            <w:bottom w:w="0" w:type="dxa"/>
            <w:right w:w="108" w:type="dxa"/>
          </w:tblCellMar>
        </w:tblPrEx>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111" w:hRule="atLeast"/>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line="3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5.1</w:t>
      </w:r>
      <w:r>
        <w:rPr>
          <w:rFonts w:hint="eastAsia" w:ascii="宋体" w:hAnsi="宋体"/>
          <w:color w:val="000000"/>
          <w:sz w:val="21"/>
          <w:szCs w:val="21"/>
        </w:rPr>
        <w:t>履约保证金：</w:t>
      </w:r>
      <w:r>
        <w:rPr>
          <w:rFonts w:hint="eastAsia" w:ascii="宋体" w:hAnsi="宋体"/>
          <w:color w:val="000000"/>
          <w:sz w:val="21"/>
          <w:szCs w:val="21"/>
          <w:lang w:val="en-US" w:eastAsia="zh-CN"/>
        </w:rPr>
        <w:t>供方的贰万伍仟圆整参选保证金（收款账户为福建福海创石油化工有限公司账户）转为履约保证金</w:t>
      </w:r>
      <w:r>
        <w:rPr>
          <w:rFonts w:hint="eastAsia" w:ascii="宋体" w:hAnsi="宋体"/>
          <w:color w:val="000000"/>
          <w:sz w:val="21"/>
          <w:szCs w:val="21"/>
          <w:lang w:eastAsia="zh-CN"/>
        </w:rPr>
        <w:t>。</w:t>
      </w:r>
      <w:r>
        <w:rPr>
          <w:rFonts w:hint="eastAsia" w:ascii="宋体" w:hAnsi="宋体"/>
          <w:color w:val="000000"/>
          <w:sz w:val="21"/>
          <w:szCs w:val="21"/>
          <w:lang w:val="en-US" w:eastAsia="zh-CN"/>
        </w:rPr>
        <w:t>合同履约期届满后供方按合同约定全面履约的情况下，需方于供方提交返还履约保证金申请后30个工作日内无息返还。</w:t>
      </w:r>
    </w:p>
    <w:p>
      <w:pPr>
        <w:spacing w:line="300" w:lineRule="exact"/>
        <w:ind w:firstLine="420" w:firstLineChars="200"/>
        <w:rPr>
          <w:rFonts w:hint="eastAsia"/>
          <w:szCs w:val="21"/>
          <w:lang w:val="en-US" w:eastAsia="zh-CN"/>
        </w:rPr>
      </w:pPr>
      <w:r>
        <w:rPr>
          <w:rFonts w:hint="eastAsia"/>
          <w:szCs w:val="21"/>
          <w:lang w:val="en-US" w:eastAsia="zh-CN"/>
        </w:rPr>
        <w:t>5.2 质量规范：见附件</w:t>
      </w:r>
    </w:p>
    <w:p>
      <w:pPr>
        <w:spacing w:line="300" w:lineRule="exact"/>
        <w:ind w:firstLine="420" w:firstLineChars="200"/>
        <w:rPr>
          <w:rFonts w:hint="eastAsia" w:ascii="宋体" w:hAnsi="宋体"/>
          <w:color w:val="000000"/>
          <w:sz w:val="21"/>
          <w:szCs w:val="21"/>
          <w:lang w:val="en-US" w:eastAsia="zh-CN"/>
        </w:rPr>
      </w:pPr>
    </w:p>
    <w:p>
      <w:pPr>
        <w:spacing w:line="300" w:lineRule="exact"/>
        <w:ind w:firstLine="420" w:firstLineChars="200"/>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附件：</w:t>
      </w:r>
    </w:p>
    <w:p>
      <w:pPr>
        <w:spacing w:beforeLines="0" w:afterLines="0" w:line="300" w:lineRule="exact"/>
        <w:rPr>
          <w:rFonts w:hint="eastAsia" w:ascii="宋体" w:hAnsi="宋体"/>
          <w:color w:val="000000"/>
          <w:sz w:val="21"/>
          <w:szCs w:val="21"/>
          <w:lang w:val="en-US" w:eastAsia="zh-CN"/>
        </w:rPr>
      </w:pPr>
    </w:p>
    <w:p>
      <w:pPr>
        <w:spacing w:beforeLines="0" w:afterLines="0" w:line="300" w:lineRule="exact"/>
        <w:jc w:val="center"/>
        <w:rPr>
          <w:rFonts w:hint="default" w:ascii="宋体" w:hAnsi="宋体"/>
          <w:b/>
          <w:bCs/>
          <w:color w:val="000000"/>
          <w:sz w:val="30"/>
          <w:szCs w:val="30"/>
          <w:lang w:val="en-US" w:eastAsia="zh-CN"/>
        </w:rPr>
      </w:pPr>
      <w:r>
        <w:rPr>
          <w:rFonts w:hint="eastAsia" w:ascii="宋体" w:hAnsi="宋体"/>
          <w:b/>
          <w:bCs/>
          <w:color w:val="000000"/>
          <w:sz w:val="30"/>
          <w:szCs w:val="30"/>
          <w:lang w:val="en-US" w:eastAsia="zh-CN"/>
        </w:rPr>
        <w:t>质量规范</w:t>
      </w: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default" w:ascii="宋体" w:hAnsi="宋体"/>
          <w:color w:val="000000"/>
          <w:sz w:val="21"/>
          <w:szCs w:val="21"/>
          <w:lang w:val="en-US" w:eastAsia="zh-CN"/>
        </w:rPr>
      </w:pPr>
    </w:p>
    <w:p>
      <w:pPr>
        <w:spacing w:beforeLines="0" w:afterLines="0" w:line="240" w:lineRule="auto"/>
        <w:rPr>
          <w:rFonts w:hint="eastAsia" w:ascii="宋体" w:hAnsi="宋体" w:eastAsia="宋体" w:cs="宋体"/>
          <w:b/>
          <w:bCs/>
          <w:sz w:val="28"/>
          <w:szCs w:val="28"/>
        </w:rPr>
      </w:pPr>
      <w:r>
        <w:rPr>
          <w:rFonts w:hint="eastAsia" w:eastAsia="宋体"/>
          <w:lang w:eastAsia="zh-CN"/>
        </w:rPr>
        <w:drawing>
          <wp:inline distT="0" distB="0" distL="114300" distR="114300">
            <wp:extent cx="5259070" cy="2355850"/>
            <wp:effectExtent l="0" t="0" r="17780" b="6350"/>
            <wp:docPr id="1" name="图片 1" descr="167143525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1435252187"/>
                    <pic:cNvPicPr>
                      <a:picLocks noChangeAspect="1"/>
                    </pic:cNvPicPr>
                  </pic:nvPicPr>
                  <pic:blipFill>
                    <a:blip r:embed="rId6"/>
                    <a:stretch>
                      <a:fillRect/>
                    </a:stretch>
                  </pic:blipFill>
                  <pic:spPr>
                    <a:xfrm>
                      <a:off x="0" y="0"/>
                      <a:ext cx="5259070" cy="2355850"/>
                    </a:xfrm>
                    <a:prstGeom prst="rect">
                      <a:avLst/>
                    </a:prstGeom>
                  </pic:spPr>
                </pic:pic>
              </a:graphicData>
            </a:graphic>
          </wp:inline>
        </w:drawing>
      </w:r>
    </w:p>
    <w:p>
      <w:pPr>
        <w:spacing w:before="0" w:line="240" w:lineRule="auto"/>
        <w:rPr>
          <w:rFonts w:hint="eastAsia" w:ascii="宋体" w:hAnsi="宋体" w:eastAsia="宋体" w:cs="宋体"/>
          <w:b/>
          <w:bCs/>
          <w:sz w:val="28"/>
          <w:szCs w:val="28"/>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wordWrap w:val="0"/>
        <w:jc w:val="both"/>
        <w:rPr>
          <w:rFonts w:hint="eastAsia" w:ascii="宋体" w:hAnsi="宋体"/>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62C45"/>
    <w:rsid w:val="002C5932"/>
    <w:rsid w:val="002D350C"/>
    <w:rsid w:val="002D4525"/>
    <w:rsid w:val="00313BE4"/>
    <w:rsid w:val="00346315"/>
    <w:rsid w:val="003F15BE"/>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2E5DC2"/>
    <w:rsid w:val="019E4ED3"/>
    <w:rsid w:val="01FD01D6"/>
    <w:rsid w:val="022C497D"/>
    <w:rsid w:val="023A2E4D"/>
    <w:rsid w:val="02892727"/>
    <w:rsid w:val="02C260F7"/>
    <w:rsid w:val="02D1709B"/>
    <w:rsid w:val="03A33B5B"/>
    <w:rsid w:val="03A81073"/>
    <w:rsid w:val="03F7264F"/>
    <w:rsid w:val="046E24C0"/>
    <w:rsid w:val="04FC44A3"/>
    <w:rsid w:val="055F3224"/>
    <w:rsid w:val="058F45E8"/>
    <w:rsid w:val="05EA07C5"/>
    <w:rsid w:val="061C34ED"/>
    <w:rsid w:val="06723038"/>
    <w:rsid w:val="068C79F0"/>
    <w:rsid w:val="06BC3D08"/>
    <w:rsid w:val="07405B06"/>
    <w:rsid w:val="07500389"/>
    <w:rsid w:val="088124AD"/>
    <w:rsid w:val="08EA4662"/>
    <w:rsid w:val="090050A4"/>
    <w:rsid w:val="091057D3"/>
    <w:rsid w:val="09480419"/>
    <w:rsid w:val="0A4710C8"/>
    <w:rsid w:val="0AAB4A45"/>
    <w:rsid w:val="0C2B7DA7"/>
    <w:rsid w:val="0C424338"/>
    <w:rsid w:val="0C861BE9"/>
    <w:rsid w:val="0D351048"/>
    <w:rsid w:val="0DAC4BAD"/>
    <w:rsid w:val="0DF02D6C"/>
    <w:rsid w:val="0DF06533"/>
    <w:rsid w:val="0E29205D"/>
    <w:rsid w:val="0EB30E74"/>
    <w:rsid w:val="0F7658A1"/>
    <w:rsid w:val="10207675"/>
    <w:rsid w:val="10476DB5"/>
    <w:rsid w:val="109D40E1"/>
    <w:rsid w:val="10EC52CB"/>
    <w:rsid w:val="110F36F7"/>
    <w:rsid w:val="11183BCA"/>
    <w:rsid w:val="137E5D88"/>
    <w:rsid w:val="14FC3051"/>
    <w:rsid w:val="15144996"/>
    <w:rsid w:val="15EB255B"/>
    <w:rsid w:val="16CC3C4B"/>
    <w:rsid w:val="17355807"/>
    <w:rsid w:val="19973B95"/>
    <w:rsid w:val="1B47424D"/>
    <w:rsid w:val="1C1C4923"/>
    <w:rsid w:val="1C333367"/>
    <w:rsid w:val="1CB92AA7"/>
    <w:rsid w:val="1D4D3C25"/>
    <w:rsid w:val="1D7204DB"/>
    <w:rsid w:val="1D752B34"/>
    <w:rsid w:val="1DB80B45"/>
    <w:rsid w:val="1DF423BD"/>
    <w:rsid w:val="1FAF6528"/>
    <w:rsid w:val="21615AF6"/>
    <w:rsid w:val="21C11732"/>
    <w:rsid w:val="24470D26"/>
    <w:rsid w:val="2480698E"/>
    <w:rsid w:val="2496308D"/>
    <w:rsid w:val="26DB60FD"/>
    <w:rsid w:val="274737FA"/>
    <w:rsid w:val="281638E9"/>
    <w:rsid w:val="281D5F13"/>
    <w:rsid w:val="28213457"/>
    <w:rsid w:val="297216A5"/>
    <w:rsid w:val="2A5623B5"/>
    <w:rsid w:val="2B000FEC"/>
    <w:rsid w:val="2C74036D"/>
    <w:rsid w:val="2C9E3ADE"/>
    <w:rsid w:val="2E666BF4"/>
    <w:rsid w:val="2EDC0244"/>
    <w:rsid w:val="2EFB2454"/>
    <w:rsid w:val="2F84170C"/>
    <w:rsid w:val="2F9F1AAF"/>
    <w:rsid w:val="2FCC431A"/>
    <w:rsid w:val="30071591"/>
    <w:rsid w:val="302A11B1"/>
    <w:rsid w:val="30DE275A"/>
    <w:rsid w:val="311209F0"/>
    <w:rsid w:val="31C137C8"/>
    <w:rsid w:val="31F34AFF"/>
    <w:rsid w:val="34D06FBC"/>
    <w:rsid w:val="34FD7750"/>
    <w:rsid w:val="357850C8"/>
    <w:rsid w:val="359161FC"/>
    <w:rsid w:val="35F45E58"/>
    <w:rsid w:val="364F130A"/>
    <w:rsid w:val="37295C80"/>
    <w:rsid w:val="374B6C62"/>
    <w:rsid w:val="381027C6"/>
    <w:rsid w:val="389C366B"/>
    <w:rsid w:val="390F42B9"/>
    <w:rsid w:val="392C1A78"/>
    <w:rsid w:val="39381001"/>
    <w:rsid w:val="3938417A"/>
    <w:rsid w:val="39437561"/>
    <w:rsid w:val="39B051CB"/>
    <w:rsid w:val="39CA501E"/>
    <w:rsid w:val="39FD6155"/>
    <w:rsid w:val="3A197276"/>
    <w:rsid w:val="3B5A356F"/>
    <w:rsid w:val="3DE43FE7"/>
    <w:rsid w:val="3ED27815"/>
    <w:rsid w:val="3F84697E"/>
    <w:rsid w:val="40536215"/>
    <w:rsid w:val="415215C9"/>
    <w:rsid w:val="427A661E"/>
    <w:rsid w:val="429D5569"/>
    <w:rsid w:val="42B570F5"/>
    <w:rsid w:val="431D7359"/>
    <w:rsid w:val="433650B9"/>
    <w:rsid w:val="43E14692"/>
    <w:rsid w:val="443129C6"/>
    <w:rsid w:val="44A40B8C"/>
    <w:rsid w:val="465A6F43"/>
    <w:rsid w:val="497038CD"/>
    <w:rsid w:val="499A66C3"/>
    <w:rsid w:val="49B634C9"/>
    <w:rsid w:val="4A35080C"/>
    <w:rsid w:val="4A677B24"/>
    <w:rsid w:val="4AB3161E"/>
    <w:rsid w:val="4AF66252"/>
    <w:rsid w:val="4B1F0217"/>
    <w:rsid w:val="4C266237"/>
    <w:rsid w:val="4D17674A"/>
    <w:rsid w:val="4D817293"/>
    <w:rsid w:val="4F900B6C"/>
    <w:rsid w:val="52E54374"/>
    <w:rsid w:val="533B746E"/>
    <w:rsid w:val="53E9321B"/>
    <w:rsid w:val="542A50A2"/>
    <w:rsid w:val="546601A3"/>
    <w:rsid w:val="546A517C"/>
    <w:rsid w:val="550F3898"/>
    <w:rsid w:val="555262C2"/>
    <w:rsid w:val="55C106B6"/>
    <w:rsid w:val="55EB1097"/>
    <w:rsid w:val="56732B47"/>
    <w:rsid w:val="56EF4FC6"/>
    <w:rsid w:val="573838FA"/>
    <w:rsid w:val="574C432A"/>
    <w:rsid w:val="58AB0BF5"/>
    <w:rsid w:val="58DA20C8"/>
    <w:rsid w:val="593E565E"/>
    <w:rsid w:val="59A10799"/>
    <w:rsid w:val="59C41AA5"/>
    <w:rsid w:val="5A6B0796"/>
    <w:rsid w:val="5B4026A7"/>
    <w:rsid w:val="5BA43BB1"/>
    <w:rsid w:val="5BC9220A"/>
    <w:rsid w:val="5C8B0489"/>
    <w:rsid w:val="5CAD2954"/>
    <w:rsid w:val="5D26635F"/>
    <w:rsid w:val="5D41330C"/>
    <w:rsid w:val="5D451D1A"/>
    <w:rsid w:val="5DDE7148"/>
    <w:rsid w:val="5E4541F8"/>
    <w:rsid w:val="5E4B004D"/>
    <w:rsid w:val="5F212D96"/>
    <w:rsid w:val="5FEC11EA"/>
    <w:rsid w:val="607946F3"/>
    <w:rsid w:val="615239D8"/>
    <w:rsid w:val="617C17FC"/>
    <w:rsid w:val="624A629A"/>
    <w:rsid w:val="639D203B"/>
    <w:rsid w:val="63A0423C"/>
    <w:rsid w:val="63BB2794"/>
    <w:rsid w:val="648F0807"/>
    <w:rsid w:val="651A5C4B"/>
    <w:rsid w:val="659953ED"/>
    <w:rsid w:val="65B31BCC"/>
    <w:rsid w:val="65E84085"/>
    <w:rsid w:val="6651533A"/>
    <w:rsid w:val="66550638"/>
    <w:rsid w:val="67B54BCD"/>
    <w:rsid w:val="67CC5F97"/>
    <w:rsid w:val="67D04E02"/>
    <w:rsid w:val="689B349A"/>
    <w:rsid w:val="69244E3C"/>
    <w:rsid w:val="692E04FE"/>
    <w:rsid w:val="69DE651C"/>
    <w:rsid w:val="6A666D12"/>
    <w:rsid w:val="6BB53285"/>
    <w:rsid w:val="6C6D0B4A"/>
    <w:rsid w:val="6D602485"/>
    <w:rsid w:val="6DDC0050"/>
    <w:rsid w:val="6DFC2440"/>
    <w:rsid w:val="6E557E91"/>
    <w:rsid w:val="6F457884"/>
    <w:rsid w:val="70056229"/>
    <w:rsid w:val="701315F8"/>
    <w:rsid w:val="70DF5DB7"/>
    <w:rsid w:val="72A8130B"/>
    <w:rsid w:val="72E24278"/>
    <w:rsid w:val="734B109B"/>
    <w:rsid w:val="738D2254"/>
    <w:rsid w:val="741C6AC9"/>
    <w:rsid w:val="74A25915"/>
    <w:rsid w:val="756E3E36"/>
    <w:rsid w:val="75940C8C"/>
    <w:rsid w:val="76A51934"/>
    <w:rsid w:val="76BD49F2"/>
    <w:rsid w:val="76F37A06"/>
    <w:rsid w:val="771D0ED8"/>
    <w:rsid w:val="77B966A8"/>
    <w:rsid w:val="79A61991"/>
    <w:rsid w:val="7A7A16FB"/>
    <w:rsid w:val="7B5E089D"/>
    <w:rsid w:val="7BE14819"/>
    <w:rsid w:val="7CB3691A"/>
    <w:rsid w:val="7CFA4897"/>
    <w:rsid w:val="7D5A5061"/>
    <w:rsid w:val="7F212F23"/>
    <w:rsid w:val="7F7269FF"/>
    <w:rsid w:val="7FE06859"/>
    <w:rsid w:val="7FF57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paragraph" w:customStyle="1" w:styleId="10">
    <w:name w:val="列表段落1"/>
    <w:basedOn w:val="1"/>
    <w:qFormat/>
    <w:uiPriority w:val="34"/>
    <w:pPr>
      <w:spacing w:before="206"/>
      <w:ind w:left="959" w:hanging="361"/>
    </w:pPr>
  </w:style>
  <w:style w:type="character" w:customStyle="1" w:styleId="11">
    <w:name w:val="cd_message"/>
    <w:basedOn w:val="8"/>
    <w:qFormat/>
    <w:uiPriority w:val="0"/>
  </w:style>
  <w:style w:type="paragraph" w:customStyle="1" w:styleId="1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列出段落1"/>
    <w:basedOn w:val="1"/>
    <w:qFormat/>
    <w:uiPriority w:val="99"/>
    <w:pPr>
      <w:ind w:firstLine="420" w:firstLineChars="200"/>
    </w:pPr>
  </w:style>
  <w:style w:type="character" w:customStyle="1" w:styleId="14">
    <w:name w:val="页眉 字符"/>
    <w:basedOn w:val="8"/>
    <w:link w:val="5"/>
    <w:qFormat/>
    <w:uiPriority w:val="0"/>
    <w:rPr>
      <w:kern w:val="2"/>
      <w:sz w:val="18"/>
      <w:szCs w:val="18"/>
    </w:rPr>
  </w:style>
  <w:style w:type="paragraph" w:customStyle="1" w:styleId="15">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8496</Words>
  <Characters>8908</Characters>
  <Lines>37</Lines>
  <Paragraphs>10</Paragraphs>
  <TotalTime>3</TotalTime>
  <ScaleCrop>false</ScaleCrop>
  <LinksUpToDate>false</LinksUpToDate>
  <CharactersWithSpaces>9475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2024-06-03T01:04:23Z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347D7582F97C4433BA46A55E2E94A7DD_13</vt:lpwstr>
  </property>
</Properties>
</file>