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rPr>
      </w:pPr>
    </w:p>
    <w:p>
      <w:pPr>
        <w:rPr>
          <w:rFonts w:hint="eastAsia" w:ascii="微软雅黑" w:hAnsi="微软雅黑" w:eastAsia="微软雅黑" w:cs="微软雅黑"/>
          <w:b/>
          <w:w w:val="90"/>
          <w:sz w:val="36"/>
          <w:szCs w:val="36"/>
        </w:rPr>
      </w:pPr>
    </w:p>
    <w:p>
      <w:pPr>
        <w:spacing w:line="720" w:lineRule="auto"/>
        <w:jc w:val="center"/>
        <w:rPr>
          <w:rFonts w:hint="eastAsia" w:ascii="微软雅黑" w:hAnsi="微软雅黑" w:eastAsia="微软雅黑" w:cs="微软雅黑"/>
          <w:b/>
          <w:color w:val="000000"/>
          <w:kern w:val="0"/>
          <w:sz w:val="36"/>
          <w:szCs w:val="36"/>
        </w:rPr>
      </w:pPr>
    </w:p>
    <w:p>
      <w:pPr>
        <w:spacing w:line="720" w:lineRule="auto"/>
        <w:jc w:val="center"/>
        <w:rPr>
          <w:rFonts w:hint="eastAsia" w:ascii="微软雅黑" w:hAnsi="微软雅黑" w:eastAsia="微软雅黑" w:cs="微软雅黑"/>
          <w:b/>
          <w:kern w:val="0"/>
          <w:sz w:val="36"/>
          <w:szCs w:val="36"/>
        </w:rPr>
      </w:pPr>
      <w:r>
        <w:rPr>
          <w:rFonts w:hint="eastAsia" w:ascii="微软雅黑" w:hAnsi="微软雅黑" w:eastAsia="微软雅黑" w:cs="微软雅黑"/>
          <w:b/>
          <w:color w:val="000000"/>
          <w:kern w:val="0"/>
          <w:sz w:val="36"/>
          <w:szCs w:val="36"/>
        </w:rPr>
        <w:t>腾龙芳烃（漳州）有限公司</w:t>
      </w:r>
    </w:p>
    <w:p>
      <w:pPr>
        <w:widowControl/>
        <w:spacing w:line="720" w:lineRule="auto"/>
        <w:jc w:val="center"/>
        <w:rPr>
          <w:rFonts w:hint="eastAsia" w:ascii="微软雅黑" w:hAnsi="微软雅黑" w:eastAsia="微软雅黑" w:cs="微软雅黑"/>
          <w:b/>
          <w:bCs/>
          <w:color w:val="000000"/>
          <w:kern w:val="0"/>
          <w:sz w:val="36"/>
          <w:szCs w:val="36"/>
        </w:rPr>
      </w:pPr>
      <w:r>
        <w:rPr>
          <w:rFonts w:hint="eastAsia" w:ascii="微软雅黑" w:hAnsi="微软雅黑" w:eastAsia="微软雅黑" w:cs="微软雅黑"/>
          <w:b/>
          <w:bCs/>
          <w:color w:val="000000"/>
          <w:kern w:val="0"/>
          <w:sz w:val="36"/>
          <w:szCs w:val="36"/>
        </w:rPr>
        <w:t xml:space="preserve"> </w:t>
      </w:r>
    </w:p>
    <w:p>
      <w:pPr>
        <w:spacing w:line="960" w:lineRule="auto"/>
        <w:jc w:val="center"/>
        <w:rPr>
          <w:rFonts w:hint="eastAsia" w:ascii="微软雅黑" w:hAnsi="微软雅黑" w:eastAsia="微软雅黑" w:cs="微软雅黑"/>
          <w:b/>
          <w:sz w:val="52"/>
          <w:szCs w:val="52"/>
        </w:rPr>
      </w:pPr>
      <w:r>
        <w:rPr>
          <w:rFonts w:hint="eastAsia" w:ascii="微软雅黑" w:hAnsi="微软雅黑" w:eastAsia="微软雅黑" w:cs="微软雅黑"/>
          <w:b/>
          <w:sz w:val="52"/>
          <w:szCs w:val="52"/>
          <w:lang w:val="en-US" w:eastAsia="zh-CN"/>
        </w:rPr>
        <w:t>计量</w:t>
      </w:r>
      <w:r>
        <w:rPr>
          <w:rFonts w:hint="eastAsia" w:ascii="微软雅黑" w:hAnsi="微软雅黑" w:eastAsia="微软雅黑" w:cs="微软雅黑"/>
          <w:b/>
          <w:sz w:val="52"/>
          <w:szCs w:val="52"/>
        </w:rPr>
        <w:t>泵</w:t>
      </w:r>
    </w:p>
    <w:p>
      <w:pPr>
        <w:spacing w:line="960" w:lineRule="auto"/>
        <w:rPr>
          <w:rFonts w:hint="eastAsia" w:ascii="微软雅黑" w:hAnsi="微软雅黑" w:eastAsia="微软雅黑" w:cs="微软雅黑"/>
          <w:b/>
          <w:sz w:val="52"/>
          <w:szCs w:val="52"/>
        </w:rPr>
      </w:pPr>
    </w:p>
    <w:p>
      <w:pPr>
        <w:spacing w:line="960" w:lineRule="auto"/>
        <w:jc w:val="center"/>
        <w:rPr>
          <w:rFonts w:hint="eastAsia" w:ascii="微软雅黑" w:hAnsi="微软雅黑" w:eastAsia="微软雅黑" w:cs="微软雅黑"/>
          <w:b/>
          <w:sz w:val="72"/>
          <w:szCs w:val="72"/>
        </w:rPr>
      </w:pPr>
      <w:r>
        <w:rPr>
          <w:rFonts w:hint="eastAsia" w:ascii="微软雅黑" w:hAnsi="微软雅黑" w:eastAsia="微软雅黑" w:cs="微软雅黑"/>
          <w:b/>
          <w:sz w:val="72"/>
          <w:szCs w:val="72"/>
        </w:rPr>
        <w:t>技 术 协 议</w:t>
      </w:r>
    </w:p>
    <w:p>
      <w:pPr>
        <w:jc w:val="center"/>
        <w:rPr>
          <w:rFonts w:hint="eastAsia" w:ascii="黑体" w:hAnsi="黑体" w:eastAsia="黑体"/>
          <w:sz w:val="44"/>
          <w:szCs w:val="44"/>
        </w:rPr>
      </w:pPr>
    </w:p>
    <w:p>
      <w:pPr>
        <w:ind w:firstLine="434" w:firstLineChars="150"/>
        <w:jc w:val="center"/>
        <w:rPr>
          <w:rFonts w:hint="eastAsia" w:ascii="宋体" w:hAnsi="宋体"/>
          <w:b/>
          <w:w w:val="90"/>
          <w:sz w:val="32"/>
          <w:szCs w:val="32"/>
        </w:rPr>
      </w:pPr>
    </w:p>
    <w:p>
      <w:pPr>
        <w:spacing w:line="720" w:lineRule="auto"/>
        <w:jc w:val="center"/>
        <w:rPr>
          <w:rFonts w:hint="eastAsia" w:ascii="微软雅黑" w:hAnsi="微软雅黑" w:eastAsia="微软雅黑" w:cs="微软雅黑"/>
          <w:b/>
          <w:kern w:val="0"/>
          <w:sz w:val="36"/>
          <w:szCs w:val="36"/>
        </w:rPr>
      </w:pPr>
      <w:r>
        <w:rPr>
          <w:rFonts w:hint="eastAsia" w:ascii="宋体" w:hAnsi="宋体"/>
          <w:b/>
          <w:w w:val="90"/>
          <w:sz w:val="32"/>
          <w:szCs w:val="32"/>
        </w:rPr>
        <w:t xml:space="preserve"> </w:t>
      </w:r>
      <w:r>
        <w:rPr>
          <w:rFonts w:hint="eastAsia" w:ascii="宋体" w:hAnsi="宋体"/>
          <w:b/>
          <w:w w:val="90"/>
          <w:sz w:val="30"/>
          <w:szCs w:val="30"/>
        </w:rPr>
        <w:t>甲方：腾龙芳烃（漳州）有限公司</w:t>
      </w:r>
    </w:p>
    <w:p>
      <w:pPr>
        <w:ind w:firstLine="2712" w:firstLineChars="1000"/>
        <w:jc w:val="left"/>
        <w:rPr>
          <w:rFonts w:hint="eastAsia" w:ascii="宋体" w:hAnsi="宋体"/>
          <w:b/>
          <w:w w:val="90"/>
          <w:sz w:val="30"/>
          <w:szCs w:val="30"/>
        </w:rPr>
      </w:pPr>
      <w:r>
        <w:rPr>
          <w:rFonts w:hint="eastAsia" w:ascii="宋体" w:hAnsi="宋体"/>
          <w:b/>
          <w:w w:val="90"/>
          <w:sz w:val="30"/>
          <w:szCs w:val="30"/>
        </w:rPr>
        <w:t>签字：</w:t>
      </w:r>
    </w:p>
    <w:p>
      <w:pPr>
        <w:spacing w:line="720" w:lineRule="auto"/>
        <w:ind w:firstLine="2712" w:firstLineChars="1000"/>
        <w:rPr>
          <w:rFonts w:hint="eastAsia" w:ascii="宋体" w:hAnsi="宋体"/>
          <w:b/>
          <w:w w:val="90"/>
          <w:sz w:val="30"/>
          <w:szCs w:val="30"/>
        </w:rPr>
      </w:pPr>
      <w:r>
        <w:rPr>
          <w:rFonts w:hint="eastAsia" w:ascii="宋体" w:hAnsi="宋体"/>
          <w:b/>
          <w:w w:val="90"/>
          <w:sz w:val="30"/>
          <w:szCs w:val="30"/>
        </w:rPr>
        <w:t>乙方：</w:t>
      </w:r>
    </w:p>
    <w:p>
      <w:pPr>
        <w:ind w:firstLine="2712" w:firstLineChars="1000"/>
        <w:jc w:val="left"/>
        <w:rPr>
          <w:rFonts w:hint="eastAsia" w:ascii="宋体" w:hAnsi="宋体"/>
          <w:b/>
          <w:w w:val="90"/>
          <w:sz w:val="30"/>
          <w:szCs w:val="30"/>
        </w:rPr>
      </w:pPr>
      <w:r>
        <w:rPr>
          <w:rFonts w:hint="eastAsia" w:ascii="宋体" w:hAnsi="宋体"/>
          <w:b/>
          <w:w w:val="90"/>
          <w:sz w:val="30"/>
          <w:szCs w:val="30"/>
        </w:rPr>
        <w:t>签字：</w:t>
      </w:r>
    </w:p>
    <w:p>
      <w:pPr>
        <w:spacing w:line="720" w:lineRule="auto"/>
        <w:jc w:val="center"/>
        <w:rPr>
          <w:rFonts w:hint="default" w:ascii="宋体" w:hAnsi="宋体" w:eastAsia="宋体"/>
          <w:b/>
          <w:w w:val="90"/>
          <w:sz w:val="32"/>
          <w:szCs w:val="32"/>
          <w:lang w:val="en-US" w:eastAsia="zh-CN"/>
        </w:rPr>
      </w:pPr>
      <w:r>
        <w:rPr>
          <w:rFonts w:hint="eastAsia" w:ascii="宋体" w:hAnsi="宋体"/>
          <w:b/>
          <w:w w:val="90"/>
          <w:sz w:val="32"/>
          <w:szCs w:val="32"/>
        </w:rPr>
        <w:t>202</w:t>
      </w:r>
      <w:r>
        <w:rPr>
          <w:rFonts w:hint="eastAsia" w:ascii="宋体" w:hAnsi="宋体"/>
          <w:b/>
          <w:w w:val="90"/>
          <w:sz w:val="32"/>
          <w:szCs w:val="32"/>
          <w:lang w:val="en-US" w:eastAsia="zh-CN"/>
        </w:rPr>
        <w:t>4</w:t>
      </w:r>
      <w:r>
        <w:rPr>
          <w:rFonts w:hint="eastAsia" w:ascii="宋体" w:hAnsi="宋体"/>
          <w:b/>
          <w:w w:val="90"/>
          <w:sz w:val="32"/>
          <w:szCs w:val="32"/>
        </w:rPr>
        <w:t>.</w:t>
      </w:r>
      <w:r>
        <w:rPr>
          <w:rFonts w:hint="eastAsia" w:ascii="宋体" w:hAnsi="宋体"/>
          <w:b/>
          <w:w w:val="90"/>
          <w:sz w:val="32"/>
          <w:szCs w:val="32"/>
          <w:lang w:val="en-US" w:eastAsia="zh-CN"/>
        </w:rPr>
        <w:t>5</w:t>
      </w:r>
      <w:r>
        <w:rPr>
          <w:rFonts w:hint="eastAsia" w:ascii="宋体" w:hAnsi="宋体"/>
          <w:b/>
          <w:w w:val="90"/>
          <w:sz w:val="32"/>
          <w:szCs w:val="32"/>
        </w:rPr>
        <w:t>.</w:t>
      </w:r>
      <w:r>
        <w:rPr>
          <w:rFonts w:hint="eastAsia" w:ascii="宋体" w:hAnsi="宋体"/>
          <w:b/>
          <w:w w:val="90"/>
          <w:sz w:val="32"/>
          <w:szCs w:val="32"/>
          <w:lang w:val="en-US" w:eastAsia="zh-CN"/>
        </w:rPr>
        <w:t>21</w:t>
      </w:r>
    </w:p>
    <w:p>
      <w:pPr>
        <w:spacing w:line="720" w:lineRule="auto"/>
        <w:jc w:val="center"/>
        <w:rPr>
          <w:rFonts w:ascii="宋体" w:hAnsi="宋体"/>
          <w:b/>
          <w:w w:val="90"/>
          <w:sz w:val="32"/>
          <w:szCs w:val="32"/>
        </w:rPr>
      </w:pPr>
    </w:p>
    <w:p>
      <w:pPr>
        <w:rPr>
          <w:rFonts w:hint="eastAsia" w:ascii="宋体" w:hAnsi="宋体"/>
          <w:sz w:val="28"/>
          <w:szCs w:val="28"/>
        </w:rPr>
      </w:pPr>
    </w:p>
    <w:p>
      <w:pPr>
        <w:jc w:val="center"/>
        <w:rPr>
          <w:rFonts w:hint="eastAsia" w:ascii="宋体" w:hAnsi="宋体"/>
          <w:sz w:val="28"/>
          <w:szCs w:val="28"/>
        </w:rPr>
      </w:pPr>
      <w:r>
        <w:rPr>
          <w:rFonts w:hint="eastAsia" w:ascii="宋体" w:hAnsi="宋体"/>
          <w:sz w:val="28"/>
          <w:szCs w:val="28"/>
        </w:rPr>
        <w:t>目      录</w:t>
      </w:r>
    </w:p>
    <w:p>
      <w:pPr>
        <w:spacing w:line="360" w:lineRule="auto"/>
        <w:rPr>
          <w:rFonts w:hint="eastAsia" w:ascii="宋体" w:hAnsi="宋体"/>
          <w:sz w:val="28"/>
          <w:szCs w:val="28"/>
        </w:rPr>
      </w:pPr>
      <w:r>
        <w:rPr>
          <w:rFonts w:hint="eastAsia" w:ascii="宋体" w:hAnsi="宋体"/>
          <w:sz w:val="28"/>
          <w:szCs w:val="28"/>
        </w:rPr>
        <w:t>前言</w:t>
      </w:r>
    </w:p>
    <w:p>
      <w:pPr>
        <w:spacing w:line="360" w:lineRule="auto"/>
        <w:rPr>
          <w:rFonts w:hint="eastAsia" w:ascii="宋体" w:hAnsi="宋体" w:cs="宋体"/>
          <w:sz w:val="28"/>
          <w:szCs w:val="28"/>
        </w:rPr>
      </w:pPr>
      <w:r>
        <w:rPr>
          <w:rFonts w:hint="eastAsia" w:ascii="宋体" w:hAnsi="宋体" w:cs="宋体"/>
          <w:sz w:val="28"/>
          <w:szCs w:val="28"/>
        </w:rPr>
        <w:t>1 总则</w:t>
      </w:r>
    </w:p>
    <w:p>
      <w:pPr>
        <w:spacing w:line="360" w:lineRule="auto"/>
        <w:rPr>
          <w:rFonts w:hint="eastAsia" w:ascii="宋体" w:hAnsi="宋体" w:cs="宋体"/>
          <w:sz w:val="28"/>
          <w:szCs w:val="28"/>
        </w:rPr>
      </w:pPr>
      <w:r>
        <w:rPr>
          <w:rFonts w:hint="eastAsia" w:ascii="宋体" w:hAnsi="宋体" w:cs="宋体"/>
          <w:sz w:val="28"/>
          <w:szCs w:val="28"/>
        </w:rPr>
        <w:t>2、设计基础和操作技术数据</w:t>
      </w:r>
    </w:p>
    <w:p>
      <w:pPr>
        <w:spacing w:line="360" w:lineRule="auto"/>
        <w:rPr>
          <w:rFonts w:hint="eastAsia" w:ascii="宋体" w:hAnsi="宋体" w:cs="宋体"/>
          <w:sz w:val="28"/>
          <w:szCs w:val="28"/>
        </w:rPr>
      </w:pPr>
      <w:r>
        <w:rPr>
          <w:rFonts w:hint="eastAsia" w:ascii="宋体" w:hAnsi="宋体" w:cs="宋体"/>
          <w:sz w:val="28"/>
          <w:szCs w:val="28"/>
        </w:rPr>
        <w:t>3 设计、制造、验收、试验所采用的标准及规范</w:t>
      </w:r>
    </w:p>
    <w:p>
      <w:pPr>
        <w:spacing w:line="360" w:lineRule="auto"/>
        <w:rPr>
          <w:rFonts w:hint="eastAsia" w:ascii="宋体" w:hAnsi="宋体" w:cs="宋体"/>
          <w:sz w:val="28"/>
          <w:szCs w:val="28"/>
        </w:rPr>
      </w:pPr>
      <w:r>
        <w:rPr>
          <w:rFonts w:hint="eastAsia" w:ascii="宋体" w:hAnsi="宋体" w:cs="宋体"/>
          <w:sz w:val="28"/>
          <w:szCs w:val="28"/>
        </w:rPr>
        <w:t>4 技术要求</w:t>
      </w:r>
    </w:p>
    <w:p>
      <w:pPr>
        <w:spacing w:line="360" w:lineRule="auto"/>
        <w:rPr>
          <w:rFonts w:hint="eastAsia" w:ascii="宋体" w:hAnsi="宋体" w:cs="宋体"/>
          <w:sz w:val="28"/>
          <w:szCs w:val="28"/>
        </w:rPr>
      </w:pPr>
      <w:r>
        <w:rPr>
          <w:rFonts w:hint="eastAsia" w:ascii="宋体" w:hAnsi="宋体" w:cs="宋体"/>
          <w:sz w:val="28"/>
          <w:szCs w:val="28"/>
        </w:rPr>
        <w:t>5 设备选型说明</w:t>
      </w:r>
    </w:p>
    <w:p>
      <w:pPr>
        <w:spacing w:line="360" w:lineRule="auto"/>
        <w:rPr>
          <w:rFonts w:hint="eastAsia" w:ascii="宋体" w:hAnsi="宋体" w:cs="宋体"/>
          <w:sz w:val="28"/>
          <w:szCs w:val="28"/>
        </w:rPr>
      </w:pPr>
      <w:r>
        <w:rPr>
          <w:rFonts w:hint="eastAsia" w:ascii="宋体" w:hAnsi="宋体" w:cs="宋体"/>
          <w:sz w:val="28"/>
          <w:szCs w:val="28"/>
        </w:rPr>
        <w:t>6 供货范围、工作范围及随机备件</w:t>
      </w:r>
    </w:p>
    <w:p>
      <w:pPr>
        <w:spacing w:line="360" w:lineRule="auto"/>
        <w:rPr>
          <w:rFonts w:hint="eastAsia" w:ascii="宋体" w:hAnsi="宋体" w:cs="宋体"/>
          <w:sz w:val="28"/>
          <w:szCs w:val="28"/>
        </w:rPr>
      </w:pPr>
      <w:r>
        <w:rPr>
          <w:rFonts w:hint="eastAsia" w:ascii="宋体" w:hAnsi="宋体" w:cs="宋体"/>
          <w:sz w:val="28"/>
          <w:szCs w:val="28"/>
        </w:rPr>
        <w:t>7 选型设备结构特点说明</w:t>
      </w:r>
    </w:p>
    <w:p>
      <w:pPr>
        <w:spacing w:line="360" w:lineRule="auto"/>
        <w:rPr>
          <w:rFonts w:ascii="宋体" w:hAnsi="宋体" w:cs="宋体"/>
          <w:sz w:val="28"/>
          <w:szCs w:val="28"/>
        </w:rPr>
      </w:pPr>
      <w:r>
        <w:rPr>
          <w:rFonts w:hint="eastAsia" w:ascii="宋体" w:hAnsi="宋体" w:cs="宋体"/>
          <w:sz w:val="28"/>
          <w:szCs w:val="28"/>
        </w:rPr>
        <w:t>8 设备制造</w:t>
      </w:r>
    </w:p>
    <w:p>
      <w:pPr>
        <w:spacing w:line="360" w:lineRule="auto"/>
        <w:rPr>
          <w:rFonts w:hint="eastAsia" w:ascii="宋体" w:hAnsi="宋体" w:cs="宋体"/>
          <w:sz w:val="28"/>
          <w:szCs w:val="28"/>
        </w:rPr>
      </w:pPr>
      <w:r>
        <w:rPr>
          <w:rFonts w:hint="eastAsia" w:ascii="宋体" w:hAnsi="宋体" w:cs="宋体"/>
          <w:sz w:val="28"/>
          <w:szCs w:val="28"/>
        </w:rPr>
        <w:t>9 铭牌和转向箭头</w:t>
      </w:r>
    </w:p>
    <w:p>
      <w:pPr>
        <w:spacing w:line="360" w:lineRule="auto"/>
        <w:rPr>
          <w:rFonts w:hint="eastAsia" w:ascii="宋体" w:hAnsi="宋体" w:cs="宋体"/>
          <w:sz w:val="28"/>
          <w:szCs w:val="28"/>
        </w:rPr>
      </w:pPr>
      <w:r>
        <w:rPr>
          <w:rFonts w:hint="eastAsia" w:ascii="宋体" w:hAnsi="宋体" w:cs="宋体"/>
          <w:sz w:val="28"/>
          <w:szCs w:val="28"/>
        </w:rPr>
        <w:t>10 检验、试验和监造</w:t>
      </w:r>
    </w:p>
    <w:p>
      <w:pPr>
        <w:spacing w:line="360" w:lineRule="auto"/>
        <w:rPr>
          <w:rFonts w:hint="eastAsia" w:ascii="宋体" w:hAnsi="宋体" w:cs="宋体"/>
          <w:sz w:val="28"/>
          <w:szCs w:val="28"/>
        </w:rPr>
      </w:pPr>
      <w:r>
        <w:rPr>
          <w:rFonts w:hint="eastAsia" w:ascii="宋体" w:hAnsi="宋体" w:cs="宋体"/>
          <w:sz w:val="28"/>
          <w:szCs w:val="28"/>
        </w:rPr>
        <w:t>11 质量保证</w:t>
      </w:r>
    </w:p>
    <w:p>
      <w:pPr>
        <w:spacing w:line="360" w:lineRule="auto"/>
        <w:rPr>
          <w:rFonts w:hint="eastAsia" w:ascii="宋体" w:hAnsi="宋体" w:cs="宋体"/>
          <w:sz w:val="28"/>
          <w:szCs w:val="28"/>
        </w:rPr>
      </w:pPr>
      <w:r>
        <w:rPr>
          <w:rFonts w:hint="eastAsia" w:ascii="宋体" w:hAnsi="宋体" w:cs="宋体"/>
          <w:sz w:val="28"/>
          <w:szCs w:val="28"/>
        </w:rPr>
        <w:t>12 包装、运输和交货</w:t>
      </w:r>
    </w:p>
    <w:p>
      <w:pPr>
        <w:spacing w:line="360" w:lineRule="auto"/>
        <w:rPr>
          <w:rFonts w:hint="eastAsia" w:ascii="宋体" w:hAnsi="宋体" w:cs="宋体"/>
          <w:sz w:val="28"/>
          <w:szCs w:val="28"/>
        </w:rPr>
      </w:pPr>
      <w:r>
        <w:rPr>
          <w:rFonts w:hint="eastAsia" w:ascii="宋体" w:hAnsi="宋体" w:cs="宋体"/>
          <w:sz w:val="28"/>
          <w:szCs w:val="28"/>
        </w:rPr>
        <w:t>13 涂漆、包装、运输和交货</w:t>
      </w:r>
    </w:p>
    <w:p>
      <w:pPr>
        <w:spacing w:line="360" w:lineRule="auto"/>
        <w:rPr>
          <w:rFonts w:hint="eastAsia" w:ascii="宋体" w:hAnsi="宋体" w:cs="宋体"/>
          <w:sz w:val="28"/>
          <w:szCs w:val="28"/>
        </w:rPr>
      </w:pPr>
      <w:r>
        <w:rPr>
          <w:rFonts w:hint="eastAsia" w:ascii="宋体" w:hAnsi="宋体" w:cs="宋体"/>
          <w:sz w:val="28"/>
          <w:szCs w:val="28"/>
        </w:rPr>
        <w:t>14 服务承诺</w:t>
      </w:r>
    </w:p>
    <w:p>
      <w:pPr>
        <w:spacing w:line="360" w:lineRule="auto"/>
        <w:rPr>
          <w:rFonts w:hint="eastAsia" w:ascii="宋体" w:hAnsi="宋体" w:cs="宋体"/>
          <w:sz w:val="28"/>
          <w:szCs w:val="28"/>
        </w:rPr>
      </w:pPr>
      <w:r>
        <w:rPr>
          <w:rFonts w:hint="eastAsia" w:ascii="宋体" w:hAnsi="宋体" w:cs="宋体"/>
          <w:sz w:val="28"/>
          <w:szCs w:val="28"/>
        </w:rPr>
        <w:t>15 文件资料的交付</w:t>
      </w:r>
    </w:p>
    <w:p>
      <w:pPr>
        <w:spacing w:line="360" w:lineRule="auto"/>
        <w:rPr>
          <w:rFonts w:hint="eastAsia" w:ascii="宋体" w:hAnsi="宋体" w:cs="宋体"/>
          <w:sz w:val="28"/>
          <w:szCs w:val="28"/>
        </w:rPr>
      </w:pPr>
      <w:r>
        <w:rPr>
          <w:rFonts w:hint="eastAsia" w:ascii="宋体" w:hAnsi="宋体" w:cs="宋体"/>
          <w:sz w:val="28"/>
          <w:szCs w:val="28"/>
        </w:rPr>
        <w:t>16 联系方式</w:t>
      </w:r>
    </w:p>
    <w:p>
      <w:pPr>
        <w:spacing w:line="360" w:lineRule="auto"/>
        <w:rPr>
          <w:rFonts w:hint="eastAsia" w:ascii="宋体" w:hAnsi="宋体" w:cs="宋体"/>
          <w:sz w:val="28"/>
          <w:szCs w:val="28"/>
        </w:rPr>
      </w:pPr>
      <w:r>
        <w:rPr>
          <w:rFonts w:hint="eastAsia" w:ascii="宋体" w:hAnsi="宋体" w:cs="宋体"/>
          <w:sz w:val="28"/>
          <w:szCs w:val="28"/>
        </w:rPr>
        <w:t>17 技术附件（泵数据表、预期性能曲线、外形图）</w:t>
      </w:r>
    </w:p>
    <w:p>
      <w:pPr>
        <w:jc w:val="left"/>
        <w:rPr>
          <w:rFonts w:hint="eastAsia" w:ascii="宋体" w:hAnsi="宋体"/>
          <w:w w:val="90"/>
          <w:sz w:val="28"/>
          <w:szCs w:val="28"/>
        </w:rPr>
      </w:pPr>
    </w:p>
    <w:p>
      <w:pPr>
        <w:jc w:val="left"/>
        <w:rPr>
          <w:rFonts w:hint="eastAsia" w:ascii="宋体" w:hAnsi="宋体"/>
          <w:w w:val="90"/>
          <w:sz w:val="32"/>
          <w:szCs w:val="32"/>
        </w:rPr>
      </w:pPr>
    </w:p>
    <w:p>
      <w:pPr>
        <w:jc w:val="left"/>
        <w:rPr>
          <w:rFonts w:hint="eastAsia" w:ascii="宋体" w:hAnsi="宋体"/>
          <w:w w:val="90"/>
          <w:sz w:val="32"/>
          <w:szCs w:val="32"/>
        </w:rPr>
      </w:pPr>
    </w:p>
    <w:p>
      <w:pPr>
        <w:jc w:val="left"/>
        <w:rPr>
          <w:rFonts w:hint="eastAsia" w:ascii="宋体" w:hAnsi="宋体"/>
          <w:w w:val="90"/>
          <w:sz w:val="32"/>
          <w:szCs w:val="32"/>
        </w:rPr>
      </w:pPr>
    </w:p>
    <w:p>
      <w:pPr>
        <w:spacing w:line="360" w:lineRule="auto"/>
        <w:jc w:val="left"/>
        <w:rPr>
          <w:rFonts w:hint="eastAsia" w:hAnsi="宋体" w:cs="Arial"/>
          <w:b/>
          <w:bCs/>
          <w:sz w:val="28"/>
          <w:szCs w:val="28"/>
        </w:rPr>
      </w:pPr>
      <w:bookmarkStart w:id="0" w:name="_Toc457855729"/>
      <w:r>
        <w:rPr>
          <w:rFonts w:hint="eastAsia" w:hAnsi="宋体" w:cs="Arial"/>
          <w:b/>
          <w:bCs/>
          <w:sz w:val="28"/>
          <w:szCs w:val="28"/>
        </w:rPr>
        <w:t>前言</w:t>
      </w:r>
      <w:bookmarkEnd w:id="0"/>
    </w:p>
    <w:p>
      <w:pPr>
        <w:spacing w:line="360" w:lineRule="auto"/>
        <w:ind w:firstLine="440" w:firstLineChars="200"/>
        <w:jc w:val="left"/>
        <w:rPr>
          <w:rFonts w:hint="eastAsia" w:hAnsi="宋体" w:cs="Arial"/>
          <w:sz w:val="22"/>
          <w:szCs w:val="22"/>
        </w:rPr>
      </w:pPr>
      <w:r>
        <w:rPr>
          <w:rFonts w:hint="eastAsia" w:ascii="宋体" w:hAnsi="宋体" w:cs="Arial"/>
          <w:sz w:val="22"/>
          <w:szCs w:val="22"/>
        </w:rPr>
        <w:t>腾龙芳烃（漳州）有限公司（以下简称买方）与</w:t>
      </w:r>
      <w:r>
        <w:rPr>
          <w:rFonts w:hint="eastAsia" w:ascii="宋体" w:hAnsi="宋体" w:cs="Arial"/>
          <w:sz w:val="22"/>
          <w:szCs w:val="22"/>
          <w:lang w:val="en-US" w:eastAsia="zh-CN"/>
        </w:rPr>
        <w:t>****</w:t>
      </w:r>
      <w:r>
        <w:rPr>
          <w:rFonts w:hint="eastAsia" w:ascii="宋体" w:hAnsi="宋体" w:cs="Arial"/>
          <w:sz w:val="22"/>
          <w:szCs w:val="22"/>
        </w:rPr>
        <w:t>（以下简称卖方），双方</w:t>
      </w:r>
      <w:r>
        <w:rPr>
          <w:rFonts w:ascii="宋体" w:hAnsi="宋体" w:cs="Arial"/>
          <w:sz w:val="22"/>
          <w:szCs w:val="22"/>
        </w:rPr>
        <w:t>就</w:t>
      </w:r>
      <w:r>
        <w:rPr>
          <w:rFonts w:hint="eastAsia" w:ascii="宋体" w:hAnsi="宋体" w:cs="Arial"/>
          <w:sz w:val="22"/>
          <w:szCs w:val="22"/>
        </w:rPr>
        <w:t>买方连续重整装置</w:t>
      </w:r>
      <w:r>
        <w:rPr>
          <w:rFonts w:hint="eastAsia" w:ascii="宋体" w:hAnsi="宋体" w:cs="Arial"/>
          <w:sz w:val="22"/>
          <w:szCs w:val="22"/>
          <w:lang w:val="en-US" w:eastAsia="zh-CN"/>
        </w:rPr>
        <w:t>6台计量</w:t>
      </w:r>
      <w:r>
        <w:rPr>
          <w:rFonts w:hint="eastAsia" w:ascii="宋体" w:hAnsi="宋体" w:cs="Arial"/>
          <w:sz w:val="22"/>
          <w:szCs w:val="22"/>
        </w:rPr>
        <w:t>泵</w:t>
      </w:r>
      <w:r>
        <w:rPr>
          <w:rFonts w:hint="eastAsia" w:hAnsi="宋体" w:cs="Arial"/>
          <w:sz w:val="22"/>
          <w:szCs w:val="22"/>
        </w:rPr>
        <w:t>的设计、制造、检验及试验、</w:t>
      </w:r>
      <w:r>
        <w:rPr>
          <w:rFonts w:hAnsi="宋体"/>
          <w:sz w:val="22"/>
          <w:szCs w:val="22"/>
        </w:rPr>
        <w:t>包装、运输、技术支持及服务</w:t>
      </w:r>
      <w:r>
        <w:rPr>
          <w:rFonts w:hint="eastAsia" w:hAnsi="宋体"/>
          <w:sz w:val="22"/>
          <w:szCs w:val="22"/>
        </w:rPr>
        <w:t>等方面</w:t>
      </w:r>
      <w:r>
        <w:rPr>
          <w:rFonts w:hint="eastAsia" w:hAnsi="宋体" w:cs="Arial"/>
          <w:sz w:val="22"/>
          <w:szCs w:val="22"/>
        </w:rPr>
        <w:t>进行了充分友好协商，达成以下协议条款。</w:t>
      </w:r>
    </w:p>
    <w:p>
      <w:pPr>
        <w:pStyle w:val="13"/>
        <w:spacing w:line="360" w:lineRule="auto"/>
        <w:ind w:firstLine="440" w:firstLineChars="200"/>
        <w:rPr>
          <w:rFonts w:hAnsi="宋体" w:cs="Arial"/>
          <w:sz w:val="22"/>
          <w:szCs w:val="22"/>
        </w:rPr>
      </w:pPr>
      <w:r>
        <w:rPr>
          <w:rFonts w:hAnsi="宋体" w:cs="Arial"/>
          <w:sz w:val="22"/>
          <w:szCs w:val="22"/>
        </w:rPr>
        <w:t>本技术协议作为商务合同的附件，与商务合同具有同等的法律效力，若无商务合同</w:t>
      </w:r>
      <w:r>
        <w:rPr>
          <w:rFonts w:hint="eastAsia" w:hAnsi="宋体" w:cs="Arial"/>
          <w:sz w:val="22"/>
          <w:szCs w:val="22"/>
        </w:rPr>
        <w:t>本</w:t>
      </w:r>
      <w:r>
        <w:rPr>
          <w:rFonts w:hAnsi="宋体" w:cs="Arial"/>
          <w:sz w:val="22"/>
          <w:szCs w:val="22"/>
        </w:rPr>
        <w:t>协议无效。</w:t>
      </w:r>
    </w:p>
    <w:p>
      <w:pPr>
        <w:pStyle w:val="13"/>
        <w:spacing w:beforeLines="100" w:line="360" w:lineRule="auto"/>
        <w:outlineLvl w:val="0"/>
        <w:rPr>
          <w:rFonts w:hint="eastAsia" w:ascii="Times New Roman" w:hAnsi="宋体" w:cs="Arial"/>
          <w:b/>
          <w:bCs/>
          <w:sz w:val="28"/>
          <w:szCs w:val="28"/>
        </w:rPr>
      </w:pPr>
      <w:bookmarkStart w:id="1" w:name="_Toc457855730"/>
      <w:r>
        <w:rPr>
          <w:rFonts w:hint="eastAsia" w:ascii="Times New Roman" w:hAnsi="宋体" w:cs="Arial"/>
          <w:b/>
          <w:bCs/>
          <w:sz w:val="28"/>
          <w:szCs w:val="28"/>
        </w:rPr>
        <w:t>1、总则</w:t>
      </w:r>
      <w:bookmarkEnd w:id="1"/>
    </w:p>
    <w:p>
      <w:pPr>
        <w:pStyle w:val="13"/>
        <w:numPr>
          <w:ilvl w:val="1"/>
          <w:numId w:val="2"/>
        </w:numPr>
        <w:spacing w:line="360" w:lineRule="auto"/>
        <w:rPr>
          <w:rFonts w:hint="eastAsia" w:hAnsi="宋体" w:cs="Arial"/>
          <w:sz w:val="22"/>
          <w:szCs w:val="22"/>
        </w:rPr>
      </w:pPr>
      <w:r>
        <w:rPr>
          <w:rFonts w:hAnsi="宋体"/>
          <w:sz w:val="22"/>
          <w:szCs w:val="22"/>
        </w:rPr>
        <w:t>本技术协议提出的技术指标是最低限度的技术要求，并没有对一切技术细节作出规定，</w:t>
      </w:r>
      <w:r>
        <w:rPr>
          <w:rFonts w:hint="eastAsia" w:hAnsi="宋体"/>
          <w:sz w:val="22"/>
          <w:szCs w:val="22"/>
        </w:rPr>
        <w:t>卖方</w:t>
      </w:r>
      <w:r>
        <w:rPr>
          <w:rFonts w:hAnsi="宋体"/>
          <w:sz w:val="22"/>
          <w:szCs w:val="22"/>
        </w:rPr>
        <w:t>应保证提供符合本技术协议和国家及行业有关最新标准及规范的合格产品</w:t>
      </w:r>
      <w:r>
        <w:rPr>
          <w:rFonts w:hint="eastAsia" w:hAnsi="宋体"/>
          <w:sz w:val="22"/>
          <w:szCs w:val="22"/>
        </w:rPr>
        <w:t>。</w:t>
      </w:r>
    </w:p>
    <w:p>
      <w:pPr>
        <w:pStyle w:val="13"/>
        <w:numPr>
          <w:ilvl w:val="1"/>
          <w:numId w:val="2"/>
        </w:numPr>
        <w:spacing w:line="360" w:lineRule="auto"/>
        <w:rPr>
          <w:rFonts w:hint="eastAsia" w:hAnsi="宋体" w:cs="Arial"/>
          <w:sz w:val="22"/>
          <w:szCs w:val="22"/>
        </w:rPr>
      </w:pPr>
      <w:r>
        <w:rPr>
          <w:rFonts w:hAnsi="宋体"/>
          <w:sz w:val="22"/>
          <w:szCs w:val="22"/>
        </w:rPr>
        <w:t>卖方如对技术协议有异议，可以书面形式明确提出，在征得用户同意后，可对有关条文进行修改。如用户不同意修改，仍以用户意见为准。如卖方没有以书面形式对本技术协议明确提出异议，视为卖方提供的产品应完全满足本技术协议的要求</w:t>
      </w:r>
      <w:r>
        <w:rPr>
          <w:rFonts w:hint="eastAsia" w:hAnsi="宋体"/>
          <w:sz w:val="22"/>
          <w:szCs w:val="22"/>
        </w:rPr>
        <w:t>。</w:t>
      </w:r>
    </w:p>
    <w:p>
      <w:pPr>
        <w:pStyle w:val="13"/>
        <w:numPr>
          <w:ilvl w:val="1"/>
          <w:numId w:val="2"/>
        </w:numPr>
        <w:spacing w:line="360" w:lineRule="auto"/>
        <w:rPr>
          <w:rFonts w:hint="eastAsia" w:hAnsi="宋体" w:cs="Arial"/>
          <w:sz w:val="22"/>
          <w:szCs w:val="22"/>
        </w:rPr>
      </w:pPr>
      <w:r>
        <w:rPr>
          <w:rFonts w:hAnsi="宋体"/>
          <w:sz w:val="22"/>
          <w:szCs w:val="22"/>
        </w:rPr>
        <w:t>在签定合同之后，</w:t>
      </w:r>
      <w:r>
        <w:rPr>
          <w:rFonts w:hint="eastAsia" w:hAnsi="宋体"/>
          <w:sz w:val="22"/>
          <w:szCs w:val="22"/>
        </w:rPr>
        <w:t>买方</w:t>
      </w:r>
      <w:r>
        <w:rPr>
          <w:rFonts w:hAnsi="宋体"/>
          <w:sz w:val="22"/>
          <w:szCs w:val="22"/>
        </w:rPr>
        <w:t>保留对本技术协议提出补充要求和修改的权利，卖方应承诺予以配合。如提出修改，具体项目和条件由双方商定</w:t>
      </w:r>
      <w:r>
        <w:rPr>
          <w:rFonts w:hint="eastAsia" w:hAnsi="宋体"/>
          <w:sz w:val="22"/>
          <w:szCs w:val="22"/>
        </w:rPr>
        <w:t>。</w:t>
      </w:r>
    </w:p>
    <w:p>
      <w:pPr>
        <w:pStyle w:val="13"/>
        <w:numPr>
          <w:ilvl w:val="1"/>
          <w:numId w:val="2"/>
        </w:numPr>
        <w:spacing w:line="360" w:lineRule="auto"/>
        <w:rPr>
          <w:rFonts w:hint="eastAsia" w:hAnsi="宋体" w:cs="Arial"/>
          <w:sz w:val="22"/>
          <w:szCs w:val="22"/>
        </w:rPr>
      </w:pPr>
      <w:r>
        <w:rPr>
          <w:rFonts w:hAnsi="宋体"/>
          <w:sz w:val="22"/>
          <w:szCs w:val="22"/>
        </w:rPr>
        <w:t>卖方对其供货范围内的设备负有全责</w:t>
      </w:r>
      <w:r>
        <w:rPr>
          <w:rFonts w:hint="eastAsia" w:hAnsi="宋体"/>
          <w:sz w:val="22"/>
          <w:szCs w:val="22"/>
        </w:rPr>
        <w:t>。</w:t>
      </w:r>
    </w:p>
    <w:p>
      <w:pPr>
        <w:pStyle w:val="13"/>
        <w:numPr>
          <w:ilvl w:val="1"/>
          <w:numId w:val="2"/>
        </w:numPr>
        <w:spacing w:line="360" w:lineRule="auto"/>
        <w:rPr>
          <w:rFonts w:hAnsi="宋体" w:cs="Arial"/>
          <w:sz w:val="22"/>
          <w:szCs w:val="22"/>
        </w:rPr>
      </w:pPr>
      <w:r>
        <w:rPr>
          <w:rFonts w:hAnsi="宋体" w:cs="Arial"/>
          <w:sz w:val="22"/>
          <w:szCs w:val="22"/>
        </w:rPr>
        <w:t>卖方保证买方不承担有关设备专利的一切责任。</w:t>
      </w:r>
    </w:p>
    <w:p>
      <w:pPr>
        <w:pStyle w:val="13"/>
        <w:numPr>
          <w:ilvl w:val="1"/>
          <w:numId w:val="2"/>
        </w:numPr>
        <w:spacing w:line="360" w:lineRule="auto"/>
        <w:rPr>
          <w:rFonts w:hAnsi="宋体" w:cs="Arial"/>
          <w:sz w:val="22"/>
          <w:szCs w:val="22"/>
        </w:rPr>
      </w:pPr>
      <w:r>
        <w:rPr>
          <w:rFonts w:hAnsi="宋体" w:cs="Arial"/>
          <w:sz w:val="22"/>
          <w:szCs w:val="22"/>
        </w:rPr>
        <w:t>优先级次序：</w:t>
      </w:r>
    </w:p>
    <w:p>
      <w:pPr>
        <w:pStyle w:val="13"/>
        <w:spacing w:line="360" w:lineRule="auto"/>
        <w:ind w:left="838" w:leftChars="399" w:firstLine="8" w:firstLineChars="4"/>
        <w:rPr>
          <w:rFonts w:hAnsi="宋体" w:cs="Arial"/>
          <w:sz w:val="22"/>
          <w:szCs w:val="22"/>
        </w:rPr>
      </w:pPr>
      <w:r>
        <w:rPr>
          <w:rFonts w:hAnsi="宋体" w:cs="Arial"/>
          <w:sz w:val="22"/>
          <w:szCs w:val="22"/>
        </w:rPr>
        <w:t>若下面的文件发生冲突，其优先的顺序按下述处理。但在采购和制造实施前，所有抵触卖方均提交买方澄清。</w:t>
      </w:r>
    </w:p>
    <w:p>
      <w:pPr>
        <w:pStyle w:val="13"/>
        <w:numPr>
          <w:ilvl w:val="0"/>
          <w:numId w:val="3"/>
        </w:numPr>
        <w:spacing w:line="360" w:lineRule="auto"/>
        <w:rPr>
          <w:rFonts w:hAnsi="宋体" w:cs="Arial"/>
          <w:sz w:val="22"/>
          <w:szCs w:val="22"/>
        </w:rPr>
      </w:pPr>
      <w:r>
        <w:rPr>
          <w:rFonts w:hAnsi="宋体" w:cs="Arial"/>
          <w:sz w:val="22"/>
          <w:szCs w:val="22"/>
        </w:rPr>
        <w:t>技术协议；</w:t>
      </w:r>
    </w:p>
    <w:p>
      <w:pPr>
        <w:pStyle w:val="13"/>
        <w:numPr>
          <w:ilvl w:val="0"/>
          <w:numId w:val="3"/>
        </w:numPr>
        <w:spacing w:line="360" w:lineRule="auto"/>
        <w:rPr>
          <w:rFonts w:hAnsi="宋体" w:cs="Arial"/>
          <w:sz w:val="22"/>
          <w:szCs w:val="22"/>
        </w:rPr>
      </w:pPr>
      <w:r>
        <w:rPr>
          <w:rFonts w:hAnsi="宋体" w:cs="Arial"/>
          <w:sz w:val="22"/>
          <w:szCs w:val="22"/>
        </w:rPr>
        <w:t>设备数据表；</w:t>
      </w:r>
    </w:p>
    <w:p>
      <w:pPr>
        <w:pStyle w:val="13"/>
        <w:numPr>
          <w:ilvl w:val="0"/>
          <w:numId w:val="3"/>
        </w:numPr>
        <w:spacing w:line="360" w:lineRule="auto"/>
        <w:rPr>
          <w:rFonts w:hAnsi="宋体" w:cs="Arial"/>
          <w:sz w:val="22"/>
          <w:szCs w:val="22"/>
        </w:rPr>
      </w:pPr>
      <w:r>
        <w:rPr>
          <w:rFonts w:hAnsi="宋体" w:cs="Arial"/>
          <w:sz w:val="22"/>
          <w:szCs w:val="22"/>
        </w:rPr>
        <w:t>工程技术规定；</w:t>
      </w:r>
    </w:p>
    <w:p>
      <w:pPr>
        <w:pStyle w:val="13"/>
        <w:numPr>
          <w:ilvl w:val="0"/>
          <w:numId w:val="3"/>
        </w:numPr>
        <w:spacing w:line="360" w:lineRule="auto"/>
        <w:rPr>
          <w:rFonts w:hAnsi="宋体" w:cs="Arial"/>
          <w:sz w:val="22"/>
          <w:szCs w:val="22"/>
        </w:rPr>
      </w:pPr>
      <w:r>
        <w:rPr>
          <w:rFonts w:hAnsi="宋体" w:cs="Arial"/>
          <w:sz w:val="22"/>
          <w:szCs w:val="22"/>
        </w:rPr>
        <w:t>引用的标准和规范。</w:t>
      </w:r>
    </w:p>
    <w:p>
      <w:pPr>
        <w:pStyle w:val="13"/>
        <w:spacing w:beforeLines="100" w:line="360" w:lineRule="auto"/>
        <w:outlineLvl w:val="0"/>
        <w:rPr>
          <w:rFonts w:hint="eastAsia" w:ascii="Times New Roman" w:hAnsi="宋体" w:cs="Arial"/>
          <w:b/>
          <w:bCs/>
          <w:sz w:val="28"/>
          <w:szCs w:val="28"/>
        </w:rPr>
      </w:pPr>
      <w:bookmarkStart w:id="2" w:name="_Toc457855731"/>
      <w:r>
        <w:rPr>
          <w:rFonts w:hint="eastAsia" w:ascii="Times New Roman" w:hAnsi="宋体" w:cs="Arial"/>
          <w:b/>
          <w:bCs/>
          <w:sz w:val="28"/>
          <w:szCs w:val="28"/>
        </w:rPr>
        <w:t>2、设计基础和操作技术数据</w:t>
      </w:r>
      <w:bookmarkEnd w:id="2"/>
    </w:p>
    <w:p>
      <w:pPr>
        <w:pStyle w:val="13"/>
        <w:spacing w:line="360" w:lineRule="auto"/>
        <w:rPr>
          <w:rFonts w:hAnsi="宋体" w:cs="Arial"/>
          <w:sz w:val="22"/>
          <w:szCs w:val="22"/>
        </w:rPr>
      </w:pPr>
      <w:r>
        <w:rPr>
          <w:rFonts w:hint="eastAsia" w:hAnsi="宋体" w:cs="Arial"/>
          <w:sz w:val="22"/>
          <w:szCs w:val="22"/>
        </w:rPr>
        <w:t>2.1 设计基础</w:t>
      </w:r>
    </w:p>
    <w:p>
      <w:pPr>
        <w:pStyle w:val="13"/>
        <w:spacing w:line="360" w:lineRule="auto"/>
        <w:rPr>
          <w:rFonts w:hint="eastAsia" w:hAnsi="宋体" w:cs="Arial"/>
          <w:sz w:val="22"/>
          <w:szCs w:val="22"/>
        </w:rPr>
      </w:pPr>
      <w:r>
        <w:rPr>
          <w:rFonts w:hint="eastAsia" w:hAnsi="宋体" w:cs="Arial"/>
          <w:sz w:val="22"/>
          <w:szCs w:val="22"/>
        </w:rPr>
        <w:t>2.1.1气象条件</w:t>
      </w:r>
    </w:p>
    <w:p>
      <w:pPr>
        <w:pStyle w:val="13"/>
        <w:spacing w:line="360" w:lineRule="auto"/>
        <w:ind w:firstLine="440"/>
        <w:rPr>
          <w:rFonts w:hint="eastAsia" w:hAnsi="宋体" w:cs="Arial"/>
          <w:sz w:val="22"/>
          <w:szCs w:val="22"/>
        </w:rPr>
      </w:pPr>
      <w:r>
        <w:rPr>
          <w:rFonts w:hint="eastAsia" w:hAnsi="宋体" w:cs="Arial"/>
          <w:sz w:val="22"/>
          <w:szCs w:val="22"/>
        </w:rPr>
        <w:t>最高气温38</w:t>
      </w:r>
      <w:r>
        <w:rPr>
          <w:rFonts w:hint="eastAsia" w:hAnsi="宋体" w:cs="宋体"/>
          <w:sz w:val="22"/>
          <w:szCs w:val="22"/>
        </w:rPr>
        <w:t>℃</w:t>
      </w:r>
      <w:r>
        <w:rPr>
          <w:rFonts w:hint="eastAsia" w:hAnsi="宋体" w:cs="Arial"/>
          <w:sz w:val="22"/>
          <w:szCs w:val="22"/>
        </w:rPr>
        <w:t>、最低气温4.7</w:t>
      </w:r>
      <w:r>
        <w:rPr>
          <w:rFonts w:hint="eastAsia" w:hAnsi="宋体" w:cs="宋体"/>
          <w:sz w:val="22"/>
          <w:szCs w:val="22"/>
        </w:rPr>
        <w:t>℃</w:t>
      </w:r>
    </w:p>
    <w:p>
      <w:pPr>
        <w:pStyle w:val="13"/>
        <w:spacing w:line="360" w:lineRule="auto"/>
        <w:rPr>
          <w:rFonts w:hint="eastAsia" w:hAnsi="宋体" w:cs="Arial"/>
          <w:sz w:val="22"/>
          <w:szCs w:val="22"/>
        </w:rPr>
      </w:pPr>
      <w:r>
        <w:rPr>
          <w:rFonts w:hint="eastAsia" w:hAnsi="宋体" w:cs="Arial"/>
          <w:sz w:val="22"/>
          <w:szCs w:val="22"/>
        </w:rPr>
        <w:t>2.1.2公共工程条件</w:t>
      </w:r>
    </w:p>
    <w:p>
      <w:pPr>
        <w:pStyle w:val="13"/>
        <w:spacing w:line="360" w:lineRule="auto"/>
        <w:rPr>
          <w:rFonts w:hint="eastAsia" w:hAnsi="宋体" w:cs="Arial"/>
          <w:sz w:val="22"/>
          <w:szCs w:val="22"/>
        </w:rPr>
      </w:pPr>
      <w:r>
        <w:rPr>
          <w:rFonts w:hint="eastAsia" w:hAnsi="宋体" w:cs="Arial"/>
          <w:sz w:val="22"/>
          <w:szCs w:val="22"/>
        </w:rPr>
        <w:t xml:space="preserve">   电源：低压380VAC,3ph,50Hz;</w:t>
      </w:r>
    </w:p>
    <w:p>
      <w:pPr>
        <w:pStyle w:val="13"/>
        <w:spacing w:line="360" w:lineRule="auto"/>
        <w:rPr>
          <w:rFonts w:hint="eastAsia" w:hAnsi="宋体" w:cs="Arial"/>
          <w:sz w:val="22"/>
          <w:szCs w:val="22"/>
        </w:rPr>
      </w:pPr>
      <w:r>
        <w:rPr>
          <w:rFonts w:hint="eastAsia" w:hAnsi="宋体" w:cs="Arial"/>
          <w:sz w:val="22"/>
          <w:szCs w:val="22"/>
        </w:rPr>
        <w:t xml:space="preserve">         仪表电源：24VDC</w:t>
      </w:r>
    </w:p>
    <w:p>
      <w:pPr>
        <w:pStyle w:val="13"/>
        <w:spacing w:line="360" w:lineRule="auto"/>
        <w:rPr>
          <w:rFonts w:hint="eastAsia" w:hAnsi="宋体" w:cs="Arial"/>
          <w:sz w:val="22"/>
          <w:szCs w:val="22"/>
        </w:rPr>
      </w:pPr>
      <w:r>
        <w:rPr>
          <w:rFonts w:hint="eastAsia" w:hAnsi="宋体" w:cs="Arial"/>
          <w:sz w:val="22"/>
          <w:szCs w:val="22"/>
        </w:rPr>
        <w:t>2.1.3 爆炸危险区域划分：2区；</w:t>
      </w:r>
    </w:p>
    <w:p>
      <w:pPr>
        <w:pStyle w:val="13"/>
        <w:spacing w:line="360" w:lineRule="auto"/>
        <w:rPr>
          <w:rFonts w:hint="eastAsia" w:hAnsi="宋体" w:cs="Arial"/>
          <w:sz w:val="22"/>
          <w:szCs w:val="22"/>
        </w:rPr>
      </w:pPr>
      <w:r>
        <w:rPr>
          <w:rFonts w:hint="eastAsia" w:hAnsi="宋体" w:cs="Arial"/>
          <w:sz w:val="22"/>
          <w:szCs w:val="22"/>
        </w:rPr>
        <w:t>2.1.4 仪表信号：电信号 4-20mA、气信号：0.02-0.1MPa</w:t>
      </w:r>
    </w:p>
    <w:p>
      <w:pPr>
        <w:pStyle w:val="13"/>
        <w:spacing w:line="360" w:lineRule="auto"/>
        <w:rPr>
          <w:rFonts w:hint="eastAsia" w:hAnsi="宋体" w:eastAsia="宋体" w:cs="Arial"/>
          <w:sz w:val="22"/>
          <w:szCs w:val="22"/>
          <w:lang w:eastAsia="zh-CN"/>
        </w:rPr>
      </w:pPr>
      <w:r>
        <w:rPr>
          <w:rFonts w:hint="eastAsia" w:hAnsi="宋体" w:cs="Arial"/>
          <w:sz w:val="22"/>
          <w:szCs w:val="22"/>
        </w:rPr>
        <w:t>2.2  操作技术数据</w:t>
      </w:r>
    </w:p>
    <w:tbl>
      <w:tblPr>
        <w:tblW w:w="8947" w:type="dxa"/>
        <w:tblInd w:w="4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125"/>
        <w:gridCol w:w="1116"/>
        <w:gridCol w:w="1670"/>
        <w:gridCol w:w="1786"/>
        <w:gridCol w:w="839"/>
        <w:gridCol w:w="803"/>
        <w:gridCol w:w="16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编码</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名称</w:t>
            </w:r>
          </w:p>
        </w:tc>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位号</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规格</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单位</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数量</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cs="宋体"/>
                <w:i w:val="0"/>
                <w:iCs w:val="0"/>
                <w:color w:val="000000"/>
                <w:kern w:val="0"/>
                <w:sz w:val="18"/>
                <w:szCs w:val="18"/>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1311080192</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计量泵</w:t>
            </w:r>
          </w:p>
        </w:tc>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31-P-405AB</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详见数据表</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台</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仿宋" w:hAnsi="仿宋" w:eastAsia="仿宋" w:cs="仿宋"/>
                <w:b w:val="0"/>
                <w:bCs w:val="0"/>
                <w:color w:val="000000"/>
                <w:w w:val="95"/>
                <w:kern w:val="0"/>
                <w:sz w:val="18"/>
                <w:szCs w:val="18"/>
              </w:rPr>
              <w:t>流量手动行程调节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1311080193</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计量泵</w:t>
            </w:r>
          </w:p>
        </w:tc>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31-P-406AB</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详见数据表</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台</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仿宋" w:hAnsi="仿宋" w:eastAsia="仿宋" w:cs="仿宋"/>
                <w:b w:val="0"/>
                <w:bCs w:val="0"/>
                <w:color w:val="000000"/>
                <w:w w:val="95"/>
                <w:kern w:val="0"/>
                <w:sz w:val="18"/>
                <w:szCs w:val="18"/>
              </w:rPr>
              <w:t>流量手动行程调节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1311080194</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计量泵</w:t>
            </w:r>
          </w:p>
        </w:tc>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33-P-104AB</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详见数据表</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台</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仿宋" w:hAnsi="仿宋" w:eastAsia="仿宋" w:cs="仿宋"/>
                <w:b w:val="0"/>
                <w:bCs w:val="0"/>
                <w:color w:val="000000"/>
                <w:w w:val="95"/>
                <w:kern w:val="0"/>
                <w:sz w:val="18"/>
                <w:szCs w:val="18"/>
              </w:rPr>
              <w:t>流量手动行程调节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1311080191</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计量泵</w:t>
            </w:r>
          </w:p>
        </w:tc>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33-P-105AB</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详见数据表</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台</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仿宋" w:hAnsi="仿宋" w:eastAsia="仿宋" w:cs="仿宋"/>
                <w:b w:val="0"/>
                <w:bCs w:val="0"/>
                <w:color w:val="000000"/>
                <w:w w:val="95"/>
                <w:kern w:val="0"/>
                <w:sz w:val="18"/>
                <w:szCs w:val="18"/>
              </w:rPr>
              <w:t>流量手动行程调节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1311080195</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计量泵</w:t>
            </w:r>
          </w:p>
        </w:tc>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31-P-104</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详见数据表</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台</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仿宋" w:hAnsi="仿宋" w:eastAsia="仿宋" w:cs="仿宋"/>
                <w:b w:val="0"/>
                <w:bCs w:val="0"/>
                <w:color w:val="000000"/>
                <w:w w:val="95"/>
                <w:kern w:val="0"/>
                <w:sz w:val="18"/>
                <w:szCs w:val="18"/>
              </w:rPr>
              <w:t>流量手动行程调节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1311080196</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计量泵</w:t>
            </w:r>
          </w:p>
        </w:tc>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33-P-103AB</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详见数据表</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台</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仿宋" w:hAnsi="仿宋" w:eastAsia="仿宋" w:cs="仿宋"/>
                <w:b w:val="0"/>
                <w:bCs w:val="0"/>
                <w:color w:val="000000"/>
                <w:w w:val="95"/>
                <w:kern w:val="0"/>
                <w:sz w:val="18"/>
                <w:szCs w:val="18"/>
              </w:rPr>
              <w:t>流量手动行程调节</w:t>
            </w:r>
          </w:p>
        </w:tc>
      </w:tr>
    </w:tbl>
    <w:p>
      <w:pPr>
        <w:pStyle w:val="13"/>
        <w:spacing w:beforeLines="100" w:line="360" w:lineRule="auto"/>
        <w:outlineLvl w:val="0"/>
        <w:rPr>
          <w:rFonts w:hint="eastAsia" w:hAnsi="宋体" w:cs="宋体"/>
          <w:b/>
          <w:bCs/>
          <w:sz w:val="28"/>
          <w:szCs w:val="28"/>
        </w:rPr>
      </w:pPr>
    </w:p>
    <w:p>
      <w:pPr>
        <w:pStyle w:val="13"/>
        <w:spacing w:beforeLines="100" w:line="360" w:lineRule="auto"/>
        <w:outlineLvl w:val="0"/>
        <w:rPr>
          <w:rFonts w:hint="eastAsia" w:hAnsi="宋体" w:cs="宋体"/>
          <w:b/>
          <w:bCs/>
          <w:sz w:val="28"/>
          <w:szCs w:val="28"/>
        </w:rPr>
      </w:pPr>
      <w:r>
        <w:rPr>
          <w:rFonts w:hint="eastAsia" w:hAnsi="宋体" w:cs="宋体"/>
          <w:b/>
          <w:bCs/>
          <w:sz w:val="28"/>
          <w:szCs w:val="28"/>
        </w:rPr>
        <w:t>3、设计、制造、验收、试验所采用的标准及规范</w:t>
      </w:r>
    </w:p>
    <w:p>
      <w:pPr>
        <w:pStyle w:val="13"/>
        <w:spacing w:line="360" w:lineRule="auto"/>
        <w:rPr>
          <w:rFonts w:hAnsi="宋体" w:cs="Arial"/>
          <w:sz w:val="22"/>
          <w:szCs w:val="22"/>
        </w:rPr>
      </w:pPr>
      <w:r>
        <w:rPr>
          <w:rFonts w:hint="eastAsia" w:hAnsi="宋体" w:cs="Arial"/>
          <w:sz w:val="22"/>
          <w:szCs w:val="22"/>
        </w:rPr>
        <w:t xml:space="preserve">3.1 </w:t>
      </w:r>
      <w:r>
        <w:rPr>
          <w:rFonts w:hAnsi="宋体" w:cs="Arial"/>
          <w:sz w:val="22"/>
          <w:szCs w:val="22"/>
        </w:rPr>
        <w:t>设备设计、制造和材料将符合下列标准和规定的最新标准的要求，但不仅限于止。</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2381"/>
        <w:gridCol w:w="955"/>
        <w:gridCol w:w="5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1" w:type="pct"/>
            <w:tcBorders>
              <w:left w:val="nil"/>
            </w:tcBorders>
            <w:vAlign w:val="center"/>
          </w:tcPr>
          <w:p>
            <w:pPr>
              <w:pStyle w:val="13"/>
              <w:rPr>
                <w:rFonts w:hint="eastAsia" w:ascii="仿宋" w:hAnsi="仿宋" w:eastAsia="仿宋" w:cs="仿宋"/>
                <w:b/>
                <w:bCs/>
                <w:w w:val="95"/>
                <w:szCs w:val="21"/>
              </w:rPr>
            </w:pPr>
            <w:r>
              <w:rPr>
                <w:rFonts w:hint="eastAsia" w:ascii="仿宋" w:hAnsi="仿宋" w:eastAsia="仿宋" w:cs="仿宋"/>
                <w:b/>
                <w:bCs/>
                <w:w w:val="95"/>
                <w:szCs w:val="21"/>
              </w:rPr>
              <w:t>序号</w:t>
            </w:r>
          </w:p>
        </w:tc>
        <w:tc>
          <w:tcPr>
            <w:tcW w:w="1244" w:type="pct"/>
            <w:vAlign w:val="center"/>
          </w:tcPr>
          <w:p>
            <w:pPr>
              <w:pStyle w:val="13"/>
              <w:rPr>
                <w:rFonts w:hint="eastAsia" w:ascii="仿宋" w:hAnsi="仿宋" w:eastAsia="仿宋" w:cs="仿宋"/>
                <w:b/>
                <w:bCs/>
                <w:w w:val="95"/>
                <w:szCs w:val="21"/>
              </w:rPr>
            </w:pPr>
            <w:r>
              <w:rPr>
                <w:rFonts w:hint="eastAsia" w:ascii="仿宋" w:hAnsi="仿宋" w:eastAsia="仿宋" w:cs="仿宋"/>
                <w:b/>
                <w:bCs/>
                <w:w w:val="95"/>
                <w:szCs w:val="21"/>
              </w:rPr>
              <w:t>标准编号</w:t>
            </w:r>
          </w:p>
        </w:tc>
        <w:tc>
          <w:tcPr>
            <w:tcW w:w="499" w:type="pct"/>
            <w:vAlign w:val="center"/>
          </w:tcPr>
          <w:p>
            <w:pPr>
              <w:pStyle w:val="13"/>
              <w:rPr>
                <w:rFonts w:hint="eastAsia" w:ascii="仿宋" w:hAnsi="仿宋" w:eastAsia="仿宋" w:cs="仿宋"/>
                <w:b/>
                <w:bCs/>
                <w:w w:val="95"/>
                <w:szCs w:val="21"/>
              </w:rPr>
            </w:pPr>
            <w:r>
              <w:rPr>
                <w:rFonts w:hint="eastAsia" w:ascii="仿宋" w:hAnsi="仿宋" w:eastAsia="仿宋" w:cs="仿宋"/>
                <w:b/>
                <w:bCs/>
                <w:w w:val="95"/>
                <w:szCs w:val="21"/>
              </w:rPr>
              <w:t>版本</w:t>
            </w:r>
          </w:p>
        </w:tc>
        <w:tc>
          <w:tcPr>
            <w:tcW w:w="2864" w:type="pct"/>
            <w:tcBorders>
              <w:right w:val="nil"/>
            </w:tcBorders>
            <w:vAlign w:val="center"/>
          </w:tcPr>
          <w:p>
            <w:pPr>
              <w:pStyle w:val="13"/>
              <w:rPr>
                <w:rFonts w:hint="eastAsia" w:ascii="仿宋" w:hAnsi="仿宋" w:eastAsia="仿宋" w:cs="仿宋"/>
                <w:b/>
                <w:bCs/>
                <w:w w:val="95"/>
                <w:szCs w:val="21"/>
              </w:rPr>
            </w:pPr>
            <w:r>
              <w:rPr>
                <w:rFonts w:hint="eastAsia" w:ascii="仿宋" w:hAnsi="仿宋" w:eastAsia="仿宋" w:cs="仿宋"/>
                <w:b/>
                <w:bCs/>
                <w:w w:val="95"/>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1" w:type="pct"/>
            <w:tcBorders>
              <w:left w:val="nil"/>
            </w:tcBorders>
            <w:vAlign w:val="center"/>
          </w:tcPr>
          <w:p>
            <w:pPr>
              <w:pStyle w:val="13"/>
              <w:numPr>
                <w:ilvl w:val="0"/>
                <w:numId w:val="4"/>
              </w:numPr>
              <w:rPr>
                <w:rFonts w:hint="eastAsia" w:ascii="仿宋" w:hAnsi="仿宋" w:eastAsia="仿宋" w:cs="仿宋"/>
                <w:b/>
                <w:bCs/>
                <w:w w:val="95"/>
                <w:szCs w:val="21"/>
              </w:rPr>
            </w:pPr>
          </w:p>
        </w:tc>
        <w:tc>
          <w:tcPr>
            <w:tcW w:w="1244" w:type="pct"/>
            <w:vAlign w:val="center"/>
          </w:tcPr>
          <w:p>
            <w:pPr>
              <w:pStyle w:val="13"/>
              <w:rPr>
                <w:rFonts w:hint="eastAsia" w:ascii="仿宋" w:hAnsi="仿宋" w:eastAsia="仿宋" w:cs="仿宋"/>
                <w:b/>
                <w:bCs/>
                <w:w w:val="95"/>
                <w:szCs w:val="21"/>
              </w:rPr>
            </w:pPr>
          </w:p>
        </w:tc>
        <w:tc>
          <w:tcPr>
            <w:tcW w:w="499" w:type="pct"/>
            <w:vAlign w:val="center"/>
          </w:tcPr>
          <w:p>
            <w:pPr>
              <w:pStyle w:val="13"/>
              <w:rPr>
                <w:rFonts w:hint="eastAsia" w:ascii="仿宋" w:hAnsi="仿宋" w:eastAsia="仿宋" w:cs="仿宋"/>
                <w:b/>
                <w:bCs/>
                <w:w w:val="95"/>
                <w:szCs w:val="21"/>
              </w:rPr>
            </w:pPr>
          </w:p>
        </w:tc>
        <w:tc>
          <w:tcPr>
            <w:tcW w:w="2864" w:type="pct"/>
            <w:tcBorders>
              <w:right w:val="nil"/>
            </w:tcBorders>
            <w:vAlign w:val="center"/>
          </w:tcPr>
          <w:p>
            <w:pPr>
              <w:pStyle w:val="13"/>
              <w:rPr>
                <w:rFonts w:hint="eastAsia" w:ascii="仿宋" w:hAnsi="仿宋" w:eastAsia="仿宋" w:cs="仿宋"/>
                <w:b/>
                <w:bCs/>
                <w:w w:val="95"/>
                <w:szCs w:val="21"/>
              </w:rPr>
            </w:pPr>
            <w:r>
              <w:rPr>
                <w:rFonts w:hint="eastAsia" w:ascii="仿宋" w:hAnsi="仿宋" w:eastAsia="仿宋" w:cs="仿宋"/>
                <w:b/>
                <w:bCs/>
                <w:w w:val="95"/>
                <w:szCs w:val="21"/>
              </w:rPr>
              <w:t>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1" w:type="pct"/>
            <w:tcBorders>
              <w:left w:val="nil"/>
            </w:tcBorders>
            <w:vAlign w:val="center"/>
          </w:tcPr>
          <w:p>
            <w:pPr>
              <w:pStyle w:val="13"/>
              <w:numPr>
                <w:ilvl w:val="1"/>
                <w:numId w:val="4"/>
              </w:numPr>
              <w:rPr>
                <w:rFonts w:hint="eastAsia" w:ascii="仿宋" w:hAnsi="仿宋" w:eastAsia="仿宋" w:cs="仿宋"/>
                <w:b/>
                <w:bCs/>
                <w:w w:val="95"/>
                <w:szCs w:val="21"/>
              </w:rPr>
            </w:pPr>
          </w:p>
        </w:tc>
        <w:tc>
          <w:tcPr>
            <w:tcW w:w="1244" w:type="pct"/>
            <w:vAlign w:val="center"/>
          </w:tcPr>
          <w:p>
            <w:pPr>
              <w:pStyle w:val="13"/>
              <w:rPr>
                <w:rFonts w:hint="eastAsia" w:ascii="仿宋" w:hAnsi="仿宋" w:eastAsia="仿宋" w:cs="仿宋"/>
                <w:b/>
                <w:bCs/>
                <w:w w:val="95"/>
                <w:szCs w:val="21"/>
              </w:rPr>
            </w:pPr>
            <w:r>
              <w:rPr>
                <w:rFonts w:hint="eastAsia" w:ascii="仿宋" w:hAnsi="仿宋" w:eastAsia="仿宋" w:cs="仿宋"/>
                <w:b/>
                <w:bCs/>
                <w:w w:val="95"/>
                <w:szCs w:val="21"/>
              </w:rPr>
              <w:t>GB/T 7782</w:t>
            </w:r>
          </w:p>
        </w:tc>
        <w:tc>
          <w:tcPr>
            <w:tcW w:w="499" w:type="pct"/>
            <w:vAlign w:val="center"/>
          </w:tcPr>
          <w:p>
            <w:pPr>
              <w:pStyle w:val="13"/>
              <w:rPr>
                <w:rFonts w:ascii="仿宋" w:hAnsi="仿宋" w:eastAsia="仿宋" w:cs="仿宋"/>
                <w:b/>
                <w:bCs/>
                <w:w w:val="95"/>
                <w:szCs w:val="21"/>
              </w:rPr>
            </w:pPr>
            <w:r>
              <w:rPr>
                <w:rFonts w:hint="eastAsia" w:ascii="仿宋" w:hAnsi="仿宋" w:eastAsia="仿宋" w:cs="仿宋"/>
                <w:b/>
                <w:bCs/>
                <w:w w:val="95"/>
                <w:szCs w:val="21"/>
              </w:rPr>
              <w:t>2020</w:t>
            </w:r>
          </w:p>
        </w:tc>
        <w:tc>
          <w:tcPr>
            <w:tcW w:w="2864" w:type="pct"/>
            <w:tcBorders>
              <w:right w:val="nil"/>
            </w:tcBorders>
            <w:vAlign w:val="center"/>
          </w:tcPr>
          <w:p>
            <w:pPr>
              <w:pStyle w:val="13"/>
              <w:rPr>
                <w:rFonts w:hint="eastAsia" w:ascii="仿宋" w:hAnsi="仿宋" w:eastAsia="仿宋" w:cs="仿宋"/>
                <w:b/>
                <w:bCs/>
                <w:w w:val="95"/>
                <w:szCs w:val="21"/>
              </w:rPr>
            </w:pPr>
            <w:r>
              <w:rPr>
                <w:rFonts w:hint="eastAsia" w:ascii="仿宋" w:hAnsi="仿宋" w:eastAsia="仿宋" w:cs="仿宋"/>
                <w:b/>
                <w:bCs/>
                <w:w w:val="95"/>
                <w:szCs w:val="21"/>
              </w:rPr>
              <w:t>计量泵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1" w:type="pct"/>
            <w:tcBorders>
              <w:left w:val="nil"/>
            </w:tcBorders>
            <w:vAlign w:val="center"/>
          </w:tcPr>
          <w:p>
            <w:pPr>
              <w:pStyle w:val="13"/>
              <w:numPr>
                <w:ilvl w:val="1"/>
                <w:numId w:val="4"/>
              </w:numPr>
              <w:rPr>
                <w:rFonts w:hint="eastAsia" w:ascii="仿宋" w:hAnsi="仿宋" w:eastAsia="仿宋" w:cs="仿宋"/>
                <w:b/>
                <w:bCs/>
                <w:w w:val="95"/>
                <w:szCs w:val="21"/>
              </w:rPr>
            </w:pPr>
          </w:p>
        </w:tc>
        <w:tc>
          <w:tcPr>
            <w:tcW w:w="1244" w:type="pct"/>
            <w:vAlign w:val="center"/>
          </w:tcPr>
          <w:p>
            <w:pPr>
              <w:pStyle w:val="13"/>
              <w:rPr>
                <w:rFonts w:hint="eastAsia" w:ascii="仿宋" w:hAnsi="仿宋" w:eastAsia="仿宋" w:cs="仿宋"/>
                <w:b/>
                <w:bCs/>
                <w:w w:val="95"/>
                <w:szCs w:val="21"/>
              </w:rPr>
            </w:pPr>
            <w:r>
              <w:rPr>
                <w:rFonts w:hint="eastAsia" w:ascii="仿宋" w:hAnsi="仿宋" w:eastAsia="仿宋" w:cs="仿宋"/>
                <w:b/>
                <w:bCs/>
                <w:w w:val="95"/>
                <w:szCs w:val="21"/>
              </w:rPr>
              <w:t>API 675</w:t>
            </w:r>
          </w:p>
        </w:tc>
        <w:tc>
          <w:tcPr>
            <w:tcW w:w="499" w:type="pct"/>
            <w:vAlign w:val="center"/>
          </w:tcPr>
          <w:p>
            <w:pPr>
              <w:pStyle w:val="13"/>
              <w:rPr>
                <w:rFonts w:hint="eastAsia" w:ascii="仿宋" w:hAnsi="仿宋" w:eastAsia="仿宋" w:cs="仿宋"/>
                <w:b/>
                <w:bCs/>
                <w:w w:val="95"/>
                <w:szCs w:val="21"/>
              </w:rPr>
            </w:pPr>
            <w:r>
              <w:rPr>
                <w:rFonts w:hint="eastAsia" w:ascii="仿宋" w:hAnsi="仿宋" w:eastAsia="仿宋" w:cs="仿宋"/>
                <w:b/>
                <w:bCs/>
                <w:w w:val="95"/>
                <w:szCs w:val="21"/>
              </w:rPr>
              <w:t>2012</w:t>
            </w:r>
          </w:p>
        </w:tc>
        <w:tc>
          <w:tcPr>
            <w:tcW w:w="2864" w:type="pct"/>
            <w:tcBorders>
              <w:right w:val="nil"/>
            </w:tcBorders>
            <w:vAlign w:val="center"/>
          </w:tcPr>
          <w:p>
            <w:pPr>
              <w:pStyle w:val="13"/>
              <w:rPr>
                <w:rFonts w:hint="eastAsia" w:ascii="仿宋" w:hAnsi="仿宋" w:eastAsia="仿宋" w:cs="仿宋"/>
                <w:b/>
                <w:bCs/>
                <w:w w:val="95"/>
                <w:szCs w:val="21"/>
              </w:rPr>
            </w:pPr>
            <w:r>
              <w:rPr>
                <w:rFonts w:hint="eastAsia" w:ascii="仿宋" w:hAnsi="仿宋" w:eastAsia="仿宋" w:cs="仿宋"/>
                <w:b/>
                <w:bCs/>
                <w:w w:val="95"/>
                <w:szCs w:val="21"/>
              </w:rPr>
              <w:t>容积式计量泵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1" w:type="pct"/>
            <w:tcBorders>
              <w:left w:val="nil"/>
            </w:tcBorders>
            <w:vAlign w:val="center"/>
          </w:tcPr>
          <w:p>
            <w:pPr>
              <w:pStyle w:val="13"/>
              <w:numPr>
                <w:ilvl w:val="1"/>
                <w:numId w:val="4"/>
              </w:numPr>
              <w:rPr>
                <w:rFonts w:hint="eastAsia" w:ascii="仿宋" w:hAnsi="仿宋" w:eastAsia="仿宋" w:cs="仿宋"/>
                <w:b/>
                <w:bCs/>
                <w:w w:val="95"/>
                <w:szCs w:val="21"/>
              </w:rPr>
            </w:pPr>
          </w:p>
        </w:tc>
        <w:tc>
          <w:tcPr>
            <w:tcW w:w="1244" w:type="pct"/>
            <w:vAlign w:val="center"/>
          </w:tcPr>
          <w:p>
            <w:pPr>
              <w:pStyle w:val="13"/>
              <w:rPr>
                <w:rFonts w:ascii="仿宋" w:hAnsi="仿宋" w:eastAsia="仿宋" w:cs="仿宋"/>
                <w:b/>
                <w:bCs/>
                <w:w w:val="95"/>
                <w:szCs w:val="21"/>
              </w:rPr>
            </w:pPr>
            <w:r>
              <w:rPr>
                <w:rFonts w:hint="eastAsia" w:ascii="仿宋" w:hAnsi="仿宋" w:eastAsia="仿宋" w:cs="仿宋"/>
                <w:b/>
                <w:bCs/>
                <w:w w:val="95"/>
                <w:szCs w:val="21"/>
              </w:rPr>
              <w:t>GB 10889</w:t>
            </w:r>
          </w:p>
        </w:tc>
        <w:tc>
          <w:tcPr>
            <w:tcW w:w="499" w:type="pct"/>
            <w:vAlign w:val="center"/>
          </w:tcPr>
          <w:p>
            <w:pPr>
              <w:pStyle w:val="13"/>
              <w:rPr>
                <w:rFonts w:hint="eastAsia" w:ascii="仿宋" w:hAnsi="仿宋" w:eastAsia="仿宋" w:cs="仿宋"/>
                <w:b/>
                <w:bCs/>
                <w:w w:val="95"/>
                <w:szCs w:val="21"/>
              </w:rPr>
            </w:pPr>
            <w:r>
              <w:rPr>
                <w:rFonts w:hint="eastAsia" w:ascii="仿宋" w:hAnsi="仿宋" w:eastAsia="仿宋" w:cs="仿宋"/>
                <w:b/>
                <w:bCs/>
                <w:w w:val="95"/>
                <w:szCs w:val="21"/>
              </w:rPr>
              <w:t>1999</w:t>
            </w:r>
          </w:p>
        </w:tc>
        <w:tc>
          <w:tcPr>
            <w:tcW w:w="2864" w:type="pct"/>
            <w:tcBorders>
              <w:right w:val="nil"/>
            </w:tcBorders>
            <w:vAlign w:val="center"/>
          </w:tcPr>
          <w:p>
            <w:pPr>
              <w:pStyle w:val="13"/>
              <w:rPr>
                <w:rFonts w:hint="eastAsia" w:ascii="仿宋" w:hAnsi="仿宋" w:eastAsia="仿宋" w:cs="仿宋"/>
                <w:b/>
                <w:bCs/>
                <w:w w:val="95"/>
                <w:szCs w:val="21"/>
              </w:rPr>
            </w:pPr>
            <w:r>
              <w:rPr>
                <w:rFonts w:hint="eastAsia" w:ascii="仿宋" w:hAnsi="仿宋" w:eastAsia="仿宋" w:cs="仿宋"/>
                <w:b/>
                <w:bCs/>
                <w:w w:val="95"/>
                <w:szCs w:val="21"/>
              </w:rPr>
              <w:t>泵的振动测量与评价方法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1" w:type="pct"/>
            <w:tcBorders>
              <w:left w:val="nil"/>
            </w:tcBorders>
            <w:vAlign w:val="center"/>
          </w:tcPr>
          <w:p>
            <w:pPr>
              <w:pStyle w:val="13"/>
              <w:numPr>
                <w:ilvl w:val="1"/>
                <w:numId w:val="4"/>
              </w:numPr>
              <w:rPr>
                <w:rFonts w:hint="eastAsia" w:ascii="仿宋" w:hAnsi="仿宋" w:eastAsia="仿宋" w:cs="仿宋"/>
                <w:b/>
                <w:bCs/>
                <w:w w:val="95"/>
                <w:szCs w:val="21"/>
              </w:rPr>
            </w:pPr>
          </w:p>
        </w:tc>
        <w:tc>
          <w:tcPr>
            <w:tcW w:w="1244" w:type="pct"/>
            <w:vAlign w:val="center"/>
          </w:tcPr>
          <w:p>
            <w:pPr>
              <w:pStyle w:val="13"/>
              <w:rPr>
                <w:rFonts w:hint="eastAsia" w:ascii="仿宋" w:hAnsi="仿宋" w:eastAsia="仿宋" w:cs="仿宋"/>
                <w:b/>
                <w:bCs/>
                <w:w w:val="95"/>
                <w:szCs w:val="21"/>
              </w:rPr>
            </w:pPr>
            <w:r>
              <w:rPr>
                <w:rFonts w:hint="eastAsia" w:ascii="仿宋" w:hAnsi="仿宋" w:eastAsia="仿宋" w:cs="仿宋"/>
                <w:b/>
                <w:bCs/>
                <w:w w:val="95"/>
                <w:szCs w:val="21"/>
              </w:rPr>
              <w:t>GB 10890</w:t>
            </w:r>
          </w:p>
        </w:tc>
        <w:tc>
          <w:tcPr>
            <w:tcW w:w="499" w:type="pct"/>
            <w:vAlign w:val="center"/>
          </w:tcPr>
          <w:p>
            <w:pPr>
              <w:pStyle w:val="13"/>
              <w:rPr>
                <w:rFonts w:hint="eastAsia" w:ascii="仿宋" w:hAnsi="仿宋" w:eastAsia="仿宋" w:cs="仿宋"/>
                <w:b/>
                <w:bCs/>
                <w:w w:val="95"/>
                <w:szCs w:val="21"/>
              </w:rPr>
            </w:pPr>
            <w:r>
              <w:rPr>
                <w:rFonts w:hint="eastAsia" w:ascii="仿宋" w:hAnsi="仿宋" w:eastAsia="仿宋" w:cs="仿宋"/>
                <w:b/>
                <w:bCs/>
                <w:w w:val="95"/>
                <w:szCs w:val="21"/>
              </w:rPr>
              <w:t>1999</w:t>
            </w:r>
          </w:p>
        </w:tc>
        <w:tc>
          <w:tcPr>
            <w:tcW w:w="2864" w:type="pct"/>
            <w:tcBorders>
              <w:right w:val="nil"/>
            </w:tcBorders>
            <w:vAlign w:val="center"/>
          </w:tcPr>
          <w:p>
            <w:pPr>
              <w:pStyle w:val="13"/>
              <w:rPr>
                <w:rFonts w:hint="eastAsia" w:ascii="仿宋" w:hAnsi="仿宋" w:eastAsia="仿宋" w:cs="仿宋"/>
                <w:b/>
                <w:bCs/>
                <w:w w:val="95"/>
                <w:szCs w:val="21"/>
              </w:rPr>
            </w:pPr>
            <w:r>
              <w:rPr>
                <w:rFonts w:hint="eastAsia" w:ascii="仿宋" w:hAnsi="仿宋" w:eastAsia="仿宋" w:cs="仿宋"/>
                <w:b/>
                <w:bCs/>
                <w:w w:val="95"/>
                <w:szCs w:val="21"/>
              </w:rPr>
              <w:t>泵的噪声测量与评价方法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1" w:type="pct"/>
            <w:tcBorders>
              <w:left w:val="nil"/>
            </w:tcBorders>
            <w:vAlign w:val="center"/>
          </w:tcPr>
          <w:p>
            <w:pPr>
              <w:pStyle w:val="13"/>
              <w:numPr>
                <w:ilvl w:val="0"/>
                <w:numId w:val="4"/>
              </w:numPr>
              <w:rPr>
                <w:rFonts w:hint="eastAsia" w:ascii="仿宋" w:hAnsi="仿宋" w:eastAsia="仿宋" w:cs="仿宋"/>
                <w:b/>
                <w:bCs/>
                <w:w w:val="95"/>
                <w:szCs w:val="21"/>
              </w:rPr>
            </w:pPr>
          </w:p>
        </w:tc>
        <w:tc>
          <w:tcPr>
            <w:tcW w:w="1244" w:type="pct"/>
            <w:vAlign w:val="center"/>
          </w:tcPr>
          <w:p>
            <w:pPr>
              <w:pStyle w:val="13"/>
              <w:rPr>
                <w:rFonts w:hint="eastAsia" w:ascii="仿宋" w:hAnsi="仿宋" w:eastAsia="仿宋" w:cs="仿宋"/>
                <w:b/>
                <w:bCs/>
                <w:w w:val="95"/>
                <w:szCs w:val="21"/>
              </w:rPr>
            </w:pPr>
          </w:p>
        </w:tc>
        <w:tc>
          <w:tcPr>
            <w:tcW w:w="499" w:type="pct"/>
            <w:vAlign w:val="center"/>
          </w:tcPr>
          <w:p>
            <w:pPr>
              <w:pStyle w:val="13"/>
              <w:rPr>
                <w:rFonts w:hint="eastAsia" w:ascii="仿宋" w:hAnsi="仿宋" w:eastAsia="仿宋" w:cs="仿宋"/>
                <w:b/>
                <w:bCs/>
                <w:w w:val="95"/>
                <w:szCs w:val="21"/>
              </w:rPr>
            </w:pPr>
          </w:p>
        </w:tc>
        <w:tc>
          <w:tcPr>
            <w:tcW w:w="2864" w:type="pct"/>
            <w:tcBorders>
              <w:right w:val="nil"/>
            </w:tcBorders>
            <w:vAlign w:val="center"/>
          </w:tcPr>
          <w:p>
            <w:pPr>
              <w:pStyle w:val="13"/>
              <w:rPr>
                <w:rFonts w:hint="eastAsia" w:ascii="仿宋" w:hAnsi="仿宋" w:eastAsia="仿宋" w:cs="仿宋"/>
                <w:b/>
                <w:bCs/>
                <w:w w:val="95"/>
                <w:szCs w:val="21"/>
              </w:rPr>
            </w:pPr>
            <w:r>
              <w:rPr>
                <w:rFonts w:hint="eastAsia" w:ascii="仿宋" w:hAnsi="仿宋" w:eastAsia="仿宋" w:cs="仿宋"/>
                <w:b/>
                <w:bCs/>
                <w:w w:val="95"/>
                <w:szCs w:val="21"/>
              </w:rPr>
              <w:t>电机及仪表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1" w:type="pct"/>
            <w:tcBorders>
              <w:left w:val="nil"/>
            </w:tcBorders>
            <w:vAlign w:val="center"/>
          </w:tcPr>
          <w:p>
            <w:pPr>
              <w:pStyle w:val="13"/>
              <w:numPr>
                <w:ilvl w:val="1"/>
                <w:numId w:val="4"/>
              </w:numPr>
              <w:rPr>
                <w:rFonts w:hint="eastAsia" w:ascii="仿宋" w:hAnsi="仿宋" w:eastAsia="仿宋" w:cs="仿宋"/>
                <w:b/>
                <w:bCs/>
                <w:w w:val="95"/>
                <w:szCs w:val="21"/>
              </w:rPr>
            </w:pPr>
          </w:p>
        </w:tc>
        <w:tc>
          <w:tcPr>
            <w:tcW w:w="1244" w:type="pct"/>
            <w:vAlign w:val="center"/>
          </w:tcPr>
          <w:p>
            <w:pPr>
              <w:pStyle w:val="13"/>
              <w:rPr>
                <w:rFonts w:hint="eastAsia" w:ascii="仿宋" w:hAnsi="仿宋" w:eastAsia="仿宋" w:cs="仿宋"/>
                <w:b/>
                <w:bCs/>
                <w:w w:val="95"/>
                <w:szCs w:val="21"/>
              </w:rPr>
            </w:pPr>
            <w:r>
              <w:rPr>
                <w:rFonts w:hint="eastAsia" w:ascii="仿宋" w:hAnsi="仿宋" w:eastAsia="仿宋" w:cs="仿宋"/>
                <w:b/>
                <w:bCs/>
                <w:w w:val="95"/>
                <w:szCs w:val="21"/>
              </w:rPr>
              <w:t>GB/T755</w:t>
            </w:r>
          </w:p>
        </w:tc>
        <w:tc>
          <w:tcPr>
            <w:tcW w:w="499" w:type="pct"/>
            <w:vAlign w:val="center"/>
          </w:tcPr>
          <w:p>
            <w:pPr>
              <w:pStyle w:val="13"/>
              <w:rPr>
                <w:rFonts w:hint="eastAsia" w:ascii="仿宋" w:hAnsi="仿宋" w:eastAsia="仿宋" w:cs="仿宋"/>
                <w:b/>
                <w:bCs/>
                <w:w w:val="95"/>
                <w:szCs w:val="21"/>
              </w:rPr>
            </w:pPr>
            <w:r>
              <w:rPr>
                <w:rFonts w:hint="eastAsia" w:ascii="仿宋" w:hAnsi="仿宋" w:eastAsia="仿宋" w:cs="仿宋"/>
                <w:b/>
                <w:bCs/>
                <w:w w:val="95"/>
                <w:szCs w:val="21"/>
              </w:rPr>
              <w:t>2008</w:t>
            </w:r>
          </w:p>
        </w:tc>
        <w:tc>
          <w:tcPr>
            <w:tcW w:w="2864" w:type="pct"/>
            <w:tcBorders>
              <w:right w:val="nil"/>
            </w:tcBorders>
            <w:vAlign w:val="center"/>
          </w:tcPr>
          <w:p>
            <w:pPr>
              <w:pStyle w:val="13"/>
              <w:rPr>
                <w:rFonts w:hint="eastAsia" w:ascii="仿宋" w:hAnsi="仿宋" w:eastAsia="仿宋" w:cs="仿宋"/>
                <w:b/>
                <w:bCs/>
                <w:w w:val="95"/>
                <w:szCs w:val="21"/>
              </w:rPr>
            </w:pPr>
            <w:r>
              <w:rPr>
                <w:rFonts w:hint="eastAsia" w:ascii="仿宋" w:hAnsi="仿宋" w:eastAsia="仿宋" w:cs="仿宋"/>
                <w:b/>
                <w:bCs/>
                <w:w w:val="95"/>
                <w:szCs w:val="21"/>
              </w:rPr>
              <w:t>旋转电机定额与性能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1" w:type="pct"/>
            <w:tcBorders>
              <w:left w:val="nil"/>
            </w:tcBorders>
            <w:vAlign w:val="center"/>
          </w:tcPr>
          <w:p>
            <w:pPr>
              <w:pStyle w:val="13"/>
              <w:numPr>
                <w:ilvl w:val="1"/>
                <w:numId w:val="4"/>
              </w:numPr>
              <w:rPr>
                <w:rFonts w:hint="eastAsia" w:ascii="仿宋" w:hAnsi="仿宋" w:eastAsia="仿宋" w:cs="仿宋"/>
                <w:b/>
                <w:bCs/>
                <w:w w:val="95"/>
                <w:szCs w:val="21"/>
              </w:rPr>
            </w:pPr>
          </w:p>
        </w:tc>
        <w:tc>
          <w:tcPr>
            <w:tcW w:w="1244" w:type="pct"/>
            <w:vAlign w:val="center"/>
          </w:tcPr>
          <w:p>
            <w:pPr>
              <w:pStyle w:val="13"/>
              <w:rPr>
                <w:rFonts w:hint="eastAsia" w:ascii="仿宋" w:hAnsi="仿宋" w:eastAsia="仿宋" w:cs="仿宋"/>
                <w:b/>
                <w:bCs/>
                <w:w w:val="95"/>
                <w:szCs w:val="21"/>
              </w:rPr>
            </w:pPr>
            <w:r>
              <w:rPr>
                <w:rFonts w:hint="eastAsia" w:ascii="仿宋" w:hAnsi="仿宋" w:eastAsia="仿宋" w:cs="仿宋"/>
                <w:b/>
                <w:bCs/>
                <w:w w:val="95"/>
                <w:szCs w:val="21"/>
              </w:rPr>
              <w:t>GB/T1993</w:t>
            </w:r>
          </w:p>
        </w:tc>
        <w:tc>
          <w:tcPr>
            <w:tcW w:w="499" w:type="pct"/>
            <w:vAlign w:val="center"/>
          </w:tcPr>
          <w:p>
            <w:pPr>
              <w:pStyle w:val="13"/>
              <w:rPr>
                <w:rFonts w:hint="eastAsia" w:ascii="仿宋" w:hAnsi="仿宋" w:eastAsia="仿宋" w:cs="仿宋"/>
                <w:b/>
                <w:bCs/>
                <w:w w:val="95"/>
                <w:szCs w:val="21"/>
              </w:rPr>
            </w:pPr>
            <w:r>
              <w:rPr>
                <w:rFonts w:hint="eastAsia" w:ascii="仿宋" w:hAnsi="仿宋" w:eastAsia="仿宋" w:cs="仿宋"/>
                <w:b/>
                <w:bCs/>
                <w:w w:val="95"/>
                <w:szCs w:val="21"/>
              </w:rPr>
              <w:t>1993</w:t>
            </w:r>
          </w:p>
        </w:tc>
        <w:tc>
          <w:tcPr>
            <w:tcW w:w="2864" w:type="pct"/>
            <w:tcBorders>
              <w:right w:val="nil"/>
            </w:tcBorders>
            <w:vAlign w:val="center"/>
          </w:tcPr>
          <w:p>
            <w:pPr>
              <w:pStyle w:val="13"/>
              <w:rPr>
                <w:rFonts w:hint="eastAsia" w:ascii="仿宋" w:hAnsi="仿宋" w:eastAsia="仿宋" w:cs="仿宋"/>
                <w:b/>
                <w:bCs/>
                <w:w w:val="95"/>
                <w:szCs w:val="21"/>
              </w:rPr>
            </w:pPr>
            <w:r>
              <w:rPr>
                <w:rFonts w:hint="eastAsia" w:ascii="仿宋" w:hAnsi="仿宋" w:eastAsia="仿宋" w:cs="仿宋"/>
                <w:b/>
                <w:bCs/>
                <w:w w:val="95"/>
                <w:szCs w:val="21"/>
              </w:rPr>
              <w:t>旋转电机冷却方式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1" w:type="pct"/>
            <w:tcBorders>
              <w:left w:val="nil"/>
            </w:tcBorders>
            <w:vAlign w:val="center"/>
          </w:tcPr>
          <w:p>
            <w:pPr>
              <w:pStyle w:val="13"/>
              <w:numPr>
                <w:ilvl w:val="1"/>
                <w:numId w:val="4"/>
              </w:numPr>
              <w:rPr>
                <w:rFonts w:hint="eastAsia" w:ascii="仿宋" w:hAnsi="仿宋" w:eastAsia="仿宋" w:cs="仿宋"/>
                <w:b/>
                <w:bCs/>
                <w:w w:val="95"/>
                <w:szCs w:val="21"/>
              </w:rPr>
            </w:pPr>
          </w:p>
        </w:tc>
        <w:tc>
          <w:tcPr>
            <w:tcW w:w="1244" w:type="pct"/>
            <w:vAlign w:val="center"/>
          </w:tcPr>
          <w:p>
            <w:pPr>
              <w:pStyle w:val="13"/>
              <w:rPr>
                <w:rFonts w:hint="eastAsia" w:ascii="仿宋" w:hAnsi="仿宋" w:eastAsia="仿宋" w:cs="仿宋"/>
                <w:b/>
                <w:bCs/>
                <w:w w:val="95"/>
                <w:szCs w:val="21"/>
              </w:rPr>
            </w:pPr>
            <w:r>
              <w:rPr>
                <w:rFonts w:hint="eastAsia" w:ascii="仿宋" w:hAnsi="仿宋" w:eastAsia="仿宋" w:cs="仿宋"/>
                <w:b/>
                <w:bCs/>
                <w:w w:val="95"/>
                <w:szCs w:val="21"/>
              </w:rPr>
              <w:t>GB/T4942.1</w:t>
            </w:r>
          </w:p>
        </w:tc>
        <w:tc>
          <w:tcPr>
            <w:tcW w:w="499" w:type="pct"/>
            <w:vAlign w:val="center"/>
          </w:tcPr>
          <w:p>
            <w:pPr>
              <w:pStyle w:val="13"/>
              <w:rPr>
                <w:rFonts w:hint="eastAsia" w:ascii="仿宋" w:hAnsi="仿宋" w:eastAsia="仿宋" w:cs="仿宋"/>
                <w:b/>
                <w:bCs/>
                <w:w w:val="95"/>
                <w:szCs w:val="21"/>
              </w:rPr>
            </w:pPr>
            <w:r>
              <w:rPr>
                <w:rFonts w:hint="eastAsia" w:ascii="仿宋" w:hAnsi="仿宋" w:eastAsia="仿宋" w:cs="仿宋"/>
                <w:b/>
                <w:bCs/>
                <w:w w:val="95"/>
                <w:szCs w:val="21"/>
              </w:rPr>
              <w:t>2006</w:t>
            </w:r>
          </w:p>
        </w:tc>
        <w:tc>
          <w:tcPr>
            <w:tcW w:w="2864" w:type="pct"/>
            <w:tcBorders>
              <w:right w:val="nil"/>
            </w:tcBorders>
            <w:vAlign w:val="center"/>
          </w:tcPr>
          <w:p>
            <w:pPr>
              <w:pStyle w:val="13"/>
              <w:rPr>
                <w:rFonts w:hint="eastAsia" w:ascii="仿宋" w:hAnsi="仿宋" w:eastAsia="仿宋" w:cs="仿宋"/>
                <w:b/>
                <w:bCs/>
                <w:w w:val="95"/>
                <w:szCs w:val="21"/>
              </w:rPr>
            </w:pPr>
            <w:r>
              <w:rPr>
                <w:rFonts w:hint="eastAsia" w:ascii="仿宋" w:hAnsi="仿宋" w:eastAsia="仿宋" w:cs="仿宋"/>
                <w:b/>
                <w:bCs/>
                <w:w w:val="95"/>
                <w:szCs w:val="21"/>
              </w:rPr>
              <w:t>电机外壳防护分级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1" w:type="pct"/>
            <w:tcBorders>
              <w:left w:val="nil"/>
            </w:tcBorders>
            <w:vAlign w:val="center"/>
          </w:tcPr>
          <w:p>
            <w:pPr>
              <w:pStyle w:val="13"/>
              <w:numPr>
                <w:ilvl w:val="1"/>
                <w:numId w:val="4"/>
              </w:numPr>
              <w:rPr>
                <w:rFonts w:hint="eastAsia" w:ascii="仿宋" w:hAnsi="仿宋" w:eastAsia="仿宋" w:cs="仿宋"/>
                <w:b/>
                <w:bCs/>
                <w:w w:val="95"/>
                <w:szCs w:val="21"/>
              </w:rPr>
            </w:pPr>
          </w:p>
        </w:tc>
        <w:tc>
          <w:tcPr>
            <w:tcW w:w="1244" w:type="pct"/>
            <w:vAlign w:val="center"/>
          </w:tcPr>
          <w:p>
            <w:pPr>
              <w:pStyle w:val="13"/>
              <w:rPr>
                <w:rFonts w:hint="eastAsia" w:ascii="仿宋" w:hAnsi="仿宋" w:eastAsia="仿宋" w:cs="仿宋"/>
                <w:b/>
                <w:bCs/>
                <w:w w:val="95"/>
                <w:szCs w:val="21"/>
              </w:rPr>
            </w:pPr>
            <w:r>
              <w:rPr>
                <w:rFonts w:hint="eastAsia" w:ascii="仿宋" w:hAnsi="仿宋" w:eastAsia="仿宋" w:cs="仿宋"/>
                <w:b/>
                <w:bCs/>
                <w:w w:val="95"/>
                <w:szCs w:val="21"/>
              </w:rPr>
              <w:t>GB10068.1</w:t>
            </w:r>
          </w:p>
        </w:tc>
        <w:tc>
          <w:tcPr>
            <w:tcW w:w="499" w:type="pct"/>
            <w:vAlign w:val="center"/>
          </w:tcPr>
          <w:p>
            <w:pPr>
              <w:pStyle w:val="13"/>
              <w:rPr>
                <w:rFonts w:hint="eastAsia" w:ascii="仿宋" w:hAnsi="仿宋" w:eastAsia="仿宋" w:cs="仿宋"/>
                <w:b/>
                <w:bCs/>
                <w:w w:val="95"/>
                <w:szCs w:val="21"/>
              </w:rPr>
            </w:pPr>
            <w:r>
              <w:rPr>
                <w:rFonts w:hint="eastAsia" w:ascii="仿宋" w:hAnsi="仿宋" w:eastAsia="仿宋" w:cs="仿宋"/>
                <w:b/>
                <w:bCs/>
                <w:w w:val="95"/>
                <w:szCs w:val="21"/>
              </w:rPr>
              <w:t>2008</w:t>
            </w:r>
          </w:p>
        </w:tc>
        <w:tc>
          <w:tcPr>
            <w:tcW w:w="2864" w:type="pct"/>
            <w:tcBorders>
              <w:right w:val="nil"/>
            </w:tcBorders>
            <w:vAlign w:val="center"/>
          </w:tcPr>
          <w:p>
            <w:pPr>
              <w:pStyle w:val="13"/>
              <w:rPr>
                <w:rFonts w:hint="eastAsia" w:ascii="仿宋" w:hAnsi="仿宋" w:eastAsia="仿宋" w:cs="仿宋"/>
                <w:b/>
                <w:bCs/>
                <w:w w:val="95"/>
                <w:szCs w:val="21"/>
              </w:rPr>
            </w:pPr>
            <w:r>
              <w:rPr>
                <w:rFonts w:hint="eastAsia" w:ascii="仿宋" w:hAnsi="仿宋" w:eastAsia="仿宋" w:cs="仿宋"/>
                <w:b/>
                <w:bCs/>
                <w:w w:val="95"/>
                <w:szCs w:val="21"/>
              </w:rPr>
              <w:t>旋转电机振动测定方法及限值振动测定方法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1" w:type="pct"/>
            <w:tcBorders>
              <w:left w:val="nil"/>
            </w:tcBorders>
            <w:vAlign w:val="center"/>
          </w:tcPr>
          <w:p>
            <w:pPr>
              <w:pStyle w:val="13"/>
              <w:numPr>
                <w:ilvl w:val="1"/>
                <w:numId w:val="4"/>
              </w:numPr>
              <w:rPr>
                <w:rFonts w:hint="eastAsia" w:ascii="仿宋" w:hAnsi="仿宋" w:eastAsia="仿宋" w:cs="仿宋"/>
                <w:b/>
                <w:bCs/>
                <w:w w:val="95"/>
                <w:szCs w:val="21"/>
              </w:rPr>
            </w:pPr>
          </w:p>
        </w:tc>
        <w:tc>
          <w:tcPr>
            <w:tcW w:w="1244" w:type="pct"/>
            <w:vAlign w:val="center"/>
          </w:tcPr>
          <w:p>
            <w:pPr>
              <w:pStyle w:val="13"/>
              <w:rPr>
                <w:rFonts w:hint="eastAsia" w:ascii="仿宋" w:hAnsi="仿宋" w:eastAsia="仿宋" w:cs="仿宋"/>
                <w:b/>
                <w:bCs/>
                <w:w w:val="95"/>
                <w:szCs w:val="21"/>
              </w:rPr>
            </w:pPr>
            <w:r>
              <w:rPr>
                <w:rFonts w:hint="eastAsia" w:ascii="仿宋" w:hAnsi="仿宋" w:eastAsia="仿宋" w:cs="仿宋"/>
                <w:b/>
                <w:bCs/>
                <w:w w:val="95"/>
                <w:szCs w:val="21"/>
              </w:rPr>
              <w:t>GB/T10069.1</w:t>
            </w:r>
          </w:p>
        </w:tc>
        <w:tc>
          <w:tcPr>
            <w:tcW w:w="499" w:type="pct"/>
            <w:vAlign w:val="center"/>
          </w:tcPr>
          <w:p>
            <w:pPr>
              <w:pStyle w:val="13"/>
              <w:rPr>
                <w:rFonts w:hint="eastAsia" w:ascii="仿宋" w:hAnsi="仿宋" w:eastAsia="仿宋" w:cs="仿宋"/>
                <w:b/>
                <w:bCs/>
                <w:w w:val="95"/>
                <w:szCs w:val="21"/>
              </w:rPr>
            </w:pPr>
            <w:r>
              <w:rPr>
                <w:rFonts w:hint="eastAsia" w:ascii="仿宋" w:hAnsi="仿宋" w:eastAsia="仿宋" w:cs="仿宋"/>
                <w:b/>
                <w:bCs/>
                <w:w w:val="95"/>
                <w:szCs w:val="21"/>
              </w:rPr>
              <w:t>2006</w:t>
            </w:r>
          </w:p>
        </w:tc>
        <w:tc>
          <w:tcPr>
            <w:tcW w:w="2864" w:type="pct"/>
            <w:tcBorders>
              <w:right w:val="nil"/>
            </w:tcBorders>
            <w:vAlign w:val="center"/>
          </w:tcPr>
          <w:p>
            <w:pPr>
              <w:pStyle w:val="13"/>
              <w:rPr>
                <w:rFonts w:hint="eastAsia" w:ascii="仿宋" w:hAnsi="仿宋" w:eastAsia="仿宋" w:cs="仿宋"/>
                <w:b/>
                <w:bCs/>
                <w:w w:val="95"/>
                <w:szCs w:val="21"/>
              </w:rPr>
            </w:pPr>
            <w:r>
              <w:rPr>
                <w:rFonts w:hint="eastAsia" w:ascii="仿宋" w:hAnsi="仿宋" w:eastAsia="仿宋" w:cs="仿宋"/>
                <w:b/>
                <w:bCs/>
                <w:w w:val="95"/>
                <w:szCs w:val="21"/>
              </w:rPr>
              <w:t>旋转电机噪音测定方法及限值振动测定方法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1" w:type="pct"/>
            <w:tcBorders>
              <w:left w:val="nil"/>
            </w:tcBorders>
            <w:vAlign w:val="center"/>
          </w:tcPr>
          <w:p>
            <w:pPr>
              <w:pStyle w:val="13"/>
              <w:numPr>
                <w:ilvl w:val="1"/>
                <w:numId w:val="4"/>
              </w:numPr>
              <w:rPr>
                <w:rFonts w:hint="eastAsia" w:ascii="仿宋" w:hAnsi="仿宋" w:eastAsia="仿宋" w:cs="仿宋"/>
                <w:b/>
                <w:bCs/>
                <w:w w:val="95"/>
                <w:szCs w:val="21"/>
              </w:rPr>
            </w:pPr>
          </w:p>
        </w:tc>
        <w:tc>
          <w:tcPr>
            <w:tcW w:w="1244" w:type="pct"/>
            <w:vAlign w:val="center"/>
          </w:tcPr>
          <w:p>
            <w:pPr>
              <w:pStyle w:val="13"/>
              <w:rPr>
                <w:rFonts w:hint="eastAsia" w:ascii="仿宋" w:hAnsi="仿宋" w:eastAsia="仿宋" w:cs="仿宋"/>
                <w:b/>
                <w:bCs/>
                <w:w w:val="95"/>
                <w:szCs w:val="21"/>
              </w:rPr>
            </w:pPr>
            <w:r>
              <w:rPr>
                <w:rFonts w:hint="eastAsia" w:ascii="仿宋" w:hAnsi="仿宋" w:eastAsia="仿宋" w:cs="仿宋"/>
                <w:b/>
                <w:bCs/>
                <w:w w:val="95"/>
                <w:szCs w:val="21"/>
              </w:rPr>
              <w:t>GB3836.1</w:t>
            </w:r>
          </w:p>
        </w:tc>
        <w:tc>
          <w:tcPr>
            <w:tcW w:w="499" w:type="pct"/>
            <w:vAlign w:val="center"/>
          </w:tcPr>
          <w:p>
            <w:pPr>
              <w:pStyle w:val="13"/>
              <w:rPr>
                <w:rFonts w:hint="eastAsia" w:ascii="仿宋" w:hAnsi="仿宋" w:eastAsia="仿宋" w:cs="仿宋"/>
                <w:b/>
                <w:bCs/>
                <w:w w:val="95"/>
                <w:szCs w:val="21"/>
              </w:rPr>
            </w:pPr>
            <w:r>
              <w:rPr>
                <w:rFonts w:hint="eastAsia" w:ascii="仿宋" w:hAnsi="仿宋" w:eastAsia="仿宋" w:cs="仿宋"/>
                <w:b/>
                <w:bCs/>
                <w:w w:val="95"/>
                <w:szCs w:val="21"/>
              </w:rPr>
              <w:t>2010</w:t>
            </w:r>
          </w:p>
        </w:tc>
        <w:tc>
          <w:tcPr>
            <w:tcW w:w="2864" w:type="pct"/>
            <w:tcBorders>
              <w:right w:val="nil"/>
            </w:tcBorders>
            <w:vAlign w:val="center"/>
          </w:tcPr>
          <w:p>
            <w:pPr>
              <w:pStyle w:val="13"/>
              <w:rPr>
                <w:rFonts w:hint="eastAsia" w:ascii="仿宋" w:hAnsi="仿宋" w:eastAsia="仿宋" w:cs="仿宋"/>
                <w:b/>
                <w:bCs/>
                <w:w w:val="95"/>
                <w:szCs w:val="21"/>
              </w:rPr>
            </w:pPr>
            <w:r>
              <w:rPr>
                <w:rFonts w:hint="eastAsia" w:ascii="仿宋" w:hAnsi="仿宋" w:eastAsia="仿宋" w:cs="仿宋"/>
                <w:b/>
                <w:bCs/>
                <w:w w:val="95"/>
                <w:szCs w:val="21"/>
              </w:rPr>
              <w:t>爆炸性气体环境用电气设备第1部分：通用要求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1" w:type="pct"/>
            <w:tcBorders>
              <w:left w:val="nil"/>
            </w:tcBorders>
            <w:vAlign w:val="center"/>
          </w:tcPr>
          <w:p>
            <w:pPr>
              <w:pStyle w:val="13"/>
              <w:numPr>
                <w:ilvl w:val="1"/>
                <w:numId w:val="4"/>
              </w:numPr>
              <w:rPr>
                <w:rFonts w:hint="eastAsia" w:ascii="仿宋" w:hAnsi="仿宋" w:eastAsia="仿宋" w:cs="仿宋"/>
                <w:b/>
                <w:bCs/>
                <w:w w:val="95"/>
                <w:szCs w:val="21"/>
              </w:rPr>
            </w:pPr>
          </w:p>
        </w:tc>
        <w:tc>
          <w:tcPr>
            <w:tcW w:w="1244" w:type="pct"/>
            <w:vAlign w:val="center"/>
          </w:tcPr>
          <w:p>
            <w:pPr>
              <w:pStyle w:val="13"/>
              <w:rPr>
                <w:rFonts w:hint="eastAsia" w:ascii="仿宋" w:hAnsi="仿宋" w:eastAsia="仿宋" w:cs="仿宋"/>
                <w:b/>
                <w:bCs/>
                <w:w w:val="95"/>
                <w:szCs w:val="21"/>
              </w:rPr>
            </w:pPr>
            <w:r>
              <w:rPr>
                <w:rFonts w:hint="eastAsia" w:ascii="仿宋" w:hAnsi="仿宋" w:eastAsia="仿宋" w:cs="仿宋"/>
                <w:b/>
                <w:bCs/>
                <w:w w:val="95"/>
                <w:szCs w:val="21"/>
              </w:rPr>
              <w:t>GB3836.2</w:t>
            </w:r>
          </w:p>
        </w:tc>
        <w:tc>
          <w:tcPr>
            <w:tcW w:w="499" w:type="pct"/>
            <w:vAlign w:val="center"/>
          </w:tcPr>
          <w:p>
            <w:pPr>
              <w:pStyle w:val="13"/>
              <w:rPr>
                <w:rFonts w:hint="eastAsia" w:ascii="仿宋" w:hAnsi="仿宋" w:eastAsia="仿宋" w:cs="仿宋"/>
                <w:b/>
                <w:bCs/>
                <w:w w:val="95"/>
                <w:szCs w:val="21"/>
              </w:rPr>
            </w:pPr>
            <w:r>
              <w:rPr>
                <w:rFonts w:hint="eastAsia" w:ascii="仿宋" w:hAnsi="仿宋" w:eastAsia="仿宋" w:cs="仿宋"/>
                <w:b/>
                <w:bCs/>
                <w:w w:val="95"/>
                <w:szCs w:val="21"/>
              </w:rPr>
              <w:t>2010</w:t>
            </w:r>
          </w:p>
        </w:tc>
        <w:tc>
          <w:tcPr>
            <w:tcW w:w="2864" w:type="pct"/>
            <w:tcBorders>
              <w:right w:val="nil"/>
            </w:tcBorders>
            <w:vAlign w:val="center"/>
          </w:tcPr>
          <w:p>
            <w:pPr>
              <w:pStyle w:val="13"/>
              <w:rPr>
                <w:rFonts w:hint="eastAsia" w:ascii="仿宋" w:hAnsi="仿宋" w:eastAsia="仿宋" w:cs="仿宋"/>
                <w:b/>
                <w:bCs/>
                <w:w w:val="95"/>
                <w:szCs w:val="21"/>
              </w:rPr>
            </w:pPr>
            <w:r>
              <w:rPr>
                <w:rFonts w:hint="eastAsia" w:ascii="仿宋" w:hAnsi="仿宋" w:eastAsia="仿宋" w:cs="仿宋"/>
                <w:b/>
                <w:bCs/>
                <w:w w:val="95"/>
                <w:szCs w:val="21"/>
              </w:rPr>
              <w:t>爆炸性气体环境用电气设备第2部分：隔爆型“d”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1" w:type="pct"/>
            <w:tcBorders>
              <w:left w:val="nil"/>
            </w:tcBorders>
            <w:vAlign w:val="center"/>
          </w:tcPr>
          <w:p>
            <w:pPr>
              <w:pStyle w:val="13"/>
              <w:numPr>
                <w:ilvl w:val="1"/>
                <w:numId w:val="4"/>
              </w:numPr>
              <w:rPr>
                <w:rFonts w:hint="eastAsia" w:ascii="仿宋" w:hAnsi="仿宋" w:eastAsia="仿宋" w:cs="仿宋"/>
                <w:b/>
                <w:bCs/>
                <w:w w:val="95"/>
                <w:szCs w:val="21"/>
              </w:rPr>
            </w:pPr>
          </w:p>
        </w:tc>
        <w:tc>
          <w:tcPr>
            <w:tcW w:w="1244" w:type="pct"/>
            <w:vAlign w:val="center"/>
          </w:tcPr>
          <w:p>
            <w:pPr>
              <w:pStyle w:val="13"/>
              <w:rPr>
                <w:rFonts w:hint="eastAsia" w:ascii="仿宋" w:hAnsi="仿宋" w:eastAsia="仿宋" w:cs="仿宋"/>
                <w:b/>
                <w:bCs/>
                <w:w w:val="95"/>
                <w:szCs w:val="21"/>
              </w:rPr>
            </w:pPr>
            <w:r>
              <w:rPr>
                <w:rFonts w:hint="eastAsia" w:ascii="仿宋" w:hAnsi="仿宋" w:eastAsia="仿宋" w:cs="仿宋"/>
                <w:b/>
                <w:bCs/>
                <w:w w:val="95"/>
                <w:szCs w:val="21"/>
              </w:rPr>
              <w:t>GB3836.3</w:t>
            </w:r>
          </w:p>
        </w:tc>
        <w:tc>
          <w:tcPr>
            <w:tcW w:w="499" w:type="pct"/>
            <w:vAlign w:val="center"/>
          </w:tcPr>
          <w:p>
            <w:pPr>
              <w:pStyle w:val="13"/>
              <w:rPr>
                <w:rFonts w:hint="eastAsia" w:ascii="仿宋" w:hAnsi="仿宋" w:eastAsia="仿宋" w:cs="仿宋"/>
                <w:b/>
                <w:bCs/>
                <w:w w:val="95"/>
                <w:szCs w:val="21"/>
              </w:rPr>
            </w:pPr>
            <w:r>
              <w:rPr>
                <w:rFonts w:hint="eastAsia" w:ascii="仿宋" w:hAnsi="仿宋" w:eastAsia="仿宋" w:cs="仿宋"/>
                <w:b/>
                <w:bCs/>
                <w:w w:val="95"/>
                <w:szCs w:val="21"/>
              </w:rPr>
              <w:t>2010</w:t>
            </w:r>
          </w:p>
        </w:tc>
        <w:tc>
          <w:tcPr>
            <w:tcW w:w="2864" w:type="pct"/>
            <w:tcBorders>
              <w:right w:val="nil"/>
            </w:tcBorders>
            <w:vAlign w:val="center"/>
          </w:tcPr>
          <w:p>
            <w:pPr>
              <w:pStyle w:val="13"/>
              <w:rPr>
                <w:rFonts w:hint="eastAsia" w:ascii="仿宋" w:hAnsi="仿宋" w:eastAsia="仿宋" w:cs="仿宋"/>
                <w:b/>
                <w:bCs/>
                <w:w w:val="95"/>
                <w:szCs w:val="21"/>
              </w:rPr>
            </w:pPr>
            <w:r>
              <w:rPr>
                <w:rFonts w:hint="eastAsia" w:ascii="仿宋" w:hAnsi="仿宋" w:eastAsia="仿宋" w:cs="仿宋"/>
                <w:b/>
                <w:bCs/>
                <w:w w:val="95"/>
                <w:szCs w:val="21"/>
              </w:rPr>
              <w:t>爆炸性气体环境用电气设备第3部分：增安型“e”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1" w:type="pct"/>
            <w:tcBorders>
              <w:left w:val="nil"/>
            </w:tcBorders>
            <w:vAlign w:val="center"/>
          </w:tcPr>
          <w:p>
            <w:pPr>
              <w:pStyle w:val="13"/>
              <w:numPr>
                <w:ilvl w:val="1"/>
                <w:numId w:val="4"/>
              </w:numPr>
              <w:rPr>
                <w:rFonts w:hint="eastAsia" w:ascii="仿宋" w:hAnsi="仿宋" w:eastAsia="仿宋" w:cs="仿宋"/>
                <w:b/>
                <w:bCs/>
                <w:w w:val="95"/>
                <w:szCs w:val="21"/>
              </w:rPr>
            </w:pPr>
          </w:p>
        </w:tc>
        <w:tc>
          <w:tcPr>
            <w:tcW w:w="1244" w:type="pct"/>
            <w:vAlign w:val="center"/>
          </w:tcPr>
          <w:p>
            <w:pPr>
              <w:pStyle w:val="13"/>
              <w:rPr>
                <w:rFonts w:hint="eastAsia" w:ascii="仿宋" w:hAnsi="仿宋" w:eastAsia="仿宋" w:cs="仿宋"/>
                <w:b/>
                <w:bCs/>
                <w:w w:val="95"/>
                <w:szCs w:val="21"/>
              </w:rPr>
            </w:pPr>
            <w:r>
              <w:rPr>
                <w:rFonts w:hint="eastAsia" w:ascii="仿宋" w:hAnsi="仿宋" w:eastAsia="仿宋" w:cs="仿宋"/>
                <w:b/>
                <w:bCs/>
                <w:w w:val="95"/>
                <w:szCs w:val="21"/>
              </w:rPr>
              <w:t>GB3836.4</w:t>
            </w:r>
          </w:p>
        </w:tc>
        <w:tc>
          <w:tcPr>
            <w:tcW w:w="499" w:type="pct"/>
            <w:vAlign w:val="center"/>
          </w:tcPr>
          <w:p>
            <w:pPr>
              <w:pStyle w:val="13"/>
              <w:rPr>
                <w:rFonts w:hint="eastAsia" w:ascii="仿宋" w:hAnsi="仿宋" w:eastAsia="仿宋" w:cs="仿宋"/>
                <w:b/>
                <w:bCs/>
                <w:w w:val="95"/>
                <w:szCs w:val="21"/>
              </w:rPr>
            </w:pPr>
            <w:r>
              <w:rPr>
                <w:rFonts w:hint="eastAsia" w:ascii="仿宋" w:hAnsi="仿宋" w:eastAsia="仿宋" w:cs="仿宋"/>
                <w:b/>
                <w:bCs/>
                <w:w w:val="95"/>
                <w:szCs w:val="21"/>
              </w:rPr>
              <w:t>2010</w:t>
            </w:r>
          </w:p>
        </w:tc>
        <w:tc>
          <w:tcPr>
            <w:tcW w:w="2864" w:type="pct"/>
            <w:tcBorders>
              <w:right w:val="nil"/>
            </w:tcBorders>
            <w:vAlign w:val="center"/>
          </w:tcPr>
          <w:p>
            <w:pPr>
              <w:pStyle w:val="13"/>
              <w:rPr>
                <w:rFonts w:hint="eastAsia" w:ascii="仿宋" w:hAnsi="仿宋" w:eastAsia="仿宋" w:cs="仿宋"/>
                <w:b/>
                <w:bCs/>
                <w:w w:val="95"/>
                <w:szCs w:val="21"/>
              </w:rPr>
            </w:pPr>
            <w:r>
              <w:rPr>
                <w:rFonts w:hint="eastAsia" w:ascii="仿宋" w:hAnsi="仿宋" w:eastAsia="仿宋" w:cs="仿宋"/>
                <w:b/>
                <w:bCs/>
                <w:w w:val="95"/>
                <w:szCs w:val="21"/>
              </w:rPr>
              <w:t>爆炸性气体环境用电气设备第4部分:本质安全型“i”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1" w:type="pct"/>
            <w:tcBorders>
              <w:left w:val="nil"/>
            </w:tcBorders>
            <w:vAlign w:val="center"/>
          </w:tcPr>
          <w:p>
            <w:pPr>
              <w:pStyle w:val="13"/>
              <w:numPr>
                <w:ilvl w:val="1"/>
                <w:numId w:val="4"/>
              </w:numPr>
              <w:rPr>
                <w:rFonts w:hint="eastAsia" w:ascii="仿宋" w:hAnsi="仿宋" w:eastAsia="仿宋" w:cs="仿宋"/>
                <w:b/>
                <w:bCs/>
                <w:w w:val="95"/>
                <w:szCs w:val="21"/>
              </w:rPr>
            </w:pPr>
          </w:p>
        </w:tc>
        <w:tc>
          <w:tcPr>
            <w:tcW w:w="1244" w:type="pct"/>
            <w:vAlign w:val="center"/>
          </w:tcPr>
          <w:p>
            <w:pPr>
              <w:pStyle w:val="13"/>
              <w:rPr>
                <w:rFonts w:hint="eastAsia" w:ascii="仿宋" w:hAnsi="仿宋" w:eastAsia="仿宋" w:cs="仿宋"/>
                <w:b/>
                <w:bCs/>
                <w:w w:val="95"/>
                <w:szCs w:val="21"/>
              </w:rPr>
            </w:pPr>
            <w:r>
              <w:rPr>
                <w:rFonts w:hint="eastAsia" w:ascii="仿宋" w:hAnsi="仿宋" w:eastAsia="仿宋" w:cs="仿宋"/>
                <w:b/>
                <w:bCs/>
                <w:w w:val="95"/>
                <w:szCs w:val="21"/>
              </w:rPr>
              <w:t>GB18613</w:t>
            </w:r>
          </w:p>
        </w:tc>
        <w:tc>
          <w:tcPr>
            <w:tcW w:w="499" w:type="pct"/>
            <w:vAlign w:val="center"/>
          </w:tcPr>
          <w:p>
            <w:pPr>
              <w:pStyle w:val="13"/>
              <w:rPr>
                <w:rFonts w:hint="eastAsia" w:ascii="仿宋" w:hAnsi="仿宋" w:eastAsia="仿宋" w:cs="仿宋"/>
                <w:b/>
                <w:bCs/>
                <w:w w:val="95"/>
                <w:szCs w:val="21"/>
              </w:rPr>
            </w:pPr>
            <w:r>
              <w:rPr>
                <w:rFonts w:hint="eastAsia" w:ascii="仿宋" w:hAnsi="仿宋" w:eastAsia="仿宋" w:cs="仿宋"/>
                <w:b/>
                <w:bCs/>
                <w:w w:val="95"/>
                <w:szCs w:val="21"/>
              </w:rPr>
              <w:t>2012</w:t>
            </w:r>
          </w:p>
        </w:tc>
        <w:tc>
          <w:tcPr>
            <w:tcW w:w="2864" w:type="pct"/>
            <w:tcBorders>
              <w:right w:val="nil"/>
            </w:tcBorders>
            <w:vAlign w:val="center"/>
          </w:tcPr>
          <w:p>
            <w:pPr>
              <w:pStyle w:val="13"/>
              <w:rPr>
                <w:rFonts w:hint="eastAsia" w:ascii="仿宋" w:hAnsi="仿宋" w:eastAsia="仿宋" w:cs="仿宋"/>
                <w:b/>
                <w:bCs/>
                <w:w w:val="95"/>
                <w:szCs w:val="21"/>
              </w:rPr>
            </w:pPr>
            <w:r>
              <w:rPr>
                <w:rFonts w:hint="eastAsia" w:ascii="仿宋" w:hAnsi="仿宋" w:eastAsia="仿宋" w:cs="仿宋"/>
                <w:b/>
                <w:bCs/>
                <w:w w:val="95"/>
                <w:szCs w:val="21"/>
              </w:rPr>
              <w:t>中小型三相异步电动机能效限定值及能效等级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1" w:type="pct"/>
            <w:tcBorders>
              <w:left w:val="nil"/>
            </w:tcBorders>
            <w:vAlign w:val="center"/>
          </w:tcPr>
          <w:p>
            <w:pPr>
              <w:pStyle w:val="13"/>
              <w:numPr>
                <w:ilvl w:val="0"/>
                <w:numId w:val="4"/>
              </w:numPr>
              <w:rPr>
                <w:rFonts w:hint="eastAsia" w:ascii="仿宋" w:hAnsi="仿宋" w:eastAsia="仿宋" w:cs="仿宋"/>
                <w:b/>
                <w:bCs/>
                <w:w w:val="95"/>
                <w:szCs w:val="21"/>
              </w:rPr>
            </w:pPr>
          </w:p>
        </w:tc>
        <w:tc>
          <w:tcPr>
            <w:tcW w:w="1244" w:type="pct"/>
            <w:vAlign w:val="center"/>
          </w:tcPr>
          <w:p>
            <w:pPr>
              <w:pStyle w:val="13"/>
              <w:rPr>
                <w:rFonts w:hint="eastAsia" w:ascii="仿宋" w:hAnsi="仿宋" w:eastAsia="仿宋" w:cs="仿宋"/>
                <w:b/>
                <w:bCs/>
                <w:w w:val="95"/>
                <w:szCs w:val="21"/>
              </w:rPr>
            </w:pPr>
          </w:p>
        </w:tc>
        <w:tc>
          <w:tcPr>
            <w:tcW w:w="499" w:type="pct"/>
            <w:vAlign w:val="center"/>
          </w:tcPr>
          <w:p>
            <w:pPr>
              <w:pStyle w:val="13"/>
              <w:rPr>
                <w:rFonts w:hint="eastAsia" w:ascii="仿宋" w:hAnsi="仿宋" w:eastAsia="仿宋" w:cs="仿宋"/>
                <w:b/>
                <w:bCs/>
                <w:w w:val="95"/>
                <w:szCs w:val="21"/>
              </w:rPr>
            </w:pPr>
          </w:p>
        </w:tc>
        <w:tc>
          <w:tcPr>
            <w:tcW w:w="2864" w:type="pct"/>
            <w:tcBorders>
              <w:right w:val="nil"/>
            </w:tcBorders>
            <w:vAlign w:val="center"/>
          </w:tcPr>
          <w:p>
            <w:pPr>
              <w:pStyle w:val="13"/>
              <w:rPr>
                <w:rFonts w:hint="eastAsia" w:ascii="仿宋" w:hAnsi="仿宋" w:eastAsia="仿宋" w:cs="仿宋"/>
                <w:b/>
                <w:bCs/>
                <w:w w:val="95"/>
                <w:szCs w:val="21"/>
              </w:rPr>
            </w:pPr>
            <w:r>
              <w:rPr>
                <w:rFonts w:hint="eastAsia" w:ascii="仿宋" w:hAnsi="仿宋" w:eastAsia="仿宋" w:cs="仿宋"/>
                <w:b/>
                <w:bCs/>
                <w:w w:val="95"/>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91" w:type="pct"/>
            <w:tcBorders>
              <w:left w:val="nil"/>
            </w:tcBorders>
            <w:vAlign w:val="center"/>
          </w:tcPr>
          <w:p>
            <w:pPr>
              <w:pStyle w:val="13"/>
              <w:numPr>
                <w:ilvl w:val="1"/>
                <w:numId w:val="4"/>
              </w:numPr>
              <w:rPr>
                <w:rFonts w:hint="eastAsia" w:ascii="仿宋" w:hAnsi="仿宋" w:eastAsia="仿宋" w:cs="仿宋"/>
                <w:b/>
                <w:bCs/>
                <w:w w:val="95"/>
                <w:szCs w:val="21"/>
              </w:rPr>
            </w:pPr>
          </w:p>
        </w:tc>
        <w:tc>
          <w:tcPr>
            <w:tcW w:w="1244" w:type="pct"/>
            <w:vAlign w:val="center"/>
          </w:tcPr>
          <w:p>
            <w:pPr>
              <w:pStyle w:val="13"/>
              <w:spacing w:line="400" w:lineRule="exact"/>
              <w:rPr>
                <w:rFonts w:hint="eastAsia" w:ascii="仿宋" w:hAnsi="仿宋" w:eastAsia="仿宋" w:cs="仿宋"/>
                <w:b/>
                <w:bCs/>
                <w:w w:val="95"/>
                <w:szCs w:val="21"/>
              </w:rPr>
            </w:pPr>
            <w:r>
              <w:rPr>
                <w:rFonts w:hint="eastAsia" w:ascii="仿宋" w:hAnsi="仿宋" w:eastAsia="仿宋" w:cs="仿宋"/>
                <w:b/>
                <w:bCs/>
                <w:w w:val="95"/>
                <w:szCs w:val="21"/>
              </w:rPr>
              <w:t xml:space="preserve">SH/T3406 </w:t>
            </w:r>
          </w:p>
        </w:tc>
        <w:tc>
          <w:tcPr>
            <w:tcW w:w="499" w:type="pct"/>
            <w:vAlign w:val="center"/>
          </w:tcPr>
          <w:p>
            <w:pPr>
              <w:pStyle w:val="13"/>
              <w:spacing w:line="400" w:lineRule="exact"/>
              <w:rPr>
                <w:rFonts w:hint="eastAsia" w:ascii="仿宋" w:hAnsi="仿宋" w:eastAsia="仿宋" w:cs="仿宋"/>
                <w:b/>
                <w:bCs/>
                <w:w w:val="95"/>
                <w:szCs w:val="21"/>
              </w:rPr>
            </w:pPr>
            <w:r>
              <w:rPr>
                <w:rFonts w:hint="eastAsia" w:ascii="仿宋" w:hAnsi="仿宋" w:eastAsia="仿宋" w:cs="仿宋"/>
                <w:b/>
                <w:bCs/>
                <w:w w:val="95"/>
                <w:szCs w:val="21"/>
              </w:rPr>
              <w:t>2013</w:t>
            </w:r>
          </w:p>
        </w:tc>
        <w:tc>
          <w:tcPr>
            <w:tcW w:w="2864" w:type="pct"/>
            <w:tcBorders>
              <w:right w:val="nil"/>
            </w:tcBorders>
            <w:vAlign w:val="center"/>
          </w:tcPr>
          <w:p>
            <w:pPr>
              <w:pStyle w:val="13"/>
              <w:spacing w:line="400" w:lineRule="exact"/>
              <w:rPr>
                <w:rFonts w:hint="eastAsia" w:ascii="仿宋" w:hAnsi="仿宋" w:eastAsia="仿宋" w:cs="仿宋"/>
                <w:b/>
                <w:bCs/>
                <w:w w:val="95"/>
                <w:szCs w:val="21"/>
              </w:rPr>
            </w:pPr>
            <w:r>
              <w:rPr>
                <w:rFonts w:hint="eastAsia" w:ascii="仿宋" w:hAnsi="仿宋" w:eastAsia="仿宋" w:cs="仿宋"/>
                <w:b/>
                <w:bCs/>
                <w:w w:val="95"/>
                <w:szCs w:val="21"/>
              </w:rPr>
              <w:t>石油化工钢制管法兰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1" w:type="pct"/>
            <w:tcBorders>
              <w:left w:val="nil"/>
            </w:tcBorders>
            <w:vAlign w:val="center"/>
          </w:tcPr>
          <w:p>
            <w:pPr>
              <w:pStyle w:val="13"/>
              <w:numPr>
                <w:ilvl w:val="1"/>
                <w:numId w:val="4"/>
              </w:numPr>
              <w:rPr>
                <w:rFonts w:hint="eastAsia" w:ascii="仿宋" w:hAnsi="仿宋" w:eastAsia="仿宋" w:cs="仿宋"/>
                <w:b/>
                <w:bCs/>
                <w:w w:val="95"/>
                <w:szCs w:val="21"/>
              </w:rPr>
            </w:pPr>
          </w:p>
        </w:tc>
        <w:tc>
          <w:tcPr>
            <w:tcW w:w="1244" w:type="pct"/>
            <w:vAlign w:val="center"/>
          </w:tcPr>
          <w:p>
            <w:pPr>
              <w:pStyle w:val="13"/>
              <w:rPr>
                <w:rFonts w:hint="eastAsia" w:ascii="仿宋" w:hAnsi="仿宋" w:eastAsia="仿宋" w:cs="仿宋"/>
                <w:b/>
                <w:bCs/>
                <w:w w:val="95"/>
                <w:szCs w:val="21"/>
              </w:rPr>
            </w:pPr>
            <w:r>
              <w:rPr>
                <w:rFonts w:hint="eastAsia" w:ascii="仿宋" w:hAnsi="仿宋" w:eastAsia="仿宋" w:cs="仿宋"/>
                <w:b/>
                <w:bCs/>
                <w:w w:val="95"/>
                <w:szCs w:val="21"/>
              </w:rPr>
              <w:t>GB/T13384</w:t>
            </w:r>
          </w:p>
        </w:tc>
        <w:tc>
          <w:tcPr>
            <w:tcW w:w="499" w:type="pct"/>
            <w:vAlign w:val="center"/>
          </w:tcPr>
          <w:p>
            <w:pPr>
              <w:pStyle w:val="13"/>
              <w:rPr>
                <w:rFonts w:hint="eastAsia" w:ascii="仿宋" w:hAnsi="仿宋" w:eastAsia="仿宋" w:cs="仿宋"/>
                <w:b/>
                <w:bCs/>
                <w:w w:val="95"/>
                <w:szCs w:val="21"/>
              </w:rPr>
            </w:pPr>
            <w:r>
              <w:rPr>
                <w:rFonts w:hint="eastAsia" w:ascii="仿宋" w:hAnsi="仿宋" w:eastAsia="仿宋" w:cs="仿宋"/>
                <w:b/>
                <w:bCs/>
                <w:w w:val="95"/>
                <w:szCs w:val="21"/>
              </w:rPr>
              <w:t>2008</w:t>
            </w:r>
          </w:p>
        </w:tc>
        <w:tc>
          <w:tcPr>
            <w:tcW w:w="2864" w:type="pct"/>
            <w:tcBorders>
              <w:right w:val="nil"/>
            </w:tcBorders>
            <w:vAlign w:val="center"/>
          </w:tcPr>
          <w:p>
            <w:pPr>
              <w:pStyle w:val="13"/>
              <w:rPr>
                <w:rFonts w:hint="eastAsia" w:ascii="仿宋" w:hAnsi="仿宋" w:eastAsia="仿宋" w:cs="仿宋"/>
                <w:b/>
                <w:bCs/>
                <w:w w:val="95"/>
                <w:szCs w:val="21"/>
              </w:rPr>
            </w:pPr>
            <w:r>
              <w:rPr>
                <w:rFonts w:hint="eastAsia" w:ascii="仿宋" w:hAnsi="仿宋" w:eastAsia="仿宋" w:cs="仿宋"/>
                <w:b/>
                <w:bCs/>
                <w:w w:val="95"/>
                <w:szCs w:val="21"/>
              </w:rPr>
              <w:t>机电产品包装通用技术条件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1" w:type="pct"/>
            <w:tcBorders>
              <w:left w:val="nil"/>
            </w:tcBorders>
            <w:vAlign w:val="center"/>
          </w:tcPr>
          <w:p>
            <w:pPr>
              <w:pStyle w:val="13"/>
              <w:numPr>
                <w:ilvl w:val="1"/>
                <w:numId w:val="4"/>
              </w:numPr>
              <w:rPr>
                <w:rFonts w:hint="eastAsia" w:ascii="仿宋" w:hAnsi="仿宋" w:eastAsia="仿宋" w:cs="仿宋"/>
                <w:b/>
                <w:bCs/>
                <w:w w:val="95"/>
                <w:szCs w:val="21"/>
              </w:rPr>
            </w:pPr>
          </w:p>
        </w:tc>
        <w:tc>
          <w:tcPr>
            <w:tcW w:w="1244" w:type="pct"/>
            <w:vAlign w:val="center"/>
          </w:tcPr>
          <w:p>
            <w:pPr>
              <w:pStyle w:val="13"/>
              <w:rPr>
                <w:rFonts w:hint="eastAsia" w:ascii="仿宋" w:hAnsi="仿宋" w:eastAsia="仿宋" w:cs="仿宋"/>
                <w:b/>
                <w:bCs/>
                <w:w w:val="95"/>
                <w:szCs w:val="21"/>
              </w:rPr>
            </w:pPr>
            <w:r>
              <w:rPr>
                <w:rFonts w:hint="eastAsia" w:ascii="仿宋" w:hAnsi="仿宋" w:eastAsia="仿宋" w:cs="仿宋"/>
                <w:b/>
                <w:bCs/>
                <w:w w:val="95"/>
                <w:szCs w:val="21"/>
              </w:rPr>
              <w:t>GB/T13306</w:t>
            </w:r>
          </w:p>
        </w:tc>
        <w:tc>
          <w:tcPr>
            <w:tcW w:w="499" w:type="pct"/>
            <w:vAlign w:val="center"/>
          </w:tcPr>
          <w:p>
            <w:pPr>
              <w:pStyle w:val="13"/>
              <w:rPr>
                <w:rFonts w:hint="eastAsia" w:ascii="仿宋" w:hAnsi="仿宋" w:eastAsia="仿宋" w:cs="仿宋"/>
                <w:b/>
                <w:bCs/>
                <w:w w:val="95"/>
                <w:szCs w:val="21"/>
              </w:rPr>
            </w:pPr>
            <w:r>
              <w:rPr>
                <w:rFonts w:hint="eastAsia" w:ascii="仿宋" w:hAnsi="仿宋" w:eastAsia="仿宋" w:cs="仿宋"/>
                <w:b/>
                <w:bCs/>
                <w:w w:val="95"/>
                <w:szCs w:val="21"/>
              </w:rPr>
              <w:t>2011</w:t>
            </w:r>
          </w:p>
        </w:tc>
        <w:tc>
          <w:tcPr>
            <w:tcW w:w="2864" w:type="pct"/>
            <w:tcBorders>
              <w:right w:val="nil"/>
            </w:tcBorders>
            <w:vAlign w:val="center"/>
          </w:tcPr>
          <w:p>
            <w:pPr>
              <w:pStyle w:val="13"/>
              <w:rPr>
                <w:rFonts w:hint="eastAsia" w:ascii="仿宋" w:hAnsi="仿宋" w:eastAsia="仿宋" w:cs="仿宋"/>
                <w:b/>
                <w:bCs/>
                <w:w w:val="95"/>
                <w:szCs w:val="21"/>
              </w:rPr>
            </w:pPr>
            <w:r>
              <w:rPr>
                <w:rFonts w:hint="eastAsia" w:ascii="仿宋" w:hAnsi="仿宋" w:eastAsia="仿宋" w:cs="仿宋"/>
                <w:b/>
                <w:bCs/>
                <w:w w:val="95"/>
                <w:szCs w:val="21"/>
              </w:rPr>
              <w:t>标牌</w:t>
            </w:r>
          </w:p>
        </w:tc>
      </w:tr>
    </w:tbl>
    <w:p>
      <w:pPr>
        <w:pStyle w:val="13"/>
        <w:spacing w:beforeLines="10" w:line="360" w:lineRule="auto"/>
        <w:rPr>
          <w:rFonts w:ascii="Arial" w:hAnsi="Arial" w:cs="Arial"/>
        </w:rPr>
      </w:pPr>
      <w:r>
        <w:rPr>
          <w:rFonts w:hint="eastAsia" w:ascii="Arial" w:hAnsi="Arial" w:cs="Arial"/>
        </w:rPr>
        <w:t xml:space="preserve">3.2 </w:t>
      </w:r>
      <w:r>
        <w:rPr>
          <w:rFonts w:ascii="Arial" w:hAnsi="Arial" w:cs="Arial"/>
        </w:rPr>
        <w:t>所使用的标准如有新版本，以最新版本为准。</w:t>
      </w:r>
    </w:p>
    <w:p>
      <w:pPr>
        <w:spacing w:line="360" w:lineRule="auto"/>
        <w:jc w:val="left"/>
        <w:rPr>
          <w:rFonts w:hint="eastAsia" w:ascii="宋体" w:hAnsi="宋体"/>
          <w:sz w:val="24"/>
        </w:rPr>
      </w:pPr>
      <w:r>
        <w:rPr>
          <w:rFonts w:hint="eastAsia" w:hAnsi="宋体" w:cs="Arial"/>
        </w:rPr>
        <w:t xml:space="preserve">3.3 </w:t>
      </w:r>
      <w:r>
        <w:rPr>
          <w:rFonts w:hAnsi="宋体" w:cs="Arial"/>
        </w:rPr>
        <w:t>当上述标准和规范对某些设备和专用材料不适用时，经买方确认后，将采用其它有关的标准。</w:t>
      </w:r>
    </w:p>
    <w:p>
      <w:pPr>
        <w:rPr>
          <w:rFonts w:hint="eastAsia" w:ascii="宋体" w:hAnsi="宋体"/>
          <w:b/>
          <w:sz w:val="28"/>
          <w:szCs w:val="28"/>
        </w:rPr>
      </w:pPr>
      <w:r>
        <w:rPr>
          <w:rFonts w:hint="eastAsia" w:ascii="宋体" w:hAnsi="宋体"/>
          <w:b/>
          <w:sz w:val="28"/>
          <w:szCs w:val="28"/>
        </w:rPr>
        <w:t>4、技术要求</w:t>
      </w:r>
    </w:p>
    <w:p>
      <w:pPr>
        <w:pStyle w:val="13"/>
        <w:spacing w:line="360" w:lineRule="auto"/>
        <w:rPr>
          <w:rFonts w:hint="eastAsia" w:hAnsi="宋体"/>
          <w:sz w:val="22"/>
          <w:szCs w:val="22"/>
          <w:lang w:val="zh-CN"/>
        </w:rPr>
      </w:pPr>
      <w:r>
        <w:rPr>
          <w:rFonts w:hint="eastAsia" w:hAnsi="宋体"/>
          <w:sz w:val="22"/>
          <w:szCs w:val="22"/>
        </w:rPr>
        <w:t>4</w:t>
      </w:r>
      <w:r>
        <w:rPr>
          <w:rFonts w:hint="eastAsia" w:hAnsi="宋体"/>
          <w:sz w:val="22"/>
          <w:szCs w:val="22"/>
          <w:lang w:val="zh-CN"/>
        </w:rPr>
        <w:t>.1 设备工艺参数见附件泵数据表；</w:t>
      </w:r>
    </w:p>
    <w:p>
      <w:pPr>
        <w:pStyle w:val="13"/>
        <w:spacing w:line="360" w:lineRule="auto"/>
        <w:rPr>
          <w:rFonts w:hint="eastAsia" w:hAnsi="宋体"/>
          <w:sz w:val="22"/>
          <w:szCs w:val="22"/>
          <w:lang w:val="zh-CN"/>
        </w:rPr>
      </w:pPr>
      <w:r>
        <w:rPr>
          <w:rFonts w:hint="eastAsia" w:hAnsi="宋体"/>
          <w:sz w:val="22"/>
          <w:szCs w:val="22"/>
        </w:rPr>
        <w:t>4</w:t>
      </w:r>
      <w:r>
        <w:rPr>
          <w:rFonts w:hint="eastAsia" w:hAnsi="宋体"/>
          <w:sz w:val="22"/>
          <w:szCs w:val="22"/>
          <w:lang w:val="zh-CN"/>
        </w:rPr>
        <w:t>.2 性能要求</w:t>
      </w:r>
    </w:p>
    <w:p>
      <w:pPr>
        <w:pStyle w:val="13"/>
        <w:spacing w:line="360" w:lineRule="auto"/>
        <w:rPr>
          <w:rFonts w:hint="eastAsia" w:hAnsi="宋体"/>
          <w:sz w:val="22"/>
          <w:szCs w:val="22"/>
          <w:lang w:val="zh-CN"/>
        </w:rPr>
      </w:pPr>
      <w:r>
        <w:rPr>
          <w:rFonts w:hint="eastAsia" w:hAnsi="宋体"/>
          <w:sz w:val="22"/>
          <w:szCs w:val="22"/>
        </w:rPr>
        <w:t xml:space="preserve">4.2.1 </w:t>
      </w:r>
      <w:r>
        <w:rPr>
          <w:rFonts w:hint="eastAsia" w:hAnsi="宋体"/>
          <w:sz w:val="22"/>
          <w:szCs w:val="22"/>
          <w:highlight w:val="yellow"/>
          <w:lang w:val="zh-CN"/>
        </w:rPr>
        <w:t>泵设计和制造寿命不少于20年（不含易损件），整机满足连续运行工作时间不少于3年</w:t>
      </w:r>
      <w:r>
        <w:rPr>
          <w:rFonts w:hint="eastAsia" w:hAnsi="宋体"/>
          <w:sz w:val="22"/>
          <w:szCs w:val="22"/>
          <w:lang w:val="zh-CN"/>
        </w:rPr>
        <w:t>（不含易损件）。</w:t>
      </w:r>
    </w:p>
    <w:p>
      <w:pPr>
        <w:pStyle w:val="13"/>
        <w:spacing w:line="360" w:lineRule="auto"/>
        <w:rPr>
          <w:rFonts w:hint="eastAsia" w:hAnsi="宋体"/>
          <w:sz w:val="22"/>
          <w:szCs w:val="22"/>
        </w:rPr>
      </w:pPr>
      <w:r>
        <w:rPr>
          <w:rFonts w:hint="eastAsia" w:hAnsi="宋体"/>
          <w:sz w:val="22"/>
          <w:szCs w:val="22"/>
        </w:rPr>
        <w:t>4.2.2计量泵采用手动控制调节。计量泵采用高效率、高精度的套筒调节机构，手动调节可在0~100%范围内无级调节流量，调量手轮刻度精度高于±1</w:t>
      </w:r>
      <w:r>
        <w:rPr>
          <w:rFonts w:hAnsi="宋体"/>
          <w:sz w:val="22"/>
          <w:szCs w:val="22"/>
        </w:rPr>
        <w:t>%</w:t>
      </w:r>
      <w:r>
        <w:rPr>
          <w:rFonts w:hint="eastAsia" w:hAnsi="宋体"/>
          <w:sz w:val="22"/>
          <w:szCs w:val="22"/>
        </w:rPr>
        <w:t>指示精度。</w:t>
      </w:r>
    </w:p>
    <w:p>
      <w:pPr>
        <w:pStyle w:val="13"/>
        <w:spacing w:line="360" w:lineRule="auto"/>
        <w:rPr>
          <w:rFonts w:hAnsi="宋体"/>
          <w:sz w:val="22"/>
          <w:szCs w:val="22"/>
        </w:rPr>
      </w:pPr>
      <w:r>
        <w:rPr>
          <w:rFonts w:hint="eastAsia" w:hAnsi="宋体"/>
          <w:sz w:val="22"/>
          <w:szCs w:val="22"/>
        </w:rPr>
        <w:t>4.3 计量泵设计要求</w:t>
      </w:r>
    </w:p>
    <w:p>
      <w:pPr>
        <w:pStyle w:val="13"/>
        <w:spacing w:line="360" w:lineRule="auto"/>
        <w:rPr>
          <w:rFonts w:hint="eastAsia" w:hAnsi="宋体"/>
          <w:sz w:val="22"/>
          <w:szCs w:val="22"/>
        </w:rPr>
      </w:pPr>
      <w:r>
        <w:rPr>
          <w:rFonts w:hint="eastAsia" w:hAnsi="宋体"/>
          <w:sz w:val="22"/>
          <w:szCs w:val="22"/>
        </w:rPr>
        <w:t>4.3.1 投加方式：手动调节计量泵的行程长度调节泵输出流量的大小。</w:t>
      </w:r>
    </w:p>
    <w:p>
      <w:pPr>
        <w:pStyle w:val="13"/>
        <w:spacing w:line="360" w:lineRule="auto"/>
        <w:rPr>
          <w:rFonts w:hint="eastAsia" w:hAnsi="宋体"/>
          <w:sz w:val="22"/>
          <w:szCs w:val="22"/>
        </w:rPr>
      </w:pPr>
      <w:r>
        <w:rPr>
          <w:rFonts w:hint="eastAsia" w:hAnsi="宋体"/>
          <w:sz w:val="22"/>
          <w:szCs w:val="22"/>
        </w:rPr>
        <w:t>4.3.2计量泵在操作或非操作状态均可以0%~100%调节流量，在10%~100%范围内计量泵的稳定性精度在±1%以内，线性度和复现性精度在±3%以内。</w:t>
      </w:r>
    </w:p>
    <w:p>
      <w:pPr>
        <w:pStyle w:val="13"/>
        <w:spacing w:line="360" w:lineRule="auto"/>
        <w:rPr>
          <w:rFonts w:hint="eastAsia" w:hAnsi="宋体"/>
          <w:sz w:val="22"/>
          <w:szCs w:val="22"/>
        </w:rPr>
      </w:pPr>
      <w:r>
        <w:rPr>
          <w:rFonts w:hint="eastAsia" w:hAnsi="宋体"/>
          <w:sz w:val="22"/>
          <w:szCs w:val="22"/>
        </w:rPr>
        <w:t xml:space="preserve">4.3.3 </w:t>
      </w:r>
      <w:r>
        <w:rPr>
          <w:rFonts w:hint="eastAsia" w:hAnsi="宋体"/>
          <w:sz w:val="22"/>
          <w:szCs w:val="22"/>
          <w:lang w:val="zh-CN"/>
        </w:rPr>
        <w:t>乙方保证泵在所有的流量工况下的安全可靠运行，在各种非标准工况下没有过大的振动、噪音（距设备</w:t>
      </w:r>
      <w:r>
        <w:rPr>
          <w:rFonts w:hint="eastAsia" w:hAnsi="宋体"/>
          <w:sz w:val="22"/>
          <w:szCs w:val="22"/>
        </w:rPr>
        <w:t>1米</w:t>
      </w:r>
      <w:r>
        <w:rPr>
          <w:rFonts w:hint="eastAsia" w:hAnsi="宋体"/>
          <w:sz w:val="22"/>
          <w:szCs w:val="22"/>
          <w:lang w:val="zh-CN"/>
        </w:rPr>
        <w:t>距离不超过85分贝）。</w:t>
      </w:r>
    </w:p>
    <w:p>
      <w:pPr>
        <w:pStyle w:val="13"/>
        <w:spacing w:line="360" w:lineRule="auto"/>
        <w:rPr>
          <w:rFonts w:hint="eastAsia" w:hAnsi="宋体"/>
          <w:sz w:val="22"/>
          <w:szCs w:val="22"/>
        </w:rPr>
      </w:pPr>
      <w:r>
        <w:rPr>
          <w:rFonts w:hint="eastAsia" w:hAnsi="宋体"/>
          <w:sz w:val="22"/>
          <w:szCs w:val="22"/>
        </w:rPr>
        <w:t>4.3.4 采用液压隔膜式计量泵，泵工艺参数详见〈泵数据表〉。</w:t>
      </w:r>
    </w:p>
    <w:p>
      <w:pPr>
        <w:pStyle w:val="13"/>
        <w:spacing w:line="360" w:lineRule="auto"/>
        <w:rPr>
          <w:rFonts w:hint="eastAsia" w:hAnsi="宋体"/>
          <w:sz w:val="22"/>
          <w:szCs w:val="22"/>
        </w:rPr>
      </w:pPr>
      <w:r>
        <w:rPr>
          <w:rFonts w:hint="eastAsia" w:hAnsi="宋体"/>
          <w:sz w:val="22"/>
          <w:szCs w:val="22"/>
        </w:rPr>
        <w:t>4.3.5 采用内置可调式自动排空/释压、自动补油、限位四功能阀结构。</w:t>
      </w:r>
    </w:p>
    <w:p>
      <w:pPr>
        <w:pStyle w:val="13"/>
        <w:spacing w:line="360" w:lineRule="auto"/>
        <w:rPr>
          <w:rFonts w:hint="eastAsia" w:hAnsi="宋体"/>
          <w:sz w:val="22"/>
          <w:szCs w:val="22"/>
        </w:rPr>
      </w:pPr>
      <w:r>
        <w:rPr>
          <w:rFonts w:hint="eastAsia" w:hAnsi="宋体"/>
          <w:sz w:val="22"/>
          <w:szCs w:val="22"/>
        </w:rPr>
        <w:t>4.3.6 正常操作情况下易损件（隔膜、进出口单向阀）寿命至少25000小时。</w:t>
      </w:r>
    </w:p>
    <w:p>
      <w:pPr>
        <w:pStyle w:val="13"/>
        <w:spacing w:line="360" w:lineRule="auto"/>
        <w:rPr>
          <w:rFonts w:hint="eastAsia" w:hAnsi="宋体"/>
          <w:sz w:val="22"/>
          <w:szCs w:val="22"/>
        </w:rPr>
      </w:pPr>
      <w:r>
        <w:rPr>
          <w:rFonts w:hint="eastAsia" w:hAnsi="宋体"/>
          <w:sz w:val="22"/>
          <w:szCs w:val="22"/>
        </w:rPr>
        <w:t>4.3.7 泵的轴承符合国家相关标准的要求，轴承设计使用寿命不小于25000小时。</w:t>
      </w:r>
    </w:p>
    <w:p>
      <w:pPr>
        <w:pStyle w:val="13"/>
        <w:spacing w:line="360" w:lineRule="auto"/>
        <w:rPr>
          <w:rFonts w:hint="eastAsia" w:hAnsi="宋体"/>
          <w:sz w:val="22"/>
          <w:szCs w:val="22"/>
        </w:rPr>
      </w:pPr>
      <w:r>
        <w:rPr>
          <w:rFonts w:hint="eastAsia" w:hAnsi="宋体"/>
          <w:sz w:val="22"/>
          <w:szCs w:val="22"/>
        </w:rPr>
        <w:t>4.3.8 液压隔膜式计量泵柱塞密封表面需硬化处理。</w:t>
      </w:r>
    </w:p>
    <w:p>
      <w:pPr>
        <w:pStyle w:val="13"/>
        <w:spacing w:line="360" w:lineRule="auto"/>
        <w:rPr>
          <w:rFonts w:hAnsi="宋体"/>
          <w:sz w:val="22"/>
          <w:szCs w:val="22"/>
        </w:rPr>
      </w:pPr>
      <w:r>
        <w:rPr>
          <w:rFonts w:hint="eastAsia" w:hAnsi="宋体"/>
          <w:sz w:val="22"/>
          <w:szCs w:val="22"/>
        </w:rPr>
        <w:t>4.3.9 配置卖方自主研发的压报式隔膜破裂报警装置，</w:t>
      </w:r>
      <w:r>
        <w:rPr>
          <w:rFonts w:hint="eastAsia" w:hAnsi="宋体" w:cs="宋体"/>
          <w:sz w:val="22"/>
          <w:szCs w:val="22"/>
          <w:lang w:val="zh-CN" w:bidi="zh-CN"/>
        </w:rPr>
        <w:t>警源的双隔膜片间经工作自行真空，紧紧贴合在一起，恰如单隔膜在柱塞往复运动的作用下促使挠曲往复位移，一旦任何一片隔膜破裂，自然造成双隔膜间真空的破坏。当柱塞进入吸入行程时，就有介质液体（被输送介质或液压油）进入警源，当柱塞转换成排出行程时，工作压力进入压力传感器，完成压力信号转换成电信号，</w:t>
      </w:r>
      <w:r>
        <w:rPr>
          <w:rFonts w:hint="eastAsia" w:hAnsi="宋体" w:cs="宋体"/>
          <w:sz w:val="22"/>
          <w:szCs w:val="22"/>
          <w:lang w:bidi="zh-CN"/>
        </w:rPr>
        <w:t>2S内即刻实现报警。</w:t>
      </w:r>
    </w:p>
    <w:p>
      <w:pPr>
        <w:pStyle w:val="13"/>
        <w:spacing w:line="360" w:lineRule="auto"/>
        <w:rPr>
          <w:rFonts w:hint="eastAsia" w:hAnsi="宋体"/>
          <w:sz w:val="22"/>
          <w:szCs w:val="22"/>
        </w:rPr>
      </w:pPr>
      <w:r>
        <w:rPr>
          <w:rFonts w:hint="eastAsia" w:hAnsi="宋体"/>
          <w:sz w:val="22"/>
          <w:szCs w:val="22"/>
        </w:rPr>
        <w:t>4.3.10 泵出口压力、流量无负偏差。</w:t>
      </w:r>
    </w:p>
    <w:p>
      <w:pPr>
        <w:pStyle w:val="13"/>
        <w:spacing w:line="360" w:lineRule="auto"/>
        <w:rPr>
          <w:rFonts w:hint="eastAsia" w:hAnsi="宋体"/>
          <w:sz w:val="22"/>
          <w:szCs w:val="22"/>
        </w:rPr>
      </w:pPr>
      <w:r>
        <w:rPr>
          <w:rFonts w:hint="eastAsia" w:hAnsi="宋体"/>
          <w:sz w:val="22"/>
          <w:szCs w:val="22"/>
        </w:rPr>
        <w:t>4.3.11行程调节机构带有刻度指示，且调解机构转动灵活。</w:t>
      </w:r>
    </w:p>
    <w:p>
      <w:pPr>
        <w:pStyle w:val="13"/>
        <w:spacing w:line="360" w:lineRule="auto"/>
        <w:rPr>
          <w:rFonts w:hint="eastAsia" w:hAnsi="宋体"/>
          <w:sz w:val="24"/>
          <w:szCs w:val="24"/>
        </w:rPr>
      </w:pPr>
      <w:r>
        <w:rPr>
          <w:rFonts w:hint="eastAsia" w:hAnsi="宋体"/>
          <w:sz w:val="22"/>
          <w:szCs w:val="22"/>
        </w:rPr>
        <w:t>4.3.12 计量泵过流部件材质选用需满足介质的腐蚀。</w:t>
      </w:r>
    </w:p>
    <w:p>
      <w:pPr>
        <w:pStyle w:val="13"/>
        <w:spacing w:line="360" w:lineRule="auto"/>
        <w:rPr>
          <w:rFonts w:hint="eastAsia" w:hAnsi="宋体"/>
          <w:sz w:val="22"/>
          <w:szCs w:val="22"/>
        </w:rPr>
      </w:pPr>
      <w:r>
        <w:rPr>
          <w:rFonts w:hint="eastAsia" w:hAnsi="宋体"/>
          <w:sz w:val="22"/>
          <w:szCs w:val="22"/>
        </w:rPr>
        <w:t>4.4 电机</w:t>
      </w:r>
    </w:p>
    <w:p>
      <w:pPr>
        <w:pStyle w:val="13"/>
        <w:spacing w:line="360" w:lineRule="auto"/>
        <w:rPr>
          <w:rFonts w:hint="eastAsia" w:hAnsi="宋体"/>
          <w:sz w:val="22"/>
          <w:szCs w:val="22"/>
        </w:rPr>
      </w:pPr>
      <w:r>
        <w:rPr>
          <w:rFonts w:hint="eastAsia" w:hAnsi="宋体"/>
          <w:sz w:val="22"/>
          <w:szCs w:val="22"/>
        </w:rPr>
        <w:t>4.4.1  电动机由乙方负责配套提供，乙方应对其选配的电动机的性能和质量负责。</w:t>
      </w:r>
    </w:p>
    <w:p>
      <w:pPr>
        <w:pStyle w:val="13"/>
        <w:spacing w:line="360" w:lineRule="auto"/>
        <w:rPr>
          <w:rFonts w:hint="eastAsia" w:hAnsi="宋体"/>
          <w:sz w:val="22"/>
          <w:szCs w:val="22"/>
        </w:rPr>
      </w:pPr>
      <w:r>
        <w:rPr>
          <w:rFonts w:hint="eastAsia" w:hAnsi="宋体"/>
          <w:sz w:val="22"/>
          <w:szCs w:val="22"/>
        </w:rPr>
        <w:t>4.4.2  电动机按最大操作条件设计，电机额定功率至少不小于最大操作工况下所需最大功率的1.1倍，满足频繁启动要求并可在最小泵流量下启动。</w:t>
      </w:r>
    </w:p>
    <w:p>
      <w:pPr>
        <w:pStyle w:val="13"/>
        <w:spacing w:line="360" w:lineRule="auto"/>
        <w:rPr>
          <w:rFonts w:hint="eastAsia" w:hAnsi="宋体"/>
          <w:sz w:val="22"/>
          <w:szCs w:val="22"/>
        </w:rPr>
      </w:pPr>
      <w:r>
        <w:rPr>
          <w:rFonts w:hint="eastAsia" w:hAnsi="宋体"/>
          <w:sz w:val="22"/>
          <w:szCs w:val="22"/>
        </w:rPr>
        <w:t>4.4.3  电机制造厂应能保证所提供的每台电动机均为户外高效节能电动机，能效标准不低于YBX3所能保证的要求值。</w:t>
      </w:r>
    </w:p>
    <w:p>
      <w:pPr>
        <w:pStyle w:val="13"/>
        <w:spacing w:line="360" w:lineRule="auto"/>
        <w:rPr>
          <w:rFonts w:hint="eastAsia" w:hAnsi="宋体"/>
          <w:sz w:val="22"/>
          <w:szCs w:val="22"/>
        </w:rPr>
      </w:pPr>
      <w:r>
        <w:rPr>
          <w:rFonts w:hint="eastAsia" w:hAnsi="宋体"/>
          <w:sz w:val="22"/>
          <w:szCs w:val="22"/>
        </w:rPr>
        <w:t>4.4.4  计量泵采用防爆电机，电机品牌选用江苏大中电机股份有限公司。</w:t>
      </w:r>
    </w:p>
    <w:p>
      <w:pPr>
        <w:pStyle w:val="13"/>
        <w:spacing w:line="360" w:lineRule="auto"/>
        <w:rPr>
          <w:rFonts w:hint="eastAsia" w:hAnsi="宋体"/>
          <w:sz w:val="22"/>
          <w:szCs w:val="22"/>
        </w:rPr>
      </w:pPr>
      <w:bookmarkStart w:id="3" w:name="_Toc456209681"/>
      <w:r>
        <w:rPr>
          <w:rFonts w:hint="eastAsia" w:hAnsi="宋体"/>
          <w:sz w:val="22"/>
          <w:szCs w:val="22"/>
        </w:rPr>
        <w:t>4.4.5  电动机为鼠笼式三相异步电机，F级绝缘，按B级温升进行考核，防爆等级为dⅡCT4配带电机防，防护等级IP55</w:t>
      </w:r>
      <w:bookmarkEnd w:id="3"/>
      <w:r>
        <w:rPr>
          <w:rFonts w:hint="eastAsia" w:hAnsi="宋体"/>
          <w:sz w:val="22"/>
          <w:szCs w:val="22"/>
        </w:rPr>
        <w:t>。</w:t>
      </w:r>
    </w:p>
    <w:p>
      <w:pPr>
        <w:pStyle w:val="13"/>
        <w:spacing w:line="360" w:lineRule="auto"/>
        <w:rPr>
          <w:rFonts w:hint="eastAsia" w:hAnsi="宋体"/>
          <w:sz w:val="22"/>
          <w:szCs w:val="22"/>
        </w:rPr>
      </w:pPr>
      <w:r>
        <w:rPr>
          <w:rFonts w:hint="eastAsia" w:hAnsi="宋体"/>
          <w:sz w:val="22"/>
          <w:szCs w:val="22"/>
        </w:rPr>
        <w:t>4.4.6  进线方式：铠装电缆喇叭口进线</w:t>
      </w:r>
    </w:p>
    <w:p>
      <w:pPr>
        <w:spacing w:line="480" w:lineRule="auto"/>
        <w:rPr>
          <w:rFonts w:hint="eastAsia" w:ascii="宋体" w:hAnsi="宋体"/>
          <w:b/>
          <w:sz w:val="28"/>
          <w:szCs w:val="28"/>
        </w:rPr>
      </w:pPr>
      <w:r>
        <w:rPr>
          <w:rFonts w:hint="eastAsia" w:ascii="宋体" w:hAnsi="宋体"/>
          <w:b/>
          <w:sz w:val="28"/>
          <w:szCs w:val="28"/>
        </w:rPr>
        <w:t>5 设备选型与</w:t>
      </w:r>
      <w:r>
        <w:rPr>
          <w:rFonts w:hint="eastAsia" w:ascii="宋体" w:hAnsi="宋体"/>
          <w:b/>
          <w:sz w:val="28"/>
          <w:szCs w:val="28"/>
        </w:rPr>
        <w:t>配置明细</w:t>
      </w:r>
      <w:r>
        <w:rPr>
          <w:rFonts w:hint="eastAsia" w:ascii="宋体" w:hAnsi="宋体"/>
          <w:b/>
          <w:sz w:val="28"/>
          <w:szCs w:val="28"/>
          <w:lang w:eastAsia="zh-CN"/>
        </w:rPr>
        <w:t>（</w:t>
      </w:r>
      <w:r>
        <w:rPr>
          <w:rFonts w:hint="eastAsia" w:ascii="宋体" w:hAnsi="宋体"/>
          <w:b/>
          <w:sz w:val="28"/>
          <w:szCs w:val="28"/>
          <w:lang w:val="en-US" w:eastAsia="zh-CN"/>
        </w:rPr>
        <w:t>详见附件数据表</w:t>
      </w:r>
      <w:r>
        <w:rPr>
          <w:rFonts w:hint="eastAsia" w:ascii="宋体" w:hAnsi="宋体"/>
          <w:b/>
          <w:sz w:val="28"/>
          <w:szCs w:val="28"/>
          <w:lang w:eastAsia="zh-CN"/>
        </w:rPr>
        <w:t>）</w:t>
      </w:r>
    </w:p>
    <w:p>
      <w:pPr>
        <w:spacing w:line="480" w:lineRule="auto"/>
        <w:rPr>
          <w:rFonts w:hint="eastAsia" w:ascii="宋体" w:hAnsi="宋体"/>
          <w:b/>
          <w:sz w:val="28"/>
          <w:szCs w:val="28"/>
        </w:rPr>
      </w:pPr>
      <w:r>
        <w:rPr>
          <w:rFonts w:hint="eastAsia" w:ascii="宋体" w:hAnsi="宋体"/>
          <w:b/>
          <w:sz w:val="28"/>
          <w:szCs w:val="28"/>
        </w:rPr>
        <w:t>6 供货范围、工作范围及随机备件</w:t>
      </w:r>
    </w:p>
    <w:p>
      <w:pPr>
        <w:spacing w:line="360" w:lineRule="auto"/>
        <w:jc w:val="left"/>
        <w:rPr>
          <w:rFonts w:hint="eastAsia" w:ascii="宋体" w:hAnsi="宋体" w:eastAsia="宋体"/>
          <w:b/>
          <w:sz w:val="24"/>
          <w:highlight w:val="yellow"/>
          <w:lang w:eastAsia="zh-CN"/>
        </w:rPr>
      </w:pPr>
      <w:r>
        <w:rPr>
          <w:rFonts w:hint="eastAsia" w:ascii="宋体" w:hAnsi="宋体"/>
          <w:b/>
          <w:sz w:val="24"/>
        </w:rPr>
        <w:t>6.1设备供货清单</w:t>
      </w:r>
      <w:r>
        <w:rPr>
          <w:rFonts w:hint="eastAsia" w:ascii="宋体" w:hAnsi="宋体"/>
          <w:b/>
          <w:sz w:val="24"/>
          <w:highlight w:val="yellow"/>
          <w:lang w:eastAsia="zh-CN"/>
        </w:rPr>
        <w:t>（</w:t>
      </w:r>
      <w:r>
        <w:rPr>
          <w:rFonts w:hint="eastAsia" w:ascii="宋体" w:hAnsi="宋体"/>
          <w:b/>
          <w:sz w:val="24"/>
          <w:highlight w:val="yellow"/>
          <w:lang w:val="en-US" w:eastAsia="zh-CN"/>
        </w:rPr>
        <w:t>含电机</w:t>
      </w:r>
      <w:r>
        <w:rPr>
          <w:rFonts w:hint="eastAsia" w:ascii="宋体" w:hAnsi="宋体"/>
          <w:b/>
          <w:sz w:val="24"/>
          <w:highlight w:val="yellow"/>
          <w:lang w:eastAsia="zh-CN"/>
        </w:rPr>
        <w:t>）</w:t>
      </w:r>
    </w:p>
    <w:tbl>
      <w:tblPr>
        <w:tblStyle w:val="25"/>
        <w:tblpPr w:leftFromText="180" w:rightFromText="180" w:vertAnchor="text" w:horzAnchor="page" w:tblpX="1700" w:tblpY="471"/>
        <w:tblOverlap w:val="never"/>
        <w:tblW w:w="89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5"/>
        <w:gridCol w:w="1116"/>
        <w:gridCol w:w="1670"/>
        <w:gridCol w:w="1786"/>
        <w:gridCol w:w="839"/>
        <w:gridCol w:w="803"/>
        <w:gridCol w:w="16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编码</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名称</w:t>
            </w:r>
          </w:p>
        </w:tc>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位号</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规格</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单位</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数量</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bookmarkStart w:id="9" w:name="_GoBack" w:colFirst="2" w:colLast="2"/>
            <w:r>
              <w:rPr>
                <w:rFonts w:hint="eastAsia" w:ascii="宋体" w:hAnsi="宋体" w:eastAsia="宋体" w:cs="宋体"/>
                <w:i w:val="0"/>
                <w:iCs w:val="0"/>
                <w:color w:val="000000"/>
                <w:kern w:val="0"/>
                <w:sz w:val="18"/>
                <w:szCs w:val="18"/>
                <w:u w:val="none"/>
                <w:lang w:val="en-US" w:eastAsia="zh-CN" w:bidi="ar"/>
              </w:rPr>
              <w:t>1311080192</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计量泵</w:t>
            </w:r>
          </w:p>
        </w:tc>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31-P-405AB</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详见数据表</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台</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仿宋" w:hAnsi="仿宋" w:eastAsia="仿宋" w:cs="仿宋"/>
                <w:b w:val="0"/>
                <w:bCs w:val="0"/>
                <w:color w:val="000000"/>
                <w:w w:val="95"/>
                <w:kern w:val="0"/>
                <w:sz w:val="18"/>
                <w:szCs w:val="18"/>
              </w:rPr>
              <w:t>流量手动行程调节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1311080193</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计量泵</w:t>
            </w:r>
          </w:p>
        </w:tc>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31-P-406AB</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详见数据表</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台</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仿宋" w:hAnsi="仿宋" w:eastAsia="仿宋" w:cs="仿宋"/>
                <w:b w:val="0"/>
                <w:bCs w:val="0"/>
                <w:color w:val="000000"/>
                <w:w w:val="95"/>
                <w:kern w:val="0"/>
                <w:sz w:val="18"/>
                <w:szCs w:val="18"/>
              </w:rPr>
              <w:t>流量手动行程调节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1311080194</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计量泵</w:t>
            </w:r>
          </w:p>
        </w:tc>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33-P-104AB</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详见数据表</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台</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仿宋" w:hAnsi="仿宋" w:eastAsia="仿宋" w:cs="仿宋"/>
                <w:b w:val="0"/>
                <w:bCs w:val="0"/>
                <w:color w:val="000000"/>
                <w:w w:val="95"/>
                <w:kern w:val="0"/>
                <w:sz w:val="18"/>
                <w:szCs w:val="18"/>
              </w:rPr>
              <w:t>流量手动行程调节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1311080191</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计量泵</w:t>
            </w:r>
          </w:p>
        </w:tc>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33-P-105AB</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详见数据表</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台</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仿宋" w:hAnsi="仿宋" w:eastAsia="仿宋" w:cs="仿宋"/>
                <w:b w:val="0"/>
                <w:bCs w:val="0"/>
                <w:color w:val="000000"/>
                <w:w w:val="95"/>
                <w:kern w:val="0"/>
                <w:sz w:val="18"/>
                <w:szCs w:val="18"/>
              </w:rPr>
              <w:t>流量手动行程调节</w:t>
            </w:r>
          </w:p>
        </w:tc>
      </w:tr>
      <w:bookmarkEnd w:id="9"/>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1311080195</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计量泵</w:t>
            </w:r>
          </w:p>
        </w:tc>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31-P-104</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详见数据表</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台</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仿宋" w:hAnsi="仿宋" w:eastAsia="仿宋" w:cs="仿宋"/>
                <w:b w:val="0"/>
                <w:bCs w:val="0"/>
                <w:color w:val="000000"/>
                <w:w w:val="95"/>
                <w:kern w:val="0"/>
                <w:sz w:val="18"/>
                <w:szCs w:val="18"/>
              </w:rPr>
              <w:t>流量手动行程调节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1311080196</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计量泵</w:t>
            </w:r>
          </w:p>
        </w:tc>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33-P-103AB</w:t>
            </w:r>
          </w:p>
        </w:tc>
        <w:tc>
          <w:tcPr>
            <w:tcW w:w="1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详见数据表</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台</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6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仿宋" w:hAnsi="仿宋" w:eastAsia="仿宋" w:cs="仿宋"/>
                <w:b w:val="0"/>
                <w:bCs w:val="0"/>
                <w:color w:val="000000"/>
                <w:w w:val="95"/>
                <w:kern w:val="0"/>
                <w:sz w:val="18"/>
                <w:szCs w:val="18"/>
              </w:rPr>
              <w:t>流量手动行程调节</w:t>
            </w:r>
          </w:p>
        </w:tc>
      </w:tr>
    </w:tbl>
    <w:p>
      <w:pPr>
        <w:spacing w:line="360" w:lineRule="auto"/>
        <w:jc w:val="left"/>
        <w:rPr>
          <w:rFonts w:hint="eastAsia" w:ascii="宋体" w:hAnsi="宋体"/>
          <w:b/>
          <w:sz w:val="24"/>
        </w:rPr>
      </w:pPr>
    </w:p>
    <w:p>
      <w:pPr>
        <w:spacing w:beforeLines="50" w:line="360" w:lineRule="auto"/>
        <w:rPr>
          <w:rFonts w:hint="eastAsia" w:ascii="宋体" w:hAnsi="宋体"/>
          <w:b/>
          <w:bCs/>
          <w:sz w:val="22"/>
          <w:szCs w:val="22"/>
        </w:rPr>
      </w:pPr>
      <w:r>
        <w:rPr>
          <w:rFonts w:hint="eastAsia" w:ascii="宋体" w:hAnsi="宋体"/>
          <w:b/>
          <w:bCs/>
          <w:sz w:val="22"/>
          <w:szCs w:val="22"/>
        </w:rPr>
        <w:t>6.2 卖方工作范围</w:t>
      </w:r>
    </w:p>
    <w:p>
      <w:pPr>
        <w:spacing w:line="360" w:lineRule="auto"/>
        <w:ind w:firstLine="440" w:firstLineChars="200"/>
        <w:rPr>
          <w:rFonts w:hint="eastAsia" w:ascii="宋体" w:hAnsi="宋体"/>
          <w:sz w:val="22"/>
          <w:szCs w:val="22"/>
        </w:rPr>
      </w:pPr>
      <w:r>
        <w:rPr>
          <w:rFonts w:hint="eastAsia" w:ascii="宋体" w:hAnsi="宋体"/>
          <w:sz w:val="22"/>
          <w:szCs w:val="22"/>
        </w:rPr>
        <w:t>卖方工作范围应包括设备本体的设计和工程服务，包括技术文件，制造，运输，指导安装，试车、操作培训和维护服务。</w:t>
      </w:r>
    </w:p>
    <w:p>
      <w:pPr>
        <w:spacing w:line="360" w:lineRule="auto"/>
        <w:rPr>
          <w:rFonts w:hint="eastAsia" w:ascii="宋体" w:hAnsi="宋体"/>
          <w:b/>
          <w:bCs/>
          <w:sz w:val="22"/>
          <w:szCs w:val="22"/>
        </w:rPr>
      </w:pPr>
      <w:r>
        <w:rPr>
          <w:rFonts w:hint="eastAsia" w:ascii="宋体" w:hAnsi="宋体"/>
          <w:b/>
          <w:bCs/>
          <w:sz w:val="22"/>
          <w:szCs w:val="22"/>
        </w:rPr>
        <w:t>6.3 随机备品备件（含设备总价中）</w:t>
      </w:r>
    </w:p>
    <w:tbl>
      <w:tblPr>
        <w:tblStyle w:val="25"/>
        <w:tblW w:w="3787"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28" w:type="dxa"/>
          <w:bottom w:w="0" w:type="dxa"/>
          <w:right w:w="28" w:type="dxa"/>
        </w:tblCellMar>
      </w:tblPr>
      <w:tblGrid>
        <w:gridCol w:w="730"/>
        <w:gridCol w:w="1612"/>
        <w:gridCol w:w="1376"/>
        <w:gridCol w:w="730"/>
        <w:gridCol w:w="891"/>
        <w:gridCol w:w="1055"/>
        <w:gridCol w:w="73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0" w:hRule="atLeast"/>
        </w:trPr>
        <w:tc>
          <w:tcPr>
            <w:tcW w:w="512" w:type="pct"/>
            <w:shd w:val="clear" w:color="auto" w:fill="FBD4B4"/>
            <w:vAlign w:val="center"/>
          </w:tcPr>
          <w:p>
            <w:pPr>
              <w:spacing w:line="300" w:lineRule="auto"/>
              <w:jc w:val="center"/>
              <w:rPr>
                <w:rFonts w:hint="eastAsia" w:ascii="仿宋" w:hAnsi="仿宋" w:eastAsia="仿宋" w:cs="仿宋"/>
                <w:b/>
                <w:bCs/>
                <w:w w:val="90"/>
                <w:sz w:val="22"/>
                <w:szCs w:val="22"/>
              </w:rPr>
            </w:pPr>
            <w:r>
              <w:rPr>
                <w:rFonts w:hint="eastAsia" w:ascii="仿宋" w:hAnsi="仿宋" w:eastAsia="仿宋" w:cs="仿宋"/>
                <w:b/>
                <w:bCs/>
                <w:w w:val="90"/>
                <w:sz w:val="22"/>
                <w:szCs w:val="22"/>
              </w:rPr>
              <w:t>序号</w:t>
            </w:r>
          </w:p>
        </w:tc>
        <w:tc>
          <w:tcPr>
            <w:tcW w:w="1130" w:type="pct"/>
            <w:tcBorders>
              <w:left w:val="single" w:color="auto" w:sz="4" w:space="0"/>
            </w:tcBorders>
            <w:shd w:val="clear" w:color="auto" w:fill="FBD4B4"/>
            <w:vAlign w:val="center"/>
          </w:tcPr>
          <w:p>
            <w:pPr>
              <w:spacing w:line="300" w:lineRule="auto"/>
              <w:jc w:val="center"/>
              <w:rPr>
                <w:rFonts w:hint="eastAsia" w:ascii="仿宋" w:hAnsi="仿宋" w:eastAsia="仿宋" w:cs="仿宋"/>
                <w:b/>
                <w:bCs/>
                <w:w w:val="90"/>
                <w:sz w:val="22"/>
                <w:szCs w:val="22"/>
              </w:rPr>
            </w:pPr>
            <w:r>
              <w:rPr>
                <w:rFonts w:hint="eastAsia" w:ascii="仿宋" w:hAnsi="仿宋" w:eastAsia="仿宋" w:cs="仿宋"/>
                <w:b/>
                <w:bCs/>
                <w:w w:val="90"/>
                <w:sz w:val="22"/>
                <w:szCs w:val="22"/>
              </w:rPr>
              <w:t>备件名称</w:t>
            </w:r>
          </w:p>
        </w:tc>
        <w:tc>
          <w:tcPr>
            <w:tcW w:w="965" w:type="pct"/>
            <w:shd w:val="clear" w:color="auto" w:fill="FBD4B4"/>
            <w:vAlign w:val="center"/>
          </w:tcPr>
          <w:p>
            <w:pPr>
              <w:spacing w:line="300" w:lineRule="auto"/>
              <w:jc w:val="center"/>
              <w:rPr>
                <w:rFonts w:hint="eastAsia" w:ascii="仿宋" w:hAnsi="仿宋" w:eastAsia="仿宋" w:cs="仿宋"/>
                <w:b/>
                <w:bCs/>
                <w:w w:val="90"/>
                <w:sz w:val="22"/>
                <w:szCs w:val="22"/>
              </w:rPr>
            </w:pPr>
            <w:r>
              <w:rPr>
                <w:rFonts w:hint="eastAsia" w:ascii="仿宋" w:hAnsi="仿宋" w:eastAsia="仿宋" w:cs="仿宋"/>
                <w:b/>
                <w:bCs/>
                <w:w w:val="90"/>
                <w:sz w:val="22"/>
                <w:szCs w:val="22"/>
              </w:rPr>
              <w:t>型号规格</w:t>
            </w:r>
          </w:p>
        </w:tc>
        <w:tc>
          <w:tcPr>
            <w:tcW w:w="512" w:type="pct"/>
            <w:shd w:val="clear" w:color="auto" w:fill="FBD4B4"/>
            <w:vAlign w:val="center"/>
          </w:tcPr>
          <w:p>
            <w:pPr>
              <w:spacing w:line="300" w:lineRule="auto"/>
              <w:jc w:val="center"/>
              <w:rPr>
                <w:rFonts w:hint="eastAsia" w:ascii="仿宋" w:hAnsi="仿宋" w:eastAsia="仿宋" w:cs="仿宋"/>
                <w:b/>
                <w:bCs/>
                <w:w w:val="90"/>
                <w:sz w:val="22"/>
                <w:szCs w:val="22"/>
              </w:rPr>
            </w:pPr>
            <w:r>
              <w:rPr>
                <w:rFonts w:hint="eastAsia" w:ascii="仿宋" w:hAnsi="仿宋" w:eastAsia="仿宋" w:cs="仿宋"/>
                <w:b/>
                <w:bCs/>
                <w:w w:val="90"/>
                <w:sz w:val="22"/>
                <w:szCs w:val="22"/>
              </w:rPr>
              <w:t>数量</w:t>
            </w:r>
          </w:p>
        </w:tc>
        <w:tc>
          <w:tcPr>
            <w:tcW w:w="625" w:type="pct"/>
            <w:shd w:val="clear" w:color="auto" w:fill="FBD4B4"/>
            <w:vAlign w:val="center"/>
          </w:tcPr>
          <w:p>
            <w:pPr>
              <w:spacing w:line="300" w:lineRule="auto"/>
              <w:jc w:val="center"/>
              <w:rPr>
                <w:rFonts w:hint="eastAsia" w:ascii="仿宋" w:hAnsi="仿宋" w:eastAsia="仿宋" w:cs="仿宋"/>
                <w:b/>
                <w:bCs/>
                <w:w w:val="90"/>
                <w:sz w:val="22"/>
                <w:szCs w:val="22"/>
              </w:rPr>
            </w:pPr>
            <w:r>
              <w:rPr>
                <w:rFonts w:hint="eastAsia" w:ascii="仿宋" w:hAnsi="仿宋" w:eastAsia="仿宋" w:cs="仿宋"/>
                <w:b/>
                <w:bCs/>
                <w:w w:val="90"/>
                <w:sz w:val="22"/>
                <w:szCs w:val="22"/>
              </w:rPr>
              <w:t>单位</w:t>
            </w:r>
          </w:p>
        </w:tc>
        <w:tc>
          <w:tcPr>
            <w:tcW w:w="740" w:type="pct"/>
            <w:tcBorders>
              <w:right w:val="single" w:color="auto" w:sz="4" w:space="0"/>
            </w:tcBorders>
            <w:shd w:val="clear" w:color="auto" w:fill="FBD4B4"/>
            <w:vAlign w:val="center"/>
          </w:tcPr>
          <w:p>
            <w:pPr>
              <w:spacing w:line="300" w:lineRule="auto"/>
              <w:jc w:val="center"/>
              <w:rPr>
                <w:rFonts w:hint="eastAsia" w:ascii="仿宋" w:hAnsi="仿宋" w:eastAsia="仿宋" w:cs="仿宋"/>
                <w:b/>
                <w:bCs/>
                <w:w w:val="90"/>
                <w:sz w:val="22"/>
                <w:szCs w:val="22"/>
              </w:rPr>
            </w:pPr>
            <w:r>
              <w:rPr>
                <w:rFonts w:hint="eastAsia" w:ascii="仿宋" w:hAnsi="仿宋" w:eastAsia="仿宋" w:cs="仿宋"/>
                <w:b/>
                <w:bCs/>
                <w:w w:val="90"/>
                <w:sz w:val="22"/>
                <w:szCs w:val="22"/>
              </w:rPr>
              <w:t>材料</w:t>
            </w:r>
          </w:p>
        </w:tc>
        <w:tc>
          <w:tcPr>
            <w:tcW w:w="514" w:type="pct"/>
            <w:tcBorders>
              <w:left w:val="single" w:color="auto" w:sz="4" w:space="0"/>
            </w:tcBorders>
            <w:shd w:val="clear" w:color="auto" w:fill="FBD4B4"/>
            <w:vAlign w:val="center"/>
          </w:tcPr>
          <w:p>
            <w:pPr>
              <w:spacing w:line="300" w:lineRule="auto"/>
              <w:jc w:val="center"/>
              <w:rPr>
                <w:rFonts w:hint="eastAsia" w:ascii="仿宋" w:hAnsi="仿宋" w:eastAsia="仿宋" w:cs="仿宋"/>
                <w:b/>
                <w:bCs/>
                <w:w w:val="90"/>
                <w:sz w:val="22"/>
                <w:szCs w:val="22"/>
              </w:rPr>
            </w:pPr>
            <w:r>
              <w:rPr>
                <w:rFonts w:hint="eastAsia" w:ascii="仿宋" w:hAnsi="仿宋" w:eastAsia="仿宋" w:cs="仿宋"/>
                <w:b/>
                <w:bCs/>
                <w:w w:val="90"/>
                <w:sz w:val="22"/>
                <w:szCs w:val="22"/>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0" w:hRule="atLeast"/>
        </w:trPr>
        <w:tc>
          <w:tcPr>
            <w:tcW w:w="512" w:type="pct"/>
            <w:vMerge w:val="restart"/>
            <w:vAlign w:val="center"/>
          </w:tcPr>
          <w:p>
            <w:pPr>
              <w:spacing w:line="440" w:lineRule="exact"/>
              <w:jc w:val="center"/>
              <w:rPr>
                <w:rFonts w:hint="eastAsia" w:ascii="仿宋" w:hAnsi="仿宋" w:eastAsia="仿宋" w:cs="仿宋"/>
                <w:b/>
                <w:bCs/>
                <w:w w:val="90"/>
                <w:sz w:val="22"/>
                <w:szCs w:val="22"/>
              </w:rPr>
            </w:pPr>
            <w:r>
              <w:rPr>
                <w:rFonts w:hint="eastAsia" w:ascii="仿宋" w:hAnsi="仿宋" w:eastAsia="仿宋" w:cs="仿宋"/>
                <w:b/>
                <w:bCs/>
                <w:w w:val="90"/>
                <w:sz w:val="22"/>
                <w:szCs w:val="22"/>
              </w:rPr>
              <w:t>1</w:t>
            </w:r>
          </w:p>
        </w:tc>
        <w:tc>
          <w:tcPr>
            <w:tcW w:w="1130" w:type="pct"/>
            <w:tcBorders>
              <w:left w:val="single" w:color="auto" w:sz="4" w:space="0"/>
            </w:tcBorders>
            <w:vAlign w:val="center"/>
          </w:tcPr>
          <w:p>
            <w:pPr>
              <w:spacing w:line="440" w:lineRule="exact"/>
              <w:jc w:val="center"/>
              <w:rPr>
                <w:rFonts w:hint="eastAsia" w:ascii="仿宋" w:hAnsi="仿宋" w:eastAsia="仿宋" w:cs="仿宋"/>
                <w:b/>
                <w:bCs/>
                <w:w w:val="90"/>
                <w:sz w:val="22"/>
                <w:szCs w:val="22"/>
              </w:rPr>
            </w:pPr>
            <w:r>
              <w:rPr>
                <w:rFonts w:hint="eastAsia" w:ascii="仿宋" w:hAnsi="仿宋" w:eastAsia="仿宋" w:cs="仿宋"/>
                <w:b/>
                <w:bCs/>
                <w:w w:val="90"/>
                <w:sz w:val="22"/>
                <w:szCs w:val="22"/>
              </w:rPr>
              <w:t>隔膜片</w:t>
            </w:r>
          </w:p>
        </w:tc>
        <w:tc>
          <w:tcPr>
            <w:tcW w:w="965" w:type="pct"/>
            <w:vAlign w:val="center"/>
          </w:tcPr>
          <w:p>
            <w:pPr>
              <w:spacing w:line="440" w:lineRule="exact"/>
              <w:jc w:val="center"/>
              <w:rPr>
                <w:rFonts w:ascii="仿宋" w:hAnsi="仿宋" w:eastAsia="仿宋" w:cs="仿宋"/>
                <w:b/>
                <w:bCs/>
                <w:w w:val="90"/>
                <w:sz w:val="22"/>
                <w:szCs w:val="22"/>
              </w:rPr>
            </w:pPr>
            <w:r>
              <w:rPr>
                <w:rFonts w:ascii="Calibri" w:hAnsi="Calibri" w:eastAsia="仿宋" w:cs="Calibri"/>
                <w:b/>
                <w:bCs/>
                <w:w w:val="90"/>
                <w:sz w:val="22"/>
                <w:szCs w:val="22"/>
              </w:rPr>
              <w:t>Ф</w:t>
            </w:r>
            <w:r>
              <w:rPr>
                <w:rFonts w:hint="eastAsia" w:ascii="仿宋" w:hAnsi="仿宋" w:eastAsia="仿宋" w:cs="仿宋"/>
                <w:b/>
                <w:bCs/>
                <w:w w:val="90"/>
                <w:sz w:val="22"/>
                <w:szCs w:val="22"/>
              </w:rPr>
              <w:t>88</w:t>
            </w:r>
          </w:p>
        </w:tc>
        <w:tc>
          <w:tcPr>
            <w:tcW w:w="512" w:type="pct"/>
            <w:vAlign w:val="center"/>
          </w:tcPr>
          <w:p>
            <w:pPr>
              <w:spacing w:line="440" w:lineRule="exact"/>
              <w:jc w:val="center"/>
              <w:rPr>
                <w:rFonts w:hint="eastAsia" w:ascii="仿宋" w:hAnsi="仿宋" w:eastAsia="仿宋" w:cs="仿宋"/>
                <w:b/>
                <w:bCs/>
                <w:w w:val="90"/>
                <w:sz w:val="22"/>
                <w:szCs w:val="22"/>
              </w:rPr>
            </w:pPr>
            <w:r>
              <w:rPr>
                <w:rFonts w:hint="eastAsia" w:ascii="仿宋" w:hAnsi="仿宋" w:eastAsia="仿宋" w:cs="仿宋"/>
                <w:b/>
                <w:bCs/>
                <w:w w:val="90"/>
                <w:sz w:val="22"/>
                <w:szCs w:val="22"/>
              </w:rPr>
              <w:t>2</w:t>
            </w:r>
          </w:p>
        </w:tc>
        <w:tc>
          <w:tcPr>
            <w:tcW w:w="625" w:type="pct"/>
            <w:vAlign w:val="center"/>
          </w:tcPr>
          <w:p>
            <w:pPr>
              <w:spacing w:line="440" w:lineRule="exact"/>
              <w:jc w:val="center"/>
              <w:rPr>
                <w:rFonts w:hint="eastAsia" w:ascii="仿宋" w:hAnsi="仿宋" w:eastAsia="仿宋" w:cs="仿宋"/>
                <w:b/>
                <w:bCs/>
                <w:w w:val="90"/>
                <w:sz w:val="22"/>
                <w:szCs w:val="22"/>
              </w:rPr>
            </w:pPr>
            <w:r>
              <w:rPr>
                <w:rFonts w:hint="eastAsia" w:ascii="仿宋" w:hAnsi="仿宋" w:eastAsia="仿宋" w:cs="仿宋"/>
                <w:b/>
                <w:bCs/>
                <w:w w:val="90"/>
                <w:sz w:val="22"/>
                <w:szCs w:val="22"/>
              </w:rPr>
              <w:t>张/台</w:t>
            </w:r>
          </w:p>
        </w:tc>
        <w:tc>
          <w:tcPr>
            <w:tcW w:w="740" w:type="pct"/>
            <w:tcBorders>
              <w:right w:val="single" w:color="auto" w:sz="4" w:space="0"/>
            </w:tcBorders>
            <w:vAlign w:val="center"/>
          </w:tcPr>
          <w:p>
            <w:pPr>
              <w:spacing w:line="440" w:lineRule="exact"/>
              <w:jc w:val="center"/>
              <w:rPr>
                <w:rFonts w:hint="eastAsia" w:ascii="仿宋" w:hAnsi="仿宋" w:eastAsia="仿宋" w:cs="仿宋"/>
                <w:b/>
                <w:bCs/>
                <w:w w:val="90"/>
                <w:sz w:val="22"/>
                <w:szCs w:val="22"/>
              </w:rPr>
            </w:pPr>
            <w:r>
              <w:rPr>
                <w:rFonts w:hint="eastAsia" w:ascii="仿宋" w:hAnsi="仿宋" w:eastAsia="仿宋" w:cs="仿宋"/>
                <w:b/>
                <w:bCs/>
                <w:w w:val="90"/>
                <w:sz w:val="22"/>
                <w:szCs w:val="22"/>
              </w:rPr>
              <w:t>钛合金</w:t>
            </w:r>
          </w:p>
        </w:tc>
        <w:tc>
          <w:tcPr>
            <w:tcW w:w="514" w:type="pct"/>
            <w:tcBorders>
              <w:left w:val="single" w:color="auto" w:sz="4" w:space="0"/>
            </w:tcBorders>
            <w:vAlign w:val="center"/>
          </w:tcPr>
          <w:p>
            <w:pPr>
              <w:spacing w:line="440" w:lineRule="exact"/>
              <w:jc w:val="center"/>
              <w:rPr>
                <w:rFonts w:hint="eastAsia" w:ascii="仿宋" w:hAnsi="仿宋" w:eastAsia="仿宋" w:cs="仿宋"/>
                <w:b/>
                <w:bCs/>
                <w:w w:val="9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79" w:hRule="atLeast"/>
        </w:trPr>
        <w:tc>
          <w:tcPr>
            <w:tcW w:w="512" w:type="pct"/>
            <w:vMerge w:val="continue"/>
            <w:vAlign w:val="center"/>
          </w:tcPr>
          <w:p>
            <w:pPr>
              <w:spacing w:line="440" w:lineRule="exact"/>
              <w:jc w:val="center"/>
              <w:rPr>
                <w:rFonts w:hint="eastAsia" w:ascii="仿宋" w:hAnsi="仿宋" w:eastAsia="仿宋" w:cs="仿宋"/>
                <w:b/>
                <w:bCs/>
                <w:w w:val="90"/>
                <w:sz w:val="22"/>
                <w:szCs w:val="22"/>
              </w:rPr>
            </w:pPr>
          </w:p>
        </w:tc>
        <w:tc>
          <w:tcPr>
            <w:tcW w:w="1130" w:type="pct"/>
            <w:tcBorders>
              <w:left w:val="single" w:color="auto" w:sz="4" w:space="0"/>
            </w:tcBorders>
            <w:vAlign w:val="center"/>
          </w:tcPr>
          <w:p>
            <w:pPr>
              <w:spacing w:line="440" w:lineRule="exact"/>
              <w:jc w:val="center"/>
              <w:rPr>
                <w:rFonts w:hint="eastAsia" w:ascii="仿宋" w:hAnsi="仿宋" w:eastAsia="仿宋" w:cs="仿宋"/>
                <w:b/>
                <w:bCs/>
                <w:w w:val="90"/>
                <w:sz w:val="22"/>
                <w:szCs w:val="22"/>
              </w:rPr>
            </w:pPr>
            <w:r>
              <w:rPr>
                <w:rFonts w:hint="eastAsia" w:ascii="仿宋" w:hAnsi="仿宋" w:eastAsia="仿宋" w:cs="仿宋"/>
                <w:b/>
                <w:bCs/>
                <w:w w:val="90"/>
                <w:sz w:val="22"/>
                <w:szCs w:val="22"/>
              </w:rPr>
              <w:t>阀垫</w:t>
            </w:r>
          </w:p>
        </w:tc>
        <w:tc>
          <w:tcPr>
            <w:tcW w:w="965" w:type="pct"/>
            <w:vAlign w:val="center"/>
          </w:tcPr>
          <w:p>
            <w:pPr>
              <w:spacing w:line="440" w:lineRule="exact"/>
              <w:jc w:val="center"/>
              <w:rPr>
                <w:rFonts w:hint="eastAsia" w:ascii="仿宋" w:hAnsi="仿宋" w:eastAsia="仿宋" w:cs="仿宋"/>
                <w:b/>
                <w:bCs/>
                <w:w w:val="90"/>
                <w:sz w:val="22"/>
                <w:szCs w:val="22"/>
              </w:rPr>
            </w:pPr>
            <w:r>
              <w:rPr>
                <w:rFonts w:hint="eastAsia" w:ascii="仿宋" w:hAnsi="仿宋" w:eastAsia="仿宋" w:cs="仿宋"/>
                <w:b/>
                <w:bCs/>
                <w:w w:val="90"/>
                <w:sz w:val="22"/>
                <w:szCs w:val="22"/>
              </w:rPr>
              <w:t>F5-D</w:t>
            </w:r>
          </w:p>
        </w:tc>
        <w:tc>
          <w:tcPr>
            <w:tcW w:w="512" w:type="pct"/>
            <w:vAlign w:val="center"/>
          </w:tcPr>
          <w:p>
            <w:pPr>
              <w:spacing w:line="440" w:lineRule="exact"/>
              <w:jc w:val="center"/>
              <w:rPr>
                <w:rFonts w:hint="eastAsia" w:ascii="仿宋" w:hAnsi="仿宋" w:eastAsia="仿宋" w:cs="仿宋"/>
                <w:b/>
                <w:bCs/>
                <w:w w:val="90"/>
                <w:sz w:val="22"/>
                <w:szCs w:val="22"/>
                <w:lang w:eastAsia="zh-CN"/>
              </w:rPr>
            </w:pPr>
            <w:r>
              <w:rPr>
                <w:rFonts w:hint="eastAsia" w:ascii="仿宋" w:hAnsi="仿宋" w:eastAsia="仿宋" w:cs="仿宋"/>
                <w:b/>
                <w:bCs/>
                <w:w w:val="90"/>
                <w:sz w:val="22"/>
                <w:szCs w:val="22"/>
                <w:lang w:val="en-US" w:eastAsia="zh-CN"/>
              </w:rPr>
              <w:t>2</w:t>
            </w:r>
          </w:p>
        </w:tc>
        <w:tc>
          <w:tcPr>
            <w:tcW w:w="625" w:type="pct"/>
            <w:vAlign w:val="center"/>
          </w:tcPr>
          <w:p>
            <w:pPr>
              <w:spacing w:line="440" w:lineRule="exact"/>
              <w:jc w:val="center"/>
              <w:rPr>
                <w:rFonts w:hint="eastAsia" w:ascii="仿宋" w:hAnsi="仿宋" w:eastAsia="仿宋" w:cs="仿宋"/>
                <w:b/>
                <w:bCs/>
                <w:w w:val="90"/>
                <w:sz w:val="22"/>
                <w:szCs w:val="22"/>
              </w:rPr>
            </w:pPr>
            <w:r>
              <w:rPr>
                <w:rFonts w:hint="eastAsia" w:ascii="仿宋" w:hAnsi="仿宋" w:eastAsia="仿宋" w:cs="仿宋"/>
                <w:b/>
                <w:bCs/>
                <w:w w:val="90"/>
                <w:sz w:val="22"/>
                <w:szCs w:val="22"/>
              </w:rPr>
              <w:t>套/台</w:t>
            </w:r>
          </w:p>
        </w:tc>
        <w:tc>
          <w:tcPr>
            <w:tcW w:w="740" w:type="pct"/>
            <w:tcBorders>
              <w:right w:val="single" w:color="auto" w:sz="4" w:space="0"/>
            </w:tcBorders>
            <w:vAlign w:val="center"/>
          </w:tcPr>
          <w:p>
            <w:pPr>
              <w:spacing w:line="440" w:lineRule="exact"/>
              <w:jc w:val="center"/>
              <w:rPr>
                <w:rFonts w:hint="eastAsia" w:ascii="仿宋" w:hAnsi="仿宋" w:eastAsia="仿宋" w:cs="仿宋"/>
                <w:b/>
                <w:bCs/>
                <w:w w:val="90"/>
                <w:sz w:val="22"/>
                <w:szCs w:val="22"/>
              </w:rPr>
            </w:pPr>
            <w:r>
              <w:rPr>
                <w:rFonts w:hint="eastAsia" w:ascii="仿宋" w:hAnsi="仿宋" w:eastAsia="仿宋" w:cs="仿宋"/>
                <w:b/>
                <w:bCs/>
                <w:w w:val="90"/>
                <w:sz w:val="22"/>
                <w:szCs w:val="22"/>
              </w:rPr>
              <w:t>PTFE</w:t>
            </w:r>
          </w:p>
        </w:tc>
        <w:tc>
          <w:tcPr>
            <w:tcW w:w="514" w:type="pct"/>
            <w:tcBorders>
              <w:left w:val="single" w:color="auto" w:sz="4" w:space="0"/>
            </w:tcBorders>
            <w:vAlign w:val="center"/>
          </w:tcPr>
          <w:p>
            <w:pPr>
              <w:spacing w:line="440" w:lineRule="exact"/>
              <w:jc w:val="center"/>
              <w:rPr>
                <w:rFonts w:hint="eastAsia" w:ascii="仿宋" w:hAnsi="仿宋" w:eastAsia="仿宋" w:cs="仿宋"/>
                <w:b/>
                <w:bCs/>
                <w:w w:val="9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79" w:hRule="atLeast"/>
        </w:trPr>
        <w:tc>
          <w:tcPr>
            <w:tcW w:w="512" w:type="pct"/>
            <w:vMerge w:val="continue"/>
            <w:vAlign w:val="center"/>
          </w:tcPr>
          <w:p>
            <w:pPr>
              <w:spacing w:line="440" w:lineRule="exact"/>
              <w:jc w:val="center"/>
              <w:rPr>
                <w:rFonts w:hint="eastAsia" w:ascii="仿宋" w:hAnsi="仿宋" w:eastAsia="仿宋" w:cs="仿宋"/>
                <w:b/>
                <w:bCs/>
                <w:w w:val="90"/>
                <w:sz w:val="22"/>
                <w:szCs w:val="22"/>
              </w:rPr>
            </w:pPr>
          </w:p>
        </w:tc>
        <w:tc>
          <w:tcPr>
            <w:tcW w:w="1130" w:type="pct"/>
            <w:tcBorders>
              <w:left w:val="single" w:color="auto" w:sz="4" w:space="0"/>
            </w:tcBorders>
            <w:vAlign w:val="center"/>
          </w:tcPr>
          <w:p>
            <w:pPr>
              <w:spacing w:line="440" w:lineRule="exact"/>
              <w:jc w:val="center"/>
              <w:rPr>
                <w:rFonts w:hint="eastAsia" w:ascii="仿宋" w:hAnsi="仿宋" w:eastAsia="仿宋" w:cs="仿宋"/>
                <w:b/>
                <w:bCs/>
                <w:w w:val="90"/>
                <w:sz w:val="22"/>
                <w:szCs w:val="22"/>
              </w:rPr>
            </w:pPr>
            <w:r>
              <w:rPr>
                <w:rFonts w:hint="eastAsia" w:ascii="仿宋" w:hAnsi="仿宋" w:eastAsia="仿宋" w:cs="仿宋"/>
                <w:b/>
                <w:bCs/>
                <w:w w:val="90"/>
                <w:sz w:val="22"/>
                <w:szCs w:val="22"/>
              </w:rPr>
              <w:t>柱塞填料</w:t>
            </w:r>
          </w:p>
        </w:tc>
        <w:tc>
          <w:tcPr>
            <w:tcW w:w="965" w:type="pct"/>
            <w:vAlign w:val="center"/>
          </w:tcPr>
          <w:p>
            <w:pPr>
              <w:spacing w:line="440" w:lineRule="exact"/>
              <w:jc w:val="center"/>
              <w:rPr>
                <w:rFonts w:ascii="仿宋" w:hAnsi="仿宋" w:eastAsia="仿宋" w:cs="仿宋"/>
                <w:b/>
                <w:bCs/>
                <w:w w:val="90"/>
                <w:sz w:val="22"/>
                <w:szCs w:val="22"/>
              </w:rPr>
            </w:pPr>
            <w:r>
              <w:rPr>
                <w:rFonts w:hint="eastAsia" w:ascii="仿宋" w:hAnsi="仿宋" w:eastAsia="仿宋" w:cs="仿宋"/>
                <w:b/>
                <w:bCs/>
                <w:w w:val="90"/>
                <w:sz w:val="22"/>
                <w:szCs w:val="22"/>
              </w:rPr>
              <w:t>V5x20</w:t>
            </w:r>
          </w:p>
        </w:tc>
        <w:tc>
          <w:tcPr>
            <w:tcW w:w="512" w:type="pct"/>
            <w:vAlign w:val="center"/>
          </w:tcPr>
          <w:p>
            <w:pPr>
              <w:spacing w:line="440" w:lineRule="exact"/>
              <w:jc w:val="center"/>
              <w:rPr>
                <w:rFonts w:hint="eastAsia" w:ascii="仿宋" w:hAnsi="仿宋" w:eastAsia="仿宋" w:cs="仿宋"/>
                <w:b/>
                <w:bCs/>
                <w:w w:val="90"/>
                <w:sz w:val="22"/>
                <w:szCs w:val="22"/>
                <w:lang w:eastAsia="zh-CN"/>
              </w:rPr>
            </w:pPr>
            <w:r>
              <w:rPr>
                <w:rFonts w:hint="eastAsia" w:ascii="仿宋" w:hAnsi="仿宋" w:eastAsia="仿宋" w:cs="仿宋"/>
                <w:b/>
                <w:bCs/>
                <w:w w:val="90"/>
                <w:sz w:val="22"/>
                <w:szCs w:val="22"/>
                <w:lang w:val="en-US" w:eastAsia="zh-CN"/>
              </w:rPr>
              <w:t>2</w:t>
            </w:r>
          </w:p>
        </w:tc>
        <w:tc>
          <w:tcPr>
            <w:tcW w:w="625" w:type="pct"/>
            <w:vAlign w:val="center"/>
          </w:tcPr>
          <w:p>
            <w:pPr>
              <w:spacing w:line="440" w:lineRule="exact"/>
              <w:jc w:val="center"/>
              <w:rPr>
                <w:rFonts w:hint="eastAsia" w:ascii="仿宋" w:hAnsi="仿宋" w:eastAsia="仿宋" w:cs="仿宋"/>
                <w:b/>
                <w:bCs/>
                <w:w w:val="90"/>
                <w:sz w:val="22"/>
                <w:szCs w:val="22"/>
              </w:rPr>
            </w:pPr>
            <w:r>
              <w:rPr>
                <w:rFonts w:hint="eastAsia" w:ascii="仿宋" w:hAnsi="仿宋" w:eastAsia="仿宋" w:cs="仿宋"/>
                <w:b/>
                <w:bCs/>
                <w:w w:val="90"/>
                <w:sz w:val="22"/>
                <w:szCs w:val="22"/>
              </w:rPr>
              <w:t>套/台</w:t>
            </w:r>
          </w:p>
        </w:tc>
        <w:tc>
          <w:tcPr>
            <w:tcW w:w="740" w:type="pct"/>
            <w:tcBorders>
              <w:right w:val="single" w:color="auto" w:sz="4" w:space="0"/>
            </w:tcBorders>
            <w:vAlign w:val="center"/>
          </w:tcPr>
          <w:p>
            <w:pPr>
              <w:spacing w:line="440" w:lineRule="exact"/>
              <w:jc w:val="center"/>
              <w:rPr>
                <w:rFonts w:ascii="仿宋" w:hAnsi="仿宋" w:eastAsia="仿宋" w:cs="仿宋"/>
                <w:b/>
                <w:bCs/>
                <w:w w:val="90"/>
                <w:sz w:val="22"/>
                <w:szCs w:val="22"/>
              </w:rPr>
            </w:pPr>
            <w:r>
              <w:rPr>
                <w:rFonts w:hint="eastAsia" w:ascii="仿宋" w:hAnsi="仿宋" w:eastAsia="仿宋" w:cs="仿宋"/>
                <w:b/>
                <w:bCs/>
                <w:w w:val="90"/>
                <w:sz w:val="22"/>
                <w:szCs w:val="22"/>
              </w:rPr>
              <w:t>PTFE</w:t>
            </w:r>
          </w:p>
        </w:tc>
        <w:tc>
          <w:tcPr>
            <w:tcW w:w="514" w:type="pct"/>
            <w:tcBorders>
              <w:left w:val="single" w:color="auto" w:sz="4" w:space="0"/>
            </w:tcBorders>
            <w:vAlign w:val="center"/>
          </w:tcPr>
          <w:p>
            <w:pPr>
              <w:spacing w:line="440" w:lineRule="exact"/>
              <w:jc w:val="center"/>
              <w:rPr>
                <w:rFonts w:hint="eastAsia" w:ascii="仿宋" w:hAnsi="仿宋" w:eastAsia="仿宋" w:cs="仿宋"/>
                <w:b/>
                <w:bCs/>
                <w:w w:val="9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62" w:hRule="atLeast"/>
        </w:trPr>
        <w:tc>
          <w:tcPr>
            <w:tcW w:w="512" w:type="pct"/>
            <w:vAlign w:val="center"/>
          </w:tcPr>
          <w:p>
            <w:pPr>
              <w:spacing w:line="440" w:lineRule="exact"/>
              <w:jc w:val="center"/>
              <w:rPr>
                <w:rFonts w:hint="eastAsia" w:ascii="仿宋" w:hAnsi="仿宋" w:eastAsia="仿宋" w:cs="仿宋"/>
                <w:b/>
                <w:bCs/>
                <w:w w:val="90"/>
                <w:sz w:val="22"/>
                <w:szCs w:val="22"/>
                <w:lang w:val="en-US" w:eastAsia="zh-CN"/>
              </w:rPr>
            </w:pPr>
            <w:r>
              <w:rPr>
                <w:rFonts w:hint="eastAsia" w:ascii="仿宋" w:hAnsi="仿宋" w:eastAsia="仿宋" w:cs="仿宋"/>
                <w:b/>
                <w:bCs/>
                <w:w w:val="90"/>
                <w:sz w:val="22"/>
                <w:szCs w:val="22"/>
                <w:lang w:val="en-US" w:eastAsia="zh-CN"/>
              </w:rPr>
              <w:t>2</w:t>
            </w:r>
          </w:p>
        </w:tc>
        <w:tc>
          <w:tcPr>
            <w:tcW w:w="1130" w:type="pct"/>
            <w:tcBorders>
              <w:left w:val="single" w:color="auto" w:sz="4" w:space="0"/>
            </w:tcBorders>
            <w:vAlign w:val="center"/>
          </w:tcPr>
          <w:p>
            <w:pPr>
              <w:spacing w:line="440" w:lineRule="exact"/>
              <w:jc w:val="center"/>
              <w:rPr>
                <w:rFonts w:hint="eastAsia" w:ascii="宋体" w:hAnsi="宋体" w:cs="仿宋"/>
                <w:b/>
                <w:bCs/>
                <w:w w:val="90"/>
                <w:sz w:val="22"/>
                <w:szCs w:val="22"/>
              </w:rPr>
            </w:pPr>
            <w:r>
              <w:rPr>
                <w:rFonts w:hint="eastAsia" w:ascii="宋体" w:hAnsi="宋体" w:cs="仿宋"/>
                <w:b/>
                <w:bCs/>
                <w:w w:val="90"/>
                <w:sz w:val="22"/>
                <w:szCs w:val="22"/>
              </w:rPr>
              <w:t>调量丝杆O型圈</w:t>
            </w:r>
          </w:p>
        </w:tc>
        <w:tc>
          <w:tcPr>
            <w:tcW w:w="965" w:type="pct"/>
            <w:vAlign w:val="center"/>
          </w:tcPr>
          <w:p>
            <w:pPr>
              <w:spacing w:line="440" w:lineRule="exact"/>
              <w:jc w:val="center"/>
              <w:rPr>
                <w:rFonts w:hint="eastAsia" w:ascii="宋体" w:hAnsi="宋体" w:cs="仿宋"/>
                <w:b/>
                <w:bCs/>
                <w:w w:val="90"/>
                <w:sz w:val="22"/>
                <w:szCs w:val="22"/>
              </w:rPr>
            </w:pPr>
          </w:p>
        </w:tc>
        <w:tc>
          <w:tcPr>
            <w:tcW w:w="512" w:type="pct"/>
            <w:vAlign w:val="center"/>
          </w:tcPr>
          <w:p>
            <w:pPr>
              <w:spacing w:line="440" w:lineRule="exact"/>
              <w:jc w:val="center"/>
              <w:rPr>
                <w:rFonts w:hint="eastAsia" w:ascii="宋体" w:hAnsi="宋体" w:eastAsia="宋体" w:cs="仿宋"/>
                <w:b/>
                <w:bCs/>
                <w:w w:val="90"/>
                <w:sz w:val="22"/>
                <w:szCs w:val="22"/>
                <w:lang w:eastAsia="zh-CN"/>
              </w:rPr>
            </w:pPr>
            <w:r>
              <w:rPr>
                <w:rFonts w:hint="eastAsia" w:ascii="宋体" w:hAnsi="宋体" w:cs="仿宋"/>
                <w:b/>
                <w:bCs/>
                <w:w w:val="90"/>
                <w:sz w:val="22"/>
                <w:szCs w:val="22"/>
                <w:lang w:val="en-US" w:eastAsia="zh-CN"/>
              </w:rPr>
              <w:t>2</w:t>
            </w:r>
          </w:p>
        </w:tc>
        <w:tc>
          <w:tcPr>
            <w:tcW w:w="625" w:type="pct"/>
            <w:vAlign w:val="center"/>
          </w:tcPr>
          <w:p>
            <w:pPr>
              <w:spacing w:line="440" w:lineRule="exact"/>
              <w:jc w:val="center"/>
              <w:rPr>
                <w:rFonts w:hint="eastAsia" w:ascii="宋体" w:hAnsi="宋体" w:cs="仿宋"/>
                <w:b/>
                <w:bCs/>
                <w:w w:val="90"/>
                <w:sz w:val="22"/>
                <w:szCs w:val="22"/>
              </w:rPr>
            </w:pPr>
            <w:r>
              <w:rPr>
                <w:rFonts w:hint="eastAsia" w:ascii="宋体" w:hAnsi="宋体" w:cs="仿宋"/>
                <w:b/>
                <w:bCs/>
                <w:w w:val="90"/>
                <w:sz w:val="22"/>
                <w:szCs w:val="22"/>
              </w:rPr>
              <w:t>套/台</w:t>
            </w:r>
          </w:p>
        </w:tc>
        <w:tc>
          <w:tcPr>
            <w:tcW w:w="740" w:type="pct"/>
            <w:tcBorders>
              <w:right w:val="single" w:color="auto" w:sz="4" w:space="0"/>
            </w:tcBorders>
            <w:vAlign w:val="center"/>
          </w:tcPr>
          <w:p>
            <w:pPr>
              <w:spacing w:line="440" w:lineRule="exact"/>
              <w:jc w:val="center"/>
              <w:rPr>
                <w:rFonts w:hint="eastAsia" w:ascii="仿宋" w:hAnsi="仿宋" w:eastAsia="仿宋" w:cs="仿宋"/>
                <w:b/>
                <w:bCs/>
                <w:w w:val="90"/>
                <w:sz w:val="22"/>
                <w:szCs w:val="22"/>
              </w:rPr>
            </w:pPr>
          </w:p>
        </w:tc>
        <w:tc>
          <w:tcPr>
            <w:tcW w:w="514" w:type="pct"/>
            <w:tcBorders>
              <w:left w:val="single" w:color="auto" w:sz="4" w:space="0"/>
            </w:tcBorders>
            <w:vAlign w:val="center"/>
          </w:tcPr>
          <w:p>
            <w:pPr>
              <w:spacing w:line="440" w:lineRule="exact"/>
              <w:jc w:val="center"/>
              <w:rPr>
                <w:rFonts w:hint="eastAsia" w:ascii="仿宋" w:hAnsi="仿宋" w:eastAsia="仿宋" w:cs="仿宋"/>
                <w:b/>
                <w:bCs/>
                <w:w w:val="9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79" w:hRule="atLeast"/>
        </w:trPr>
        <w:tc>
          <w:tcPr>
            <w:tcW w:w="512" w:type="pct"/>
            <w:vAlign w:val="center"/>
          </w:tcPr>
          <w:p>
            <w:pPr>
              <w:spacing w:line="440" w:lineRule="exact"/>
              <w:jc w:val="center"/>
              <w:rPr>
                <w:rFonts w:hint="eastAsia" w:ascii="仿宋" w:hAnsi="仿宋" w:eastAsia="仿宋" w:cs="仿宋"/>
                <w:b/>
                <w:bCs/>
                <w:w w:val="90"/>
                <w:sz w:val="22"/>
                <w:szCs w:val="22"/>
                <w:lang w:val="en-US" w:eastAsia="zh-CN"/>
              </w:rPr>
            </w:pPr>
            <w:r>
              <w:rPr>
                <w:rFonts w:hint="eastAsia" w:ascii="仿宋" w:hAnsi="仿宋" w:eastAsia="仿宋" w:cs="仿宋"/>
                <w:b/>
                <w:bCs/>
                <w:w w:val="90"/>
                <w:sz w:val="22"/>
                <w:szCs w:val="22"/>
                <w:lang w:val="en-US" w:eastAsia="zh-CN"/>
              </w:rPr>
              <w:t>3</w:t>
            </w:r>
          </w:p>
        </w:tc>
        <w:tc>
          <w:tcPr>
            <w:tcW w:w="1130" w:type="pct"/>
            <w:tcBorders>
              <w:left w:val="single" w:color="auto" w:sz="4" w:space="0"/>
            </w:tcBorders>
            <w:vAlign w:val="center"/>
          </w:tcPr>
          <w:p>
            <w:pPr>
              <w:spacing w:line="440" w:lineRule="exact"/>
              <w:jc w:val="center"/>
              <w:rPr>
                <w:rFonts w:hint="eastAsia" w:ascii="宋体" w:hAnsi="宋体" w:cs="仿宋"/>
                <w:b/>
                <w:bCs/>
                <w:w w:val="90"/>
                <w:sz w:val="22"/>
                <w:szCs w:val="22"/>
              </w:rPr>
            </w:pPr>
            <w:r>
              <w:rPr>
                <w:rFonts w:hint="eastAsia" w:ascii="宋体" w:hAnsi="宋体" w:cs="仿宋"/>
                <w:b/>
                <w:bCs/>
                <w:w w:val="90"/>
                <w:sz w:val="22"/>
                <w:szCs w:val="22"/>
              </w:rPr>
              <w:t>调量座油封</w:t>
            </w:r>
          </w:p>
        </w:tc>
        <w:tc>
          <w:tcPr>
            <w:tcW w:w="965" w:type="pct"/>
            <w:vAlign w:val="center"/>
          </w:tcPr>
          <w:p>
            <w:pPr>
              <w:spacing w:line="440" w:lineRule="exact"/>
              <w:jc w:val="center"/>
              <w:rPr>
                <w:rFonts w:hint="eastAsia" w:ascii="宋体" w:hAnsi="宋体" w:cs="仿宋"/>
                <w:b/>
                <w:bCs/>
                <w:w w:val="90"/>
                <w:sz w:val="22"/>
                <w:szCs w:val="22"/>
              </w:rPr>
            </w:pPr>
          </w:p>
        </w:tc>
        <w:tc>
          <w:tcPr>
            <w:tcW w:w="512" w:type="pct"/>
            <w:vAlign w:val="center"/>
          </w:tcPr>
          <w:p>
            <w:pPr>
              <w:spacing w:line="440" w:lineRule="exact"/>
              <w:jc w:val="center"/>
              <w:rPr>
                <w:rFonts w:hint="eastAsia" w:ascii="宋体" w:hAnsi="宋体" w:eastAsia="宋体" w:cs="仿宋"/>
                <w:b/>
                <w:bCs/>
                <w:w w:val="90"/>
                <w:sz w:val="22"/>
                <w:szCs w:val="22"/>
                <w:lang w:eastAsia="zh-CN"/>
              </w:rPr>
            </w:pPr>
            <w:r>
              <w:rPr>
                <w:rFonts w:hint="eastAsia" w:ascii="宋体" w:hAnsi="宋体" w:cs="仿宋"/>
                <w:b/>
                <w:bCs/>
                <w:w w:val="90"/>
                <w:sz w:val="22"/>
                <w:szCs w:val="22"/>
                <w:lang w:val="en-US" w:eastAsia="zh-CN"/>
              </w:rPr>
              <w:t>2</w:t>
            </w:r>
          </w:p>
        </w:tc>
        <w:tc>
          <w:tcPr>
            <w:tcW w:w="625" w:type="pct"/>
            <w:vAlign w:val="center"/>
          </w:tcPr>
          <w:p>
            <w:pPr>
              <w:spacing w:line="440" w:lineRule="exact"/>
              <w:jc w:val="center"/>
              <w:rPr>
                <w:rFonts w:hint="eastAsia" w:ascii="宋体" w:hAnsi="宋体" w:cs="仿宋"/>
                <w:b/>
                <w:bCs/>
                <w:w w:val="90"/>
                <w:sz w:val="22"/>
                <w:szCs w:val="22"/>
              </w:rPr>
            </w:pPr>
            <w:r>
              <w:rPr>
                <w:rFonts w:hint="eastAsia" w:ascii="宋体" w:hAnsi="宋体" w:cs="仿宋"/>
                <w:b/>
                <w:bCs/>
                <w:w w:val="90"/>
                <w:sz w:val="22"/>
                <w:szCs w:val="22"/>
              </w:rPr>
              <w:t>套/台</w:t>
            </w:r>
          </w:p>
        </w:tc>
        <w:tc>
          <w:tcPr>
            <w:tcW w:w="740" w:type="pct"/>
            <w:tcBorders>
              <w:right w:val="single" w:color="auto" w:sz="4" w:space="0"/>
            </w:tcBorders>
            <w:vAlign w:val="center"/>
          </w:tcPr>
          <w:p>
            <w:pPr>
              <w:spacing w:line="440" w:lineRule="exact"/>
              <w:jc w:val="center"/>
              <w:rPr>
                <w:rFonts w:hint="eastAsia" w:ascii="仿宋" w:hAnsi="仿宋" w:eastAsia="仿宋" w:cs="仿宋"/>
                <w:b/>
                <w:bCs/>
                <w:w w:val="90"/>
                <w:sz w:val="22"/>
                <w:szCs w:val="22"/>
              </w:rPr>
            </w:pPr>
          </w:p>
        </w:tc>
        <w:tc>
          <w:tcPr>
            <w:tcW w:w="514" w:type="pct"/>
            <w:tcBorders>
              <w:left w:val="single" w:color="auto" w:sz="4" w:space="0"/>
            </w:tcBorders>
            <w:vAlign w:val="center"/>
          </w:tcPr>
          <w:p>
            <w:pPr>
              <w:spacing w:line="440" w:lineRule="exact"/>
              <w:jc w:val="center"/>
              <w:rPr>
                <w:rFonts w:hint="eastAsia" w:ascii="仿宋" w:hAnsi="仿宋" w:eastAsia="仿宋" w:cs="仿宋"/>
                <w:b/>
                <w:bCs/>
                <w:w w:val="90"/>
                <w:sz w:val="22"/>
                <w:szCs w:val="22"/>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79" w:hRule="atLeast"/>
        </w:trPr>
        <w:tc>
          <w:tcPr>
            <w:tcW w:w="512" w:type="pct"/>
            <w:vAlign w:val="center"/>
          </w:tcPr>
          <w:p>
            <w:pPr>
              <w:spacing w:line="440" w:lineRule="exact"/>
              <w:jc w:val="center"/>
              <w:rPr>
                <w:rFonts w:hint="eastAsia" w:ascii="仿宋" w:hAnsi="仿宋" w:eastAsia="仿宋" w:cs="仿宋"/>
                <w:b/>
                <w:bCs/>
                <w:w w:val="90"/>
                <w:sz w:val="22"/>
                <w:szCs w:val="22"/>
                <w:lang w:val="en-US" w:eastAsia="zh-CN"/>
              </w:rPr>
            </w:pPr>
            <w:r>
              <w:rPr>
                <w:rFonts w:hint="eastAsia" w:ascii="仿宋" w:hAnsi="仿宋" w:eastAsia="仿宋" w:cs="仿宋"/>
                <w:b/>
                <w:bCs/>
                <w:w w:val="90"/>
                <w:sz w:val="22"/>
                <w:szCs w:val="22"/>
                <w:lang w:val="en-US" w:eastAsia="zh-CN"/>
              </w:rPr>
              <w:t>4</w:t>
            </w:r>
          </w:p>
        </w:tc>
        <w:tc>
          <w:tcPr>
            <w:tcW w:w="1130" w:type="pct"/>
            <w:tcBorders>
              <w:left w:val="single" w:color="auto" w:sz="4" w:space="0"/>
            </w:tcBorders>
            <w:vAlign w:val="center"/>
          </w:tcPr>
          <w:p>
            <w:pPr>
              <w:spacing w:line="440" w:lineRule="exact"/>
              <w:jc w:val="center"/>
              <w:rPr>
                <w:rFonts w:hint="eastAsia" w:ascii="宋体" w:hAnsi="宋体" w:cs="仿宋"/>
                <w:b/>
                <w:bCs/>
                <w:w w:val="90"/>
                <w:sz w:val="22"/>
                <w:szCs w:val="22"/>
              </w:rPr>
            </w:pPr>
            <w:r>
              <w:rPr>
                <w:rFonts w:hint="eastAsia" w:ascii="宋体" w:hAnsi="宋体" w:cs="仿宋"/>
                <w:b/>
                <w:bCs/>
                <w:w w:val="90"/>
                <w:sz w:val="22"/>
                <w:szCs w:val="22"/>
              </w:rPr>
              <w:t>阀球</w:t>
            </w:r>
          </w:p>
        </w:tc>
        <w:tc>
          <w:tcPr>
            <w:tcW w:w="965" w:type="pct"/>
            <w:vAlign w:val="center"/>
          </w:tcPr>
          <w:p>
            <w:pPr>
              <w:spacing w:line="440" w:lineRule="exact"/>
              <w:jc w:val="center"/>
              <w:rPr>
                <w:rFonts w:hint="eastAsia" w:ascii="宋体" w:hAnsi="宋体" w:cs="仿宋"/>
                <w:b/>
                <w:bCs/>
                <w:w w:val="90"/>
                <w:sz w:val="22"/>
                <w:szCs w:val="22"/>
              </w:rPr>
            </w:pPr>
          </w:p>
        </w:tc>
        <w:tc>
          <w:tcPr>
            <w:tcW w:w="512" w:type="pct"/>
            <w:vAlign w:val="center"/>
          </w:tcPr>
          <w:p>
            <w:pPr>
              <w:spacing w:line="440" w:lineRule="exact"/>
              <w:jc w:val="center"/>
              <w:rPr>
                <w:rFonts w:hint="eastAsia" w:ascii="宋体" w:hAnsi="宋体" w:eastAsia="宋体" w:cs="仿宋"/>
                <w:b/>
                <w:bCs/>
                <w:w w:val="90"/>
                <w:sz w:val="22"/>
                <w:szCs w:val="22"/>
                <w:lang w:eastAsia="zh-CN"/>
              </w:rPr>
            </w:pPr>
            <w:r>
              <w:rPr>
                <w:rFonts w:hint="eastAsia" w:ascii="宋体" w:hAnsi="宋体" w:cs="仿宋"/>
                <w:b/>
                <w:bCs/>
                <w:w w:val="90"/>
                <w:sz w:val="22"/>
                <w:szCs w:val="22"/>
                <w:lang w:val="en-US" w:eastAsia="zh-CN"/>
              </w:rPr>
              <w:t>2</w:t>
            </w:r>
          </w:p>
        </w:tc>
        <w:tc>
          <w:tcPr>
            <w:tcW w:w="625" w:type="pct"/>
            <w:vAlign w:val="center"/>
          </w:tcPr>
          <w:p>
            <w:pPr>
              <w:spacing w:line="440" w:lineRule="exact"/>
              <w:jc w:val="center"/>
              <w:rPr>
                <w:rFonts w:hint="eastAsia" w:ascii="宋体" w:hAnsi="宋体" w:cs="仿宋"/>
                <w:b/>
                <w:bCs/>
                <w:w w:val="90"/>
                <w:sz w:val="22"/>
                <w:szCs w:val="22"/>
              </w:rPr>
            </w:pPr>
            <w:r>
              <w:rPr>
                <w:rFonts w:hint="eastAsia" w:ascii="宋体" w:hAnsi="宋体" w:cs="仿宋"/>
                <w:b/>
                <w:bCs/>
                <w:w w:val="90"/>
                <w:sz w:val="22"/>
                <w:szCs w:val="22"/>
              </w:rPr>
              <w:t>套/台</w:t>
            </w:r>
          </w:p>
        </w:tc>
        <w:tc>
          <w:tcPr>
            <w:tcW w:w="740" w:type="pct"/>
            <w:tcBorders>
              <w:right w:val="single" w:color="auto" w:sz="4" w:space="0"/>
            </w:tcBorders>
            <w:vAlign w:val="center"/>
          </w:tcPr>
          <w:p>
            <w:pPr>
              <w:spacing w:line="440" w:lineRule="exact"/>
              <w:jc w:val="center"/>
              <w:rPr>
                <w:rFonts w:hint="eastAsia" w:ascii="仿宋" w:hAnsi="仿宋" w:eastAsia="仿宋" w:cs="仿宋"/>
                <w:b/>
                <w:bCs/>
                <w:w w:val="90"/>
                <w:sz w:val="22"/>
                <w:szCs w:val="22"/>
              </w:rPr>
            </w:pPr>
            <w:r>
              <w:rPr>
                <w:rFonts w:hint="eastAsia" w:ascii="宋体" w:hAnsi="宋体"/>
                <w:b/>
                <w:sz w:val="22"/>
                <w:szCs w:val="22"/>
              </w:rPr>
              <w:t>ZrO2陶瓷</w:t>
            </w:r>
          </w:p>
        </w:tc>
        <w:tc>
          <w:tcPr>
            <w:tcW w:w="514" w:type="pct"/>
            <w:tcBorders>
              <w:left w:val="single" w:color="auto" w:sz="4" w:space="0"/>
            </w:tcBorders>
            <w:vAlign w:val="center"/>
          </w:tcPr>
          <w:p>
            <w:pPr>
              <w:spacing w:line="440" w:lineRule="exact"/>
              <w:jc w:val="center"/>
              <w:rPr>
                <w:rFonts w:hint="eastAsia" w:ascii="仿宋" w:hAnsi="仿宋" w:eastAsia="仿宋" w:cs="仿宋"/>
                <w:b/>
                <w:bCs/>
                <w:w w:val="90"/>
                <w:sz w:val="22"/>
                <w:szCs w:val="22"/>
              </w:rPr>
            </w:pPr>
          </w:p>
        </w:tc>
      </w:tr>
    </w:tbl>
    <w:p>
      <w:pPr>
        <w:numPr>
          <w:ilvl w:val="0"/>
          <w:numId w:val="5"/>
        </w:numPr>
        <w:spacing w:beforeLines="50" w:line="480" w:lineRule="auto"/>
        <w:rPr>
          <w:rFonts w:hint="eastAsia" w:ascii="宋体" w:hAnsi="宋体"/>
          <w:b/>
          <w:sz w:val="28"/>
          <w:szCs w:val="28"/>
        </w:rPr>
      </w:pPr>
      <w:r>
        <w:rPr>
          <w:rFonts w:hint="eastAsia" w:ascii="宋体" w:hAnsi="宋体"/>
          <w:b/>
          <w:sz w:val="28"/>
          <w:szCs w:val="28"/>
        </w:rPr>
        <w:t>选型设备结构特点说明</w:t>
      </w:r>
    </w:p>
    <w:p>
      <w:pPr>
        <w:spacing w:line="360" w:lineRule="auto"/>
        <w:rPr>
          <w:rFonts w:hint="eastAsia" w:ascii="宋体" w:hAnsi="宋体"/>
          <w:sz w:val="22"/>
          <w:szCs w:val="22"/>
        </w:rPr>
      </w:pPr>
      <w:r>
        <w:rPr>
          <w:rFonts w:hint="eastAsia" w:cs="宋体"/>
          <w:b/>
          <w:bCs/>
          <w:sz w:val="22"/>
          <w:szCs w:val="22"/>
          <w:lang w:bidi="zh-CN"/>
        </w:rPr>
        <w:t>7</w:t>
      </w:r>
      <w:r>
        <w:rPr>
          <w:rFonts w:hint="eastAsia" w:ascii="宋体" w:hAnsi="宋体" w:cs="宋体"/>
          <w:b/>
          <w:bCs/>
          <w:sz w:val="22"/>
          <w:szCs w:val="22"/>
          <w:lang w:bidi="zh-CN"/>
        </w:rPr>
        <w:t>.</w:t>
      </w:r>
      <w:r>
        <w:rPr>
          <w:rFonts w:ascii="宋体" w:hAnsi="宋体" w:cs="宋体"/>
          <w:b/>
          <w:bCs/>
          <w:sz w:val="22"/>
          <w:szCs w:val="22"/>
          <w:lang w:val="zh-CN" w:bidi="zh-CN"/>
        </w:rPr>
        <w:t>1</w:t>
      </w:r>
      <w:r>
        <w:rPr>
          <w:rFonts w:hint="eastAsia" w:ascii="宋体" w:hAnsi="宋体" w:cs="宋体"/>
          <w:b/>
          <w:bCs/>
          <w:sz w:val="22"/>
          <w:szCs w:val="22"/>
          <w:lang w:val="zh-CN" w:bidi="zh-CN"/>
        </w:rPr>
        <w:t xml:space="preserve"> 交付设备的传动端结构、工作原理和特点</w:t>
      </w:r>
    </w:p>
    <w:p>
      <w:pPr>
        <w:spacing w:line="360" w:lineRule="auto"/>
        <w:rPr>
          <w:rFonts w:hint="eastAsia" w:ascii="宋体" w:hAnsi="宋体" w:cs="宋体"/>
          <w:sz w:val="22"/>
          <w:szCs w:val="22"/>
          <w:lang w:val="zh-CN" w:bidi="zh-CN"/>
        </w:rPr>
      </w:pPr>
      <w:r>
        <w:rPr>
          <w:rFonts w:hint="eastAsia" w:ascii="宋体" w:hAnsi="宋体" w:cs="宋体"/>
          <w:sz w:val="22"/>
          <w:szCs w:val="22"/>
          <w:lang w:val="zh-CN" w:bidi="zh-CN"/>
        </w:rPr>
        <w:t>（</w:t>
      </w:r>
      <w:r>
        <w:rPr>
          <w:rFonts w:ascii="宋体" w:hAnsi="宋体" w:cs="宋体"/>
          <w:sz w:val="22"/>
          <w:szCs w:val="22"/>
          <w:lang w:val="zh-CN" w:bidi="zh-CN"/>
        </w:rPr>
        <w:t>1</w:t>
      </w:r>
      <w:r>
        <w:rPr>
          <w:rFonts w:hint="eastAsia" w:ascii="宋体" w:hAnsi="宋体" w:cs="宋体"/>
          <w:sz w:val="22"/>
          <w:szCs w:val="22"/>
          <w:lang w:val="zh-CN" w:bidi="zh-CN"/>
        </w:rPr>
        <w:t>）计量泵传动端的结构不同厂家虽然有所不同，但离不开三种功能，一是动力的减速传递；二是动力形式的转换；三是曲柄半径旋转的调节。其结构是由蜗杆与蜗轮构成的减速机构，实现了动力的减速传递；由偏心轮与连杆和十字头绞链而构成的曲柄连杆机构，完成了旋转到往复的转换；由滑轴、滑轴销、调节螺杆、导向、调节螺母、指针和标尺及调节手轮构成的曲柄旋转半径调节机构，这三种功能的机件集装在传动箱体内，组成了传动端。</w:t>
      </w:r>
    </w:p>
    <w:p>
      <w:pPr>
        <w:spacing w:line="360" w:lineRule="auto"/>
        <w:rPr>
          <w:rFonts w:hint="eastAsia" w:ascii="宋体" w:hAnsi="宋体" w:cs="宋体"/>
          <w:sz w:val="22"/>
          <w:szCs w:val="22"/>
          <w:lang w:val="zh-CN" w:bidi="zh-CN"/>
        </w:rPr>
      </w:pPr>
      <w:r>
        <w:rPr>
          <w:rFonts w:hint="eastAsia" w:ascii="宋体" w:hAnsi="宋体" w:cs="宋体"/>
          <w:sz w:val="22"/>
          <w:szCs w:val="22"/>
          <w:lang w:val="zh-CN" w:bidi="zh-CN"/>
        </w:rPr>
        <w:t>（2）泵</w:t>
      </w:r>
      <w:r>
        <w:rPr>
          <w:rFonts w:hint="eastAsia" w:ascii="宋体" w:hAnsi="宋体" w:cs="宋体"/>
          <w:b/>
          <w:bCs/>
          <w:sz w:val="22"/>
          <w:szCs w:val="22"/>
          <w:lang w:val="zh-CN" w:bidi="zh-CN"/>
        </w:rPr>
        <w:t>传动工作原理</w:t>
      </w:r>
      <w:r>
        <w:rPr>
          <w:rFonts w:hint="eastAsia" w:ascii="宋体" w:hAnsi="宋体" w:cs="宋体"/>
          <w:sz w:val="22"/>
          <w:szCs w:val="22"/>
          <w:lang w:val="zh-CN" w:bidi="zh-CN"/>
        </w:rPr>
        <w:t xml:space="preserve">是：减速传递和动力形式转换的工作原理是，高速旋转的电机轴，通过弹性联轴器传递扭矩，经蜗杆与蜗轮减速，由蜗轮旋转运动带动蜗轮轴，通过偏心轮与之组成的曲柄连杆机构，将旋转运动转变成十字头的直线往复运动。 </w:t>
      </w:r>
    </w:p>
    <w:p>
      <w:pPr>
        <w:spacing w:line="360" w:lineRule="auto"/>
        <w:ind w:firstLine="440" w:firstLineChars="200"/>
        <w:rPr>
          <w:rFonts w:hint="eastAsia" w:cs="宋体"/>
          <w:sz w:val="22"/>
          <w:szCs w:val="22"/>
          <w:lang w:bidi="zh-CN"/>
        </w:rPr>
      </w:pPr>
      <w:r>
        <w:rPr>
          <w:rFonts w:hint="eastAsia" w:cs="宋体"/>
          <w:sz w:val="22"/>
          <w:szCs w:val="22"/>
          <w:lang w:val="zh-CN" w:bidi="zh-CN"/>
        </w:rPr>
        <w:t>曲柄旋转半径调节机构是，只要人为旋动调节手轮，调节螺杆就会旋入调节螺母，带动了导向、滑轴和指针直线位移，滑轴销两端装在偏心轮中，中间端被套在滑轴的斜槽内，随着滑轴的直线位移，滑轴销就会拖动偏心轮直线移动，不论计量泵在停机或运转时都能改变偏心轮的旋转半径，从而改变了十字头（柱塞）的行程长度。指针与标尺相对运动，指针所指的位置，在标尺上就能读取相对行程长度值％。</w:t>
      </w:r>
    </w:p>
    <w:p>
      <w:pPr>
        <w:spacing w:line="440" w:lineRule="atLeast"/>
        <w:ind w:firstLine="440" w:firstLineChars="200"/>
        <w:rPr>
          <w:rFonts w:hint="eastAsia" w:ascii="宋体" w:hAnsi="宋体" w:cs="宋体"/>
          <w:kern w:val="0"/>
          <w:sz w:val="22"/>
          <w:szCs w:val="22"/>
        </w:rPr>
      </w:pPr>
      <w:r>
        <w:rPr>
          <w:rFonts w:hint="eastAsia" w:ascii="宋体" w:hAnsi="宋体" w:cs="宋体"/>
          <w:kern w:val="0"/>
          <w:sz w:val="22"/>
          <w:szCs w:val="22"/>
        </w:rPr>
        <w:t>以下图示为项目选型泵JYM1.6B型计量泵的传动端结构图</w:t>
      </w:r>
    </w:p>
    <w:p>
      <w:pPr>
        <w:spacing w:beforeLines="50" w:line="480" w:lineRule="auto"/>
        <w:jc w:val="center"/>
        <w:rPr>
          <w:rFonts w:ascii="宋体" w:hAnsi="宋体"/>
          <w:b/>
          <w:sz w:val="28"/>
          <w:szCs w:val="28"/>
        </w:rPr>
      </w:pPr>
      <w:r>
        <w:drawing>
          <wp:inline distT="0" distB="0" distL="0" distR="0">
            <wp:extent cx="5324475" cy="2924175"/>
            <wp:effectExtent l="19050" t="0" r="9525"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6" cstate="print"/>
                    <a:srcRect/>
                    <a:stretch>
                      <a:fillRect/>
                    </a:stretch>
                  </pic:blipFill>
                  <pic:spPr>
                    <a:xfrm>
                      <a:off x="0" y="0"/>
                      <a:ext cx="5324475" cy="2924175"/>
                    </a:xfrm>
                    <a:prstGeom prst="rect">
                      <a:avLst/>
                    </a:prstGeom>
                    <a:noFill/>
                    <a:ln w="9525">
                      <a:noFill/>
                      <a:miter lim="800000"/>
                      <a:headEnd/>
                      <a:tailEnd/>
                    </a:ln>
                    <a:effectLst/>
                  </pic:spPr>
                </pic:pic>
              </a:graphicData>
            </a:graphic>
          </wp:inline>
        </w:drawing>
      </w:r>
    </w:p>
    <w:p>
      <w:pPr>
        <w:spacing w:line="480" w:lineRule="auto"/>
        <w:ind w:left="964" w:hanging="964" w:hangingChars="400"/>
        <w:rPr>
          <w:rFonts w:hint="eastAsia" w:ascii="宋体" w:hAnsi="宋体"/>
          <w:b/>
          <w:sz w:val="24"/>
        </w:rPr>
      </w:pPr>
      <w:r>
        <w:rPr>
          <w:rFonts w:hint="eastAsia" w:ascii="宋体" w:hAnsi="宋体"/>
          <w:b/>
          <w:sz w:val="24"/>
        </w:rPr>
        <w:t>7.2 微流量液压隔膜计量泵结构特点说明</w:t>
      </w:r>
    </w:p>
    <w:p>
      <w:pPr>
        <w:spacing w:line="360" w:lineRule="auto"/>
        <w:rPr>
          <w:rFonts w:hint="eastAsia" w:ascii="宋体" w:hAnsi="宋体"/>
          <w:sz w:val="22"/>
          <w:szCs w:val="22"/>
        </w:rPr>
      </w:pPr>
      <w:r>
        <w:rPr>
          <w:rFonts w:hint="eastAsia" w:ascii="宋体" w:hAnsi="宋体"/>
          <w:b/>
          <w:sz w:val="22"/>
          <w:szCs w:val="22"/>
        </w:rPr>
        <w:t>7.2.1 泵的传动端结构特点</w:t>
      </w:r>
      <w:r>
        <w:rPr>
          <w:rFonts w:hint="eastAsia" w:ascii="宋体" w:hAnsi="宋体"/>
          <w:sz w:val="22"/>
          <w:szCs w:val="22"/>
        </w:rPr>
        <w:t>：</w:t>
      </w:r>
    </w:p>
    <w:p>
      <w:pPr>
        <w:autoSpaceDE w:val="0"/>
        <w:autoSpaceDN w:val="0"/>
        <w:adjustRightInd w:val="0"/>
        <w:spacing w:line="360" w:lineRule="auto"/>
        <w:ind w:firstLine="221" w:firstLineChars="100"/>
        <w:jc w:val="left"/>
        <w:rPr>
          <w:rFonts w:hint="eastAsia" w:ascii="宋体" w:hAnsi="宋体" w:cs="宋体"/>
          <w:kern w:val="0"/>
          <w:sz w:val="22"/>
          <w:szCs w:val="22"/>
        </w:rPr>
      </w:pPr>
      <w:r>
        <w:rPr>
          <w:rFonts w:hint="eastAsia" w:ascii="宋体" w:hAnsi="宋体"/>
          <w:b/>
          <w:color w:val="0000FF"/>
          <w:sz w:val="22"/>
          <w:szCs w:val="22"/>
        </w:rPr>
        <w:t>① 泵速慢</w:t>
      </w:r>
      <w:r>
        <w:rPr>
          <w:rFonts w:hint="eastAsia" w:ascii="宋体" w:hAnsi="宋体"/>
          <w:color w:val="0000FF"/>
          <w:sz w:val="22"/>
          <w:szCs w:val="22"/>
        </w:rPr>
        <w:t>。</w:t>
      </w:r>
      <w:r>
        <w:rPr>
          <w:rFonts w:hint="eastAsia" w:ascii="宋体" w:hAnsi="宋体"/>
          <w:sz w:val="22"/>
          <w:szCs w:val="22"/>
        </w:rPr>
        <w:t>依据</w:t>
      </w:r>
      <w:r>
        <w:rPr>
          <w:rFonts w:hint="eastAsia" w:ascii="宋体" w:hAnsi="宋体" w:cs="宋体"/>
          <w:kern w:val="0"/>
          <w:sz w:val="22"/>
          <w:szCs w:val="22"/>
        </w:rPr>
        <w:t>计量泵的容积流量的表达式为：</w:t>
      </w:r>
      <w:r>
        <w:rPr>
          <w:rFonts w:ascii="宋体" w:hAnsi="宋体" w:cs="宋体"/>
          <w:kern w:val="0"/>
          <w:sz w:val="22"/>
          <w:szCs w:val="22"/>
        </w:rPr>
        <w:t>Q=</w:t>
      </w:r>
      <w:r>
        <w:rPr>
          <w:rFonts w:hint="eastAsia" w:ascii="宋体" w:hAnsi="宋体" w:cs="宋体"/>
          <w:kern w:val="0"/>
          <w:sz w:val="22"/>
          <w:szCs w:val="22"/>
        </w:rPr>
        <w:t>15</w:t>
      </w:r>
      <w:r>
        <w:rPr>
          <w:rFonts w:ascii="宋体" w:hAnsi="宋体"/>
          <w:kern w:val="0"/>
          <w:sz w:val="22"/>
          <w:szCs w:val="22"/>
        </w:rPr>
        <w:t>π</w:t>
      </w:r>
      <w:r>
        <w:rPr>
          <w:rFonts w:hint="eastAsia" w:ascii="宋体" w:hAnsi="宋体"/>
          <w:kern w:val="0"/>
          <w:sz w:val="22"/>
          <w:szCs w:val="22"/>
        </w:rPr>
        <w:t>·</w:t>
      </w:r>
      <w:r>
        <w:rPr>
          <w:rFonts w:hint="eastAsia" w:ascii="宋体" w:hAnsi="宋体" w:cs="宋体"/>
          <w:kern w:val="0"/>
          <w:sz w:val="22"/>
          <w:szCs w:val="22"/>
        </w:rPr>
        <w:t>d</w:t>
      </w:r>
      <w:r>
        <w:rPr>
          <w:rFonts w:hint="eastAsia" w:ascii="宋体" w:hAnsi="宋体" w:cs="宋体"/>
          <w:kern w:val="0"/>
          <w:sz w:val="22"/>
          <w:szCs w:val="22"/>
          <w:vertAlign w:val="superscript"/>
        </w:rPr>
        <w:t>2</w:t>
      </w:r>
      <w:r>
        <w:rPr>
          <w:rFonts w:hint="eastAsia" w:ascii="宋体" w:hAnsi="宋体" w:cs="宋体"/>
          <w:kern w:val="0"/>
          <w:sz w:val="22"/>
          <w:szCs w:val="22"/>
        </w:rPr>
        <w:t>·S·n</w:t>
      </w:r>
    </w:p>
    <w:p>
      <w:pPr>
        <w:autoSpaceDE w:val="0"/>
        <w:autoSpaceDN w:val="0"/>
        <w:adjustRightInd w:val="0"/>
        <w:spacing w:line="360" w:lineRule="auto"/>
        <w:ind w:firstLine="660" w:firstLineChars="300"/>
        <w:jc w:val="left"/>
        <w:rPr>
          <w:rFonts w:hint="eastAsia" w:ascii="宋体" w:hAnsi="宋体" w:cs="宋体"/>
          <w:kern w:val="0"/>
          <w:sz w:val="22"/>
          <w:szCs w:val="22"/>
        </w:rPr>
      </w:pPr>
      <w:r>
        <w:rPr>
          <w:rFonts w:hint="eastAsia" w:ascii="宋体" w:hAnsi="宋体" w:cs="宋体"/>
          <w:kern w:val="0"/>
          <w:sz w:val="22"/>
          <w:szCs w:val="22"/>
        </w:rPr>
        <w:t>式中</w:t>
      </w:r>
      <w:r>
        <w:rPr>
          <w:rFonts w:ascii="宋体" w:hAnsi="宋体" w:cs="宋体"/>
          <w:kern w:val="0"/>
          <w:sz w:val="22"/>
          <w:szCs w:val="22"/>
        </w:rPr>
        <w:t>Q</w:t>
      </w:r>
      <w:r>
        <w:rPr>
          <w:rFonts w:hint="eastAsia" w:ascii="宋体" w:hAnsi="宋体" w:cs="宋体"/>
          <w:kern w:val="0"/>
          <w:sz w:val="22"/>
          <w:szCs w:val="22"/>
        </w:rPr>
        <w:t>——容积流量，</w:t>
      </w:r>
      <w:r>
        <w:rPr>
          <w:rFonts w:ascii="宋体" w:hAnsi="宋体" w:cs="宋体"/>
          <w:kern w:val="0"/>
          <w:sz w:val="22"/>
          <w:szCs w:val="22"/>
        </w:rPr>
        <w:t>ml</w:t>
      </w:r>
      <w:r>
        <w:rPr>
          <w:rFonts w:hint="eastAsia" w:ascii="宋体" w:hAnsi="宋体" w:cs="宋体"/>
          <w:kern w:val="0"/>
          <w:sz w:val="22"/>
          <w:szCs w:val="22"/>
        </w:rPr>
        <w:t>／</w:t>
      </w:r>
      <w:r>
        <w:rPr>
          <w:rFonts w:ascii="宋体" w:hAnsi="宋体" w:cs="宋体"/>
          <w:kern w:val="0"/>
          <w:sz w:val="22"/>
          <w:szCs w:val="22"/>
        </w:rPr>
        <w:t>h</w:t>
      </w:r>
      <w:r>
        <w:rPr>
          <w:rFonts w:hint="eastAsia" w:ascii="宋体" w:hAnsi="宋体" w:cs="宋体"/>
          <w:kern w:val="0"/>
          <w:sz w:val="22"/>
          <w:szCs w:val="22"/>
        </w:rPr>
        <w:t xml:space="preserve">； </w:t>
      </w:r>
      <w:r>
        <w:rPr>
          <w:rFonts w:ascii="宋体" w:hAnsi="宋体" w:cs="宋体"/>
          <w:kern w:val="0"/>
          <w:sz w:val="22"/>
          <w:szCs w:val="22"/>
        </w:rPr>
        <w:t>d</w:t>
      </w:r>
      <w:r>
        <w:rPr>
          <w:rFonts w:hint="eastAsia" w:ascii="宋体" w:hAnsi="宋体" w:cs="宋体"/>
          <w:kern w:val="0"/>
          <w:sz w:val="22"/>
          <w:szCs w:val="22"/>
        </w:rPr>
        <w:t>——</w:t>
      </w:r>
      <w:r>
        <w:rPr>
          <w:rFonts w:ascii="宋体" w:hAnsi="宋体" w:cs="宋体"/>
          <w:kern w:val="0"/>
          <w:sz w:val="22"/>
          <w:szCs w:val="22"/>
        </w:rPr>
        <w:t xml:space="preserve"> </w:t>
      </w:r>
      <w:r>
        <w:rPr>
          <w:rFonts w:hint="eastAsia" w:ascii="宋体" w:hAnsi="宋体" w:cs="宋体"/>
          <w:kern w:val="0"/>
          <w:sz w:val="22"/>
          <w:szCs w:val="22"/>
        </w:rPr>
        <w:t>柱塞直径，</w:t>
      </w:r>
      <w:r>
        <w:rPr>
          <w:rFonts w:ascii="宋体" w:hAnsi="宋体" w:cs="宋体"/>
          <w:kern w:val="0"/>
          <w:sz w:val="22"/>
          <w:szCs w:val="22"/>
        </w:rPr>
        <w:t>cm</w:t>
      </w:r>
      <w:r>
        <w:rPr>
          <w:rFonts w:hint="eastAsia" w:ascii="宋体" w:hAnsi="宋体" w:cs="宋体"/>
          <w:kern w:val="0"/>
          <w:sz w:val="22"/>
          <w:szCs w:val="22"/>
        </w:rPr>
        <w:t xml:space="preserve">； </w:t>
      </w:r>
      <w:r>
        <w:rPr>
          <w:rFonts w:ascii="宋体" w:hAnsi="宋体" w:cs="宋体"/>
          <w:kern w:val="0"/>
          <w:sz w:val="22"/>
          <w:szCs w:val="22"/>
        </w:rPr>
        <w:t>s</w:t>
      </w:r>
      <w:r>
        <w:rPr>
          <w:rFonts w:hint="eastAsia" w:ascii="宋体" w:hAnsi="宋体" w:cs="宋体"/>
          <w:kern w:val="0"/>
          <w:sz w:val="22"/>
          <w:szCs w:val="22"/>
        </w:rPr>
        <w:t>——柱塞行程长度，</w:t>
      </w:r>
      <w:r>
        <w:rPr>
          <w:rFonts w:ascii="宋体" w:hAnsi="宋体" w:cs="宋体"/>
          <w:kern w:val="0"/>
          <w:sz w:val="22"/>
          <w:szCs w:val="22"/>
        </w:rPr>
        <w:t>cm</w:t>
      </w:r>
      <w:r>
        <w:rPr>
          <w:rFonts w:hint="eastAsia" w:ascii="宋体" w:hAnsi="宋体" w:cs="宋体"/>
          <w:kern w:val="0"/>
          <w:sz w:val="22"/>
          <w:szCs w:val="22"/>
        </w:rPr>
        <w:t>；</w:t>
      </w:r>
    </w:p>
    <w:p>
      <w:pPr>
        <w:autoSpaceDE w:val="0"/>
        <w:autoSpaceDN w:val="0"/>
        <w:adjustRightInd w:val="0"/>
        <w:spacing w:line="360" w:lineRule="auto"/>
        <w:ind w:firstLine="1100" w:firstLineChars="500"/>
        <w:jc w:val="left"/>
        <w:rPr>
          <w:rFonts w:hint="eastAsia" w:ascii="宋体" w:hAnsi="宋体" w:cs="宋体"/>
          <w:kern w:val="0"/>
          <w:sz w:val="22"/>
          <w:szCs w:val="22"/>
        </w:rPr>
      </w:pPr>
      <w:r>
        <w:rPr>
          <w:rFonts w:ascii="宋体" w:hAnsi="宋体" w:cs="宋体"/>
          <w:kern w:val="0"/>
          <w:sz w:val="22"/>
          <w:szCs w:val="22"/>
        </w:rPr>
        <w:t>n</w:t>
      </w:r>
      <w:r>
        <w:rPr>
          <w:rFonts w:hint="eastAsia" w:ascii="宋体" w:hAnsi="宋体" w:cs="宋体"/>
          <w:kern w:val="0"/>
          <w:sz w:val="22"/>
          <w:szCs w:val="22"/>
        </w:rPr>
        <w:t>——泵速</w:t>
      </w:r>
      <w:r>
        <w:rPr>
          <w:rFonts w:ascii="宋体" w:hAnsi="宋体" w:cs="宋体"/>
          <w:kern w:val="0"/>
          <w:sz w:val="22"/>
          <w:szCs w:val="22"/>
        </w:rPr>
        <w:t>(</w:t>
      </w:r>
      <w:r>
        <w:rPr>
          <w:rFonts w:hint="eastAsia" w:ascii="宋体" w:hAnsi="宋体" w:cs="宋体"/>
          <w:kern w:val="0"/>
          <w:sz w:val="22"/>
          <w:szCs w:val="22"/>
        </w:rPr>
        <w:t>柱塞往复次数</w:t>
      </w:r>
      <w:r>
        <w:rPr>
          <w:rFonts w:ascii="宋体" w:hAnsi="宋体" w:cs="宋体"/>
          <w:kern w:val="0"/>
          <w:sz w:val="22"/>
          <w:szCs w:val="22"/>
        </w:rPr>
        <w:t>)</w:t>
      </w:r>
      <w:r>
        <w:rPr>
          <w:rFonts w:hint="eastAsia" w:ascii="宋体" w:hAnsi="宋体" w:cs="宋体"/>
          <w:kern w:val="0"/>
          <w:sz w:val="22"/>
          <w:szCs w:val="22"/>
        </w:rPr>
        <w:t>，</w:t>
      </w:r>
      <w:r>
        <w:rPr>
          <w:rFonts w:ascii="宋体" w:hAnsi="宋体" w:cs="宋体"/>
          <w:kern w:val="0"/>
          <w:sz w:val="22"/>
          <w:szCs w:val="22"/>
        </w:rPr>
        <w:t>min</w:t>
      </w:r>
      <w:r>
        <w:rPr>
          <w:rFonts w:hint="eastAsia" w:ascii="宋体" w:hAnsi="宋体" w:cs="宋体"/>
          <w:kern w:val="0"/>
          <w:sz w:val="22"/>
          <w:szCs w:val="22"/>
          <w:vertAlign w:val="superscript"/>
        </w:rPr>
        <w:t>-1</w:t>
      </w:r>
    </w:p>
    <w:p>
      <w:pPr>
        <w:autoSpaceDE w:val="0"/>
        <w:autoSpaceDN w:val="0"/>
        <w:adjustRightInd w:val="0"/>
        <w:spacing w:line="360" w:lineRule="auto"/>
        <w:ind w:firstLine="440" w:firstLineChars="200"/>
        <w:jc w:val="left"/>
        <w:rPr>
          <w:rFonts w:hint="eastAsia" w:ascii="宋体" w:hAnsi="宋体" w:cs="宋体"/>
          <w:kern w:val="0"/>
          <w:sz w:val="22"/>
          <w:szCs w:val="22"/>
        </w:rPr>
      </w:pPr>
      <w:r>
        <w:rPr>
          <w:rFonts w:hint="eastAsia" w:ascii="宋体" w:hAnsi="宋体" w:cs="宋体"/>
          <w:kern w:val="0"/>
          <w:sz w:val="22"/>
          <w:szCs w:val="22"/>
        </w:rPr>
        <w:t>为实现流量的微量化，设计时，必须对</w:t>
      </w:r>
      <w:r>
        <w:rPr>
          <w:rFonts w:ascii="宋体" w:hAnsi="宋体" w:cs="宋体"/>
          <w:kern w:val="0"/>
          <w:sz w:val="22"/>
          <w:szCs w:val="22"/>
        </w:rPr>
        <w:t>d</w:t>
      </w:r>
      <w:r>
        <w:rPr>
          <w:rFonts w:hint="eastAsia" w:ascii="宋体" w:hAnsi="宋体" w:cs="宋体"/>
          <w:kern w:val="0"/>
          <w:sz w:val="22"/>
          <w:szCs w:val="22"/>
        </w:rPr>
        <w:t>、S、</w:t>
      </w:r>
      <w:r>
        <w:rPr>
          <w:rFonts w:ascii="宋体" w:hAnsi="宋体" w:cs="宋体"/>
          <w:kern w:val="0"/>
          <w:sz w:val="22"/>
          <w:szCs w:val="22"/>
        </w:rPr>
        <w:t xml:space="preserve"> n</w:t>
      </w:r>
      <w:r>
        <w:rPr>
          <w:rFonts w:hint="eastAsia" w:ascii="宋体" w:hAnsi="宋体" w:cs="宋体"/>
          <w:kern w:val="0"/>
          <w:sz w:val="22"/>
          <w:szCs w:val="22"/>
        </w:rPr>
        <w:t>的合理分配。在确定柱塞直径</w:t>
      </w:r>
      <w:r>
        <w:rPr>
          <w:rFonts w:ascii="宋体" w:hAnsi="宋体" w:cs="宋体"/>
          <w:kern w:val="0"/>
          <w:sz w:val="22"/>
          <w:szCs w:val="22"/>
        </w:rPr>
        <w:t>d</w:t>
      </w:r>
      <w:r>
        <w:rPr>
          <w:rFonts w:hint="eastAsia" w:ascii="宋体" w:hAnsi="宋体" w:cs="宋体"/>
          <w:kern w:val="0"/>
          <w:sz w:val="22"/>
          <w:szCs w:val="22"/>
        </w:rPr>
        <w:t>时，必须考虑其刚性、密封以及加工工艺的可行性，往往不能做得较小；确定柱塞行程长度</w:t>
      </w:r>
      <w:r>
        <w:rPr>
          <w:rFonts w:ascii="宋体" w:hAnsi="宋体" w:cs="宋体"/>
          <w:kern w:val="0"/>
          <w:sz w:val="22"/>
          <w:szCs w:val="22"/>
        </w:rPr>
        <w:t>s</w:t>
      </w:r>
      <w:r>
        <w:rPr>
          <w:rFonts w:hint="eastAsia" w:ascii="宋体" w:hAnsi="宋体" w:cs="宋体"/>
          <w:kern w:val="0"/>
          <w:sz w:val="22"/>
          <w:szCs w:val="22"/>
        </w:rPr>
        <w:t>时，需要考虑行程长度的可调节性，也不宜选得太小；确定泵速</w:t>
      </w:r>
      <w:r>
        <w:rPr>
          <w:rFonts w:ascii="宋体" w:hAnsi="宋体" w:cs="宋体"/>
          <w:kern w:val="0"/>
          <w:sz w:val="22"/>
          <w:szCs w:val="22"/>
        </w:rPr>
        <w:t>n</w:t>
      </w:r>
      <w:r>
        <w:rPr>
          <w:rFonts w:hint="eastAsia" w:ascii="宋体" w:hAnsi="宋体" w:cs="宋体"/>
          <w:kern w:val="0"/>
          <w:sz w:val="22"/>
          <w:szCs w:val="22"/>
        </w:rPr>
        <w:t>时，需要考虑阀组的动态特性，以保证泵的计量精度。为了增大d和S,所以微量泵往往泵速n就不宜选择太快，本项目微流量计量泵的柱塞行程选择了S=7mm、泵速选择30次/min,为此需要</w:t>
      </w:r>
      <w:r>
        <w:rPr>
          <w:rFonts w:hint="eastAsia" w:ascii="宋体" w:hAnsi="宋体"/>
          <w:sz w:val="22"/>
          <w:szCs w:val="22"/>
        </w:rPr>
        <w:t>采用高传动比的蜗杆副予以减速。</w:t>
      </w:r>
      <w:r>
        <w:rPr>
          <w:rFonts w:hint="eastAsia" w:ascii="宋体" w:hAnsi="宋体"/>
          <w:color w:val="0000FF"/>
          <w:sz w:val="22"/>
          <w:szCs w:val="22"/>
        </w:rPr>
        <w:t xml:space="preserve"> </w:t>
      </w:r>
    </w:p>
    <w:p>
      <w:pPr>
        <w:autoSpaceDE w:val="0"/>
        <w:autoSpaceDN w:val="0"/>
        <w:adjustRightInd w:val="0"/>
        <w:spacing w:line="360" w:lineRule="auto"/>
        <w:ind w:firstLine="440" w:firstLineChars="200"/>
        <w:jc w:val="left"/>
        <w:rPr>
          <w:rFonts w:hint="eastAsia" w:ascii="宋体" w:hAnsi="宋体" w:cs="宋体"/>
          <w:kern w:val="0"/>
          <w:sz w:val="22"/>
          <w:szCs w:val="22"/>
        </w:rPr>
      </w:pPr>
      <w:r>
        <w:rPr>
          <w:rFonts w:hint="eastAsia" w:ascii="宋体" w:hAnsi="宋体" w:cs="宋体"/>
          <w:kern w:val="0"/>
          <w:sz w:val="22"/>
          <w:szCs w:val="22"/>
        </w:rPr>
        <w:t>②泵的流量调节机构均</w:t>
      </w:r>
      <w:r>
        <w:rPr>
          <w:rFonts w:hint="eastAsia" w:ascii="宋体" w:hAnsi="宋体" w:cs="宋体"/>
          <w:b/>
          <w:bCs/>
          <w:kern w:val="0"/>
          <w:sz w:val="22"/>
          <w:szCs w:val="22"/>
        </w:rPr>
        <w:t>采用E型滑轴调节机构</w:t>
      </w:r>
      <w:r>
        <w:rPr>
          <w:rFonts w:hint="eastAsia" w:ascii="宋体" w:hAnsi="宋体" w:cs="宋体"/>
          <w:kern w:val="0"/>
          <w:sz w:val="22"/>
          <w:szCs w:val="22"/>
        </w:rPr>
        <w:t>，改变了传统小流量泵大多采用弹簧凸轮调节结构，采用弹簧凸轮式调节机构，易存在因弹簧长时间运行产生压缩疲劳，导致弹簧复位行程不够，行程变小，影响流量减少；流量调节时容易产生因弹簧回弹与调节杆相碰发出响声。而采用曲柄连杆，E型偏心滑轴调节机构，具有传动平稳、调节线性好、噪音低，不会因长期运行影响行程变化而改变泵的流量稳定的优点。</w:t>
      </w:r>
    </w:p>
    <w:p>
      <w:pPr>
        <w:spacing w:line="360" w:lineRule="auto"/>
        <w:ind w:firstLine="440" w:firstLineChars="200"/>
        <w:rPr>
          <w:rFonts w:ascii="宋体" w:hAnsi="宋体"/>
          <w:sz w:val="22"/>
          <w:szCs w:val="22"/>
        </w:rPr>
      </w:pPr>
      <w:r>
        <w:rPr>
          <w:rFonts w:hint="eastAsia" w:ascii="宋体" w:hAnsi="宋体"/>
          <w:sz w:val="22"/>
          <w:szCs w:val="22"/>
        </w:rPr>
        <w:t>③运动件的滚动支撑采用采用著名SKF和NSK滚动轴承，连杆的滑动支撑采用自制的滑动轴承。</w:t>
      </w:r>
    </w:p>
    <w:p>
      <w:pPr>
        <w:spacing w:line="360" w:lineRule="auto"/>
        <w:ind w:firstLine="440" w:firstLineChars="200"/>
        <w:rPr>
          <w:rFonts w:hint="eastAsia" w:ascii="宋体" w:hAnsi="宋体"/>
          <w:sz w:val="22"/>
          <w:szCs w:val="22"/>
        </w:rPr>
      </w:pPr>
      <w:r>
        <w:rPr>
          <w:rFonts w:hint="eastAsia" w:ascii="宋体" w:hAnsi="宋体"/>
          <w:sz w:val="22"/>
          <w:szCs w:val="22"/>
        </w:rPr>
        <w:t>④电机立于传动箱的上方，消除了润滑油的外漏，提高了机械传动运行的可靠性。</w:t>
      </w:r>
    </w:p>
    <w:p>
      <w:pPr>
        <w:spacing w:line="360" w:lineRule="auto"/>
        <w:ind w:left="883" w:hanging="883" w:hangingChars="400"/>
        <w:rPr>
          <w:rFonts w:hint="eastAsia" w:ascii="宋体" w:hAnsi="宋体"/>
          <w:b/>
          <w:sz w:val="22"/>
          <w:szCs w:val="22"/>
        </w:rPr>
      </w:pPr>
      <w:r>
        <w:rPr>
          <w:rFonts w:hint="eastAsia" w:ascii="宋体" w:hAnsi="宋体"/>
          <w:b/>
          <w:sz w:val="22"/>
          <w:szCs w:val="22"/>
        </w:rPr>
        <w:t>7.2.2 微流量液压隔膜计量泵液力端结构特点</w:t>
      </w:r>
    </w:p>
    <w:p>
      <w:pPr>
        <w:spacing w:line="360" w:lineRule="auto"/>
        <w:ind w:firstLine="440" w:firstLineChars="200"/>
        <w:rPr>
          <w:rFonts w:hint="eastAsia" w:ascii="宋体" w:hAnsi="宋体"/>
          <w:sz w:val="22"/>
          <w:szCs w:val="22"/>
        </w:rPr>
      </w:pPr>
      <w:r>
        <w:rPr>
          <w:rFonts w:hint="eastAsia" w:ascii="宋体" w:hAnsi="宋体"/>
          <w:sz w:val="22"/>
          <w:szCs w:val="22"/>
        </w:rPr>
        <w:t>1）</w:t>
      </w:r>
      <w:r>
        <w:rPr>
          <w:rFonts w:hint="eastAsia" w:ascii="宋体" w:hAnsi="宋体" w:cs="宋体"/>
          <w:kern w:val="0"/>
          <w:sz w:val="22"/>
          <w:szCs w:val="22"/>
        </w:rPr>
        <w:t>为了解决常规液压系统不适于微量计量泵液压系统存在的问题，在泵液力端的液压系统采用内循环液压回路的结构，增设了内吸阀和内排阀，组成了</w:t>
      </w:r>
      <w:r>
        <w:rPr>
          <w:rFonts w:hint="eastAsia" w:ascii="宋体" w:hAnsi="宋体" w:cs="宋体"/>
          <w:b/>
          <w:color w:val="0000FF"/>
          <w:kern w:val="0"/>
          <w:sz w:val="22"/>
          <w:szCs w:val="22"/>
        </w:rPr>
        <w:t>内循环液压回路液压系统来驱逐气体</w:t>
      </w:r>
      <w:r>
        <w:rPr>
          <w:rFonts w:hint="eastAsia" w:ascii="宋体" w:hAnsi="宋体" w:cs="宋体"/>
          <w:kern w:val="0"/>
          <w:sz w:val="22"/>
          <w:szCs w:val="22"/>
        </w:rPr>
        <w:t>。也就是液压油随柱塞在吸入行程，必须由内吸阀进入液压腔；柱塞在排出行程时，必须由内排阀排出，进入膜腔的循环交替路线运动，构成了液压油的内循环液压回路。行之有效地将液压腔、膜腔及其它通道中未排净的残留气体驱逐出去。</w:t>
      </w:r>
    </w:p>
    <w:p>
      <w:pPr>
        <w:spacing w:line="360" w:lineRule="auto"/>
        <w:ind w:firstLine="440" w:firstLineChars="200"/>
        <w:rPr>
          <w:rFonts w:hint="eastAsia" w:ascii="宋体" w:hAnsi="宋体" w:cs="宋体"/>
          <w:kern w:val="0"/>
          <w:sz w:val="22"/>
          <w:szCs w:val="22"/>
        </w:rPr>
      </w:pPr>
      <w:r>
        <w:rPr>
          <w:rFonts w:hint="eastAsia" w:ascii="宋体" w:hAnsi="宋体"/>
          <w:sz w:val="22"/>
          <w:szCs w:val="22"/>
        </w:rPr>
        <w:t>2）</w:t>
      </w:r>
      <w:r>
        <w:rPr>
          <w:rFonts w:hint="eastAsia" w:ascii="宋体" w:hAnsi="宋体" w:cs="宋体"/>
          <w:kern w:val="0"/>
          <w:sz w:val="22"/>
          <w:szCs w:val="22"/>
        </w:rPr>
        <w:t>采用</w:t>
      </w:r>
      <w:r>
        <w:rPr>
          <w:rFonts w:hint="eastAsia" w:ascii="宋体" w:hAnsi="宋体" w:cs="宋体"/>
          <w:b/>
          <w:color w:val="0000FF"/>
          <w:kern w:val="0"/>
          <w:sz w:val="22"/>
          <w:szCs w:val="22"/>
        </w:rPr>
        <w:t>单曲面的膜腔结构</w:t>
      </w:r>
      <w:r>
        <w:rPr>
          <w:rFonts w:hint="eastAsia" w:ascii="宋体" w:hAnsi="宋体" w:cs="宋体"/>
          <w:kern w:val="0"/>
          <w:sz w:val="22"/>
          <w:szCs w:val="22"/>
        </w:rPr>
        <w:t>，是考虑到隔膜在运行时挠曲位移量很小，泵运行时，隔膜只是在柱塞处于排出行程时的单向挠曲位移，使隔膜的挠曲位移次数减少</w:t>
      </w:r>
      <w:r>
        <w:rPr>
          <w:rFonts w:ascii="宋体" w:hAnsi="宋体" w:cs="宋体"/>
          <w:kern w:val="0"/>
          <w:sz w:val="22"/>
          <w:szCs w:val="22"/>
        </w:rPr>
        <w:t>1</w:t>
      </w:r>
      <w:r>
        <w:rPr>
          <w:rFonts w:hint="eastAsia" w:ascii="宋体" w:hAnsi="宋体" w:cs="宋体"/>
          <w:kern w:val="0"/>
          <w:sz w:val="22"/>
          <w:szCs w:val="22"/>
        </w:rPr>
        <w:t>／</w:t>
      </w:r>
      <w:r>
        <w:rPr>
          <w:rFonts w:ascii="宋体" w:hAnsi="宋体" w:cs="宋体"/>
          <w:kern w:val="0"/>
          <w:sz w:val="22"/>
          <w:szCs w:val="22"/>
        </w:rPr>
        <w:t>2</w:t>
      </w:r>
      <w:r>
        <w:rPr>
          <w:rFonts w:hint="eastAsia" w:ascii="宋体" w:hAnsi="宋体" w:cs="宋体"/>
          <w:kern w:val="0"/>
          <w:sz w:val="22"/>
          <w:szCs w:val="22"/>
        </w:rPr>
        <w:t>，从而提高隔膜的使用寿命。</w:t>
      </w:r>
    </w:p>
    <w:p>
      <w:pPr>
        <w:spacing w:line="360" w:lineRule="auto"/>
        <w:ind w:firstLine="440" w:firstLineChars="200"/>
        <w:rPr>
          <w:rFonts w:hint="eastAsia" w:ascii="宋体" w:hAnsi="宋体"/>
          <w:sz w:val="22"/>
          <w:szCs w:val="22"/>
        </w:rPr>
      </w:pPr>
      <w:r>
        <w:rPr>
          <w:rFonts w:hint="eastAsia" w:ascii="宋体" w:hAnsi="宋体"/>
          <w:sz w:val="22"/>
          <w:szCs w:val="22"/>
        </w:rPr>
        <w:t>3）</w:t>
      </w:r>
      <w:r>
        <w:rPr>
          <w:rFonts w:ascii="宋体" w:hAnsi="宋体"/>
          <w:b/>
          <w:color w:val="0000FF"/>
          <w:sz w:val="22"/>
          <w:szCs w:val="22"/>
        </w:rPr>
        <w:t>隔膜</w:t>
      </w:r>
      <w:r>
        <w:rPr>
          <w:rFonts w:ascii="宋体" w:hAnsi="宋体"/>
          <w:sz w:val="22"/>
          <w:szCs w:val="22"/>
        </w:rPr>
        <w:t>采用</w:t>
      </w:r>
      <w:r>
        <w:rPr>
          <w:rFonts w:hint="eastAsia" w:ascii="宋体" w:hAnsi="宋体"/>
          <w:sz w:val="22"/>
          <w:szCs w:val="22"/>
        </w:rPr>
        <w:t>高强度、低弹性模量的</w:t>
      </w:r>
      <w:r>
        <w:rPr>
          <w:rFonts w:hint="eastAsia" w:ascii="宋体" w:hAnsi="宋体"/>
          <w:b/>
          <w:color w:val="0000FF"/>
          <w:sz w:val="22"/>
          <w:szCs w:val="22"/>
        </w:rPr>
        <w:t>钛合金</w:t>
      </w:r>
      <w:r>
        <w:rPr>
          <w:rFonts w:hint="eastAsia" w:ascii="宋体" w:hAnsi="宋体"/>
          <w:sz w:val="22"/>
          <w:szCs w:val="22"/>
        </w:rPr>
        <w:t>材料（该材料经多次轧制和固熔处理）</w:t>
      </w:r>
      <w:r>
        <w:rPr>
          <w:rFonts w:ascii="宋体" w:hAnsi="宋体"/>
          <w:sz w:val="22"/>
          <w:szCs w:val="22"/>
        </w:rPr>
        <w:t>，</w:t>
      </w:r>
      <w:r>
        <w:rPr>
          <w:rFonts w:hint="eastAsia" w:ascii="宋体" w:hAnsi="宋体"/>
          <w:sz w:val="22"/>
          <w:szCs w:val="22"/>
        </w:rPr>
        <w:t>不但弹性好、韧性高，同时钛材具有良好的耐腐蚀性，是确保</w:t>
      </w:r>
      <w:r>
        <w:rPr>
          <w:rFonts w:ascii="宋体" w:hAnsi="宋体"/>
          <w:sz w:val="22"/>
          <w:szCs w:val="22"/>
        </w:rPr>
        <w:t>隔膜寿命</w:t>
      </w:r>
      <w:r>
        <w:rPr>
          <w:rFonts w:hint="eastAsia" w:ascii="宋体" w:hAnsi="宋体"/>
          <w:sz w:val="22"/>
          <w:szCs w:val="22"/>
        </w:rPr>
        <w:t>达</w:t>
      </w:r>
      <w:r>
        <w:rPr>
          <w:rFonts w:ascii="宋体" w:hAnsi="宋体"/>
          <w:sz w:val="22"/>
          <w:szCs w:val="22"/>
        </w:rPr>
        <w:t>到</w:t>
      </w:r>
      <w:r>
        <w:rPr>
          <w:rFonts w:hint="eastAsia" w:ascii="宋体" w:hAnsi="宋体"/>
          <w:sz w:val="22"/>
          <w:szCs w:val="22"/>
        </w:rPr>
        <w:t>25</w:t>
      </w:r>
      <w:r>
        <w:rPr>
          <w:rFonts w:ascii="宋体" w:hAnsi="宋体"/>
          <w:sz w:val="22"/>
          <w:szCs w:val="22"/>
        </w:rPr>
        <w:t>000小时</w:t>
      </w:r>
      <w:r>
        <w:rPr>
          <w:rFonts w:hint="eastAsia" w:ascii="宋体" w:hAnsi="宋体"/>
          <w:sz w:val="22"/>
          <w:szCs w:val="22"/>
        </w:rPr>
        <w:t>的有效选择</w:t>
      </w:r>
      <w:r>
        <w:rPr>
          <w:rFonts w:ascii="宋体" w:hAnsi="宋体"/>
          <w:sz w:val="22"/>
          <w:szCs w:val="22"/>
        </w:rPr>
        <w:t>。</w:t>
      </w:r>
    </w:p>
    <w:p>
      <w:pPr>
        <w:spacing w:line="360" w:lineRule="auto"/>
        <w:ind w:firstLine="440" w:firstLineChars="200"/>
        <w:rPr>
          <w:rFonts w:ascii="宋体" w:hAnsi="宋体"/>
          <w:sz w:val="22"/>
          <w:szCs w:val="22"/>
        </w:rPr>
      </w:pPr>
      <w:r>
        <w:rPr>
          <w:rFonts w:hint="eastAsia" w:ascii="宋体" w:hAnsi="宋体"/>
          <w:sz w:val="22"/>
          <w:szCs w:val="22"/>
        </w:rPr>
        <w:t>4）</w:t>
      </w:r>
      <w:r>
        <w:rPr>
          <w:rFonts w:ascii="宋体" w:hAnsi="宋体"/>
          <w:sz w:val="22"/>
          <w:szCs w:val="22"/>
        </w:rPr>
        <w:t>利用托架空间作为液压油箱，避免油量不足而补入空气，同时消除不安全隐患</w:t>
      </w:r>
      <w:r>
        <w:rPr>
          <w:rFonts w:hint="eastAsia" w:ascii="宋体" w:hAnsi="宋体"/>
          <w:sz w:val="22"/>
          <w:szCs w:val="22"/>
        </w:rPr>
        <w:t>，有利油温散热。</w:t>
      </w:r>
    </w:p>
    <w:p>
      <w:pPr>
        <w:spacing w:line="360" w:lineRule="auto"/>
        <w:ind w:firstLine="440" w:firstLineChars="200"/>
        <w:rPr>
          <w:rFonts w:hint="eastAsia" w:ascii="宋体" w:hAnsi="宋体"/>
          <w:sz w:val="22"/>
          <w:szCs w:val="22"/>
        </w:rPr>
      </w:pPr>
      <w:r>
        <w:rPr>
          <w:rFonts w:hint="eastAsia" w:ascii="宋体" w:hAnsi="宋体"/>
          <w:sz w:val="22"/>
          <w:szCs w:val="22"/>
        </w:rPr>
        <w:t>5）选型</w:t>
      </w:r>
      <w:r>
        <w:rPr>
          <w:rFonts w:ascii="宋体" w:hAnsi="宋体"/>
          <w:sz w:val="22"/>
          <w:szCs w:val="22"/>
        </w:rPr>
        <w:t>泵的</w:t>
      </w:r>
      <w:r>
        <w:rPr>
          <w:rFonts w:hint="eastAsia" w:ascii="宋体" w:hAnsi="宋体"/>
          <w:sz w:val="22"/>
          <w:szCs w:val="22"/>
        </w:rPr>
        <w:t>柱</w:t>
      </w:r>
      <w:r>
        <w:rPr>
          <w:rFonts w:ascii="宋体" w:hAnsi="宋体"/>
          <w:sz w:val="22"/>
          <w:szCs w:val="22"/>
        </w:rPr>
        <w:t>塞密封采用</w:t>
      </w:r>
      <w:r>
        <w:rPr>
          <w:rFonts w:hint="eastAsia" w:ascii="宋体" w:hAnsi="宋体"/>
          <w:b/>
          <w:color w:val="0000FF"/>
          <w:sz w:val="22"/>
          <w:szCs w:val="22"/>
        </w:rPr>
        <w:t>车氏密封</w:t>
      </w:r>
      <w:r>
        <w:rPr>
          <w:rFonts w:hint="eastAsia" w:ascii="宋体" w:hAnsi="宋体"/>
          <w:sz w:val="22"/>
          <w:szCs w:val="22"/>
        </w:rPr>
        <w:t>技术，该技术是高科技专利产品，其采用结构新颖独特的填充聚四氟乙烯（PTFE</w:t>
      </w:r>
      <w:r>
        <w:rPr>
          <w:rFonts w:ascii="宋体" w:hAnsi="宋体"/>
          <w:sz w:val="22"/>
          <w:szCs w:val="22"/>
        </w:rPr>
        <w:t>）</w:t>
      </w:r>
      <w:r>
        <w:rPr>
          <w:rFonts w:hint="eastAsia" w:ascii="宋体" w:hAnsi="宋体"/>
          <w:sz w:val="22"/>
          <w:szCs w:val="22"/>
        </w:rPr>
        <w:t>密封滑环与“O</w:t>
      </w:r>
      <w:r>
        <w:rPr>
          <w:rFonts w:ascii="宋体" w:hAnsi="宋体"/>
          <w:sz w:val="22"/>
          <w:szCs w:val="22"/>
        </w:rPr>
        <w:t>”</w:t>
      </w:r>
      <w:r>
        <w:rPr>
          <w:rFonts w:hint="eastAsia" w:ascii="宋体" w:hAnsi="宋体"/>
          <w:sz w:val="22"/>
          <w:szCs w:val="22"/>
        </w:rPr>
        <w:t>形橡胶圈组合，充分发挥材料和结构的优点，具有高寿命、低摩擦、无泄漏、耐超高压、密封面自动弹性补偿等特点，并具有良好的自润滑性能，可作无油润滑密封。该密封</w:t>
      </w:r>
      <w:r>
        <w:rPr>
          <w:rFonts w:ascii="宋体" w:hAnsi="宋体"/>
          <w:sz w:val="22"/>
          <w:szCs w:val="22"/>
        </w:rPr>
        <w:t>替代了传统采用柱塞填料密封，由易损件改成常规件，使用寿命可达3年以上，避免更换填料，确保整机因密封而影响运行时间；</w:t>
      </w:r>
    </w:p>
    <w:p>
      <w:pPr>
        <w:spacing w:line="360" w:lineRule="auto"/>
        <w:ind w:firstLine="440" w:firstLineChars="200"/>
        <w:rPr>
          <w:rFonts w:hint="eastAsia" w:ascii="宋体" w:hAnsi="宋体"/>
          <w:sz w:val="22"/>
          <w:szCs w:val="22"/>
        </w:rPr>
      </w:pPr>
      <w:r>
        <w:rPr>
          <w:rFonts w:hint="eastAsia" w:ascii="宋体" w:hAnsi="宋体"/>
          <w:sz w:val="22"/>
          <w:szCs w:val="22"/>
        </w:rPr>
        <w:t>6）选型泵的</w:t>
      </w:r>
      <w:r>
        <w:rPr>
          <w:rFonts w:hint="eastAsia" w:ascii="宋体" w:hAnsi="宋体"/>
          <w:b/>
          <w:color w:val="0000FF"/>
          <w:sz w:val="22"/>
          <w:szCs w:val="22"/>
        </w:rPr>
        <w:t>柱塞</w:t>
      </w:r>
      <w:r>
        <w:rPr>
          <w:rFonts w:hint="eastAsia" w:ascii="宋体" w:hAnsi="宋体"/>
          <w:sz w:val="22"/>
          <w:szCs w:val="22"/>
        </w:rPr>
        <w:t>表面采用喷涂</w:t>
      </w:r>
      <w:r>
        <w:rPr>
          <w:rFonts w:hint="eastAsia" w:ascii="宋体" w:hAnsi="宋体"/>
          <w:b/>
          <w:color w:val="0000FF"/>
          <w:sz w:val="22"/>
          <w:szCs w:val="22"/>
        </w:rPr>
        <w:t>陶瓷</w:t>
      </w:r>
      <w:r>
        <w:rPr>
          <w:rFonts w:hint="eastAsia" w:ascii="宋体" w:hAnsi="宋体"/>
          <w:sz w:val="22"/>
          <w:szCs w:val="22"/>
        </w:rPr>
        <w:t>，提高了柱塞表面硬度，改善了因柱塞存在磨损影响漏液问题，保证了柱塞密封寿命。</w:t>
      </w:r>
    </w:p>
    <w:p>
      <w:pPr>
        <w:autoSpaceDE w:val="0"/>
        <w:autoSpaceDN w:val="0"/>
        <w:adjustRightInd w:val="0"/>
        <w:spacing w:line="360" w:lineRule="auto"/>
        <w:ind w:firstLine="440" w:firstLineChars="200"/>
        <w:rPr>
          <w:rFonts w:hint="eastAsia" w:ascii="宋体" w:hAnsi="宋体"/>
          <w:sz w:val="22"/>
          <w:szCs w:val="22"/>
          <w:lang w:val="zh-CN"/>
        </w:rPr>
      </w:pPr>
      <w:r>
        <w:rPr>
          <w:rFonts w:hint="eastAsia" w:ascii="宋体" w:hAnsi="宋体"/>
          <w:sz w:val="22"/>
          <w:szCs w:val="22"/>
        </w:rPr>
        <w:t>7）泵的进出口阀球采用ZrO</w:t>
      </w:r>
      <w:r>
        <w:rPr>
          <w:rFonts w:hint="eastAsia" w:ascii="宋体" w:hAnsi="宋体"/>
          <w:sz w:val="22"/>
          <w:szCs w:val="22"/>
          <w:vertAlign w:val="subscript"/>
        </w:rPr>
        <w:t>2</w:t>
      </w:r>
      <w:r>
        <w:rPr>
          <w:rFonts w:hint="eastAsia" w:ascii="宋体" w:hAnsi="宋体"/>
          <w:sz w:val="22"/>
          <w:szCs w:val="22"/>
        </w:rPr>
        <w:t>陶瓷球，陶瓷硬度高；</w:t>
      </w:r>
      <w:r>
        <w:rPr>
          <w:rFonts w:hint="eastAsia" w:ascii="宋体" w:hAnsi="宋体"/>
          <w:sz w:val="22"/>
          <w:szCs w:val="22"/>
          <w:lang w:val="zh-CN"/>
        </w:rPr>
        <w:t>阀座的密封线出进行特殊工艺处理，提高工作寿命；</w:t>
      </w:r>
    </w:p>
    <w:p>
      <w:pPr>
        <w:spacing w:line="360" w:lineRule="auto"/>
        <w:ind w:firstLine="440" w:firstLineChars="200"/>
        <w:rPr>
          <w:rFonts w:ascii="宋体" w:hAnsi="宋体"/>
          <w:sz w:val="22"/>
          <w:szCs w:val="22"/>
        </w:rPr>
      </w:pPr>
      <w:r>
        <w:rPr>
          <w:rFonts w:hint="eastAsia" w:ascii="宋体" w:hAnsi="宋体"/>
          <w:sz w:val="22"/>
          <w:szCs w:val="22"/>
        </w:rPr>
        <w:t>8）</w:t>
      </w:r>
      <w:r>
        <w:rPr>
          <w:rFonts w:ascii="宋体" w:hAnsi="宋体"/>
          <w:sz w:val="22"/>
          <w:szCs w:val="22"/>
        </w:rPr>
        <w:t>泵的流量可在0-100%范围内实现调节，在</w:t>
      </w:r>
      <w:r>
        <w:rPr>
          <w:rFonts w:hint="eastAsia" w:ascii="宋体" w:hAnsi="宋体"/>
          <w:sz w:val="22"/>
          <w:szCs w:val="22"/>
        </w:rPr>
        <w:t>3</w:t>
      </w:r>
      <w:r>
        <w:rPr>
          <w:rFonts w:ascii="宋体" w:hAnsi="宋体"/>
          <w:sz w:val="22"/>
          <w:szCs w:val="22"/>
        </w:rPr>
        <w:t>0%-100%的范围内计量泵的流量稳定性精度为1%。</w:t>
      </w:r>
    </w:p>
    <w:p>
      <w:pPr>
        <w:autoSpaceDE w:val="0"/>
        <w:autoSpaceDN w:val="0"/>
        <w:adjustRightInd w:val="0"/>
        <w:spacing w:line="360" w:lineRule="auto"/>
        <w:ind w:firstLine="442" w:firstLineChars="200"/>
        <w:jc w:val="left"/>
        <w:rPr>
          <w:rFonts w:hint="eastAsia" w:ascii="宋体" w:hAnsi="宋体" w:cs="宋体"/>
          <w:b/>
          <w:color w:val="0000FF"/>
          <w:kern w:val="0"/>
          <w:sz w:val="22"/>
          <w:szCs w:val="22"/>
        </w:rPr>
      </w:pPr>
      <w:r>
        <w:rPr>
          <w:rFonts w:hint="eastAsia" w:ascii="宋体" w:hAnsi="宋体" w:cs="宋体"/>
          <w:b/>
          <w:color w:val="0000FF"/>
          <w:kern w:val="0"/>
          <w:sz w:val="22"/>
          <w:szCs w:val="22"/>
        </w:rPr>
        <w:t>内循环液压回路系统液力端的工作原理</w:t>
      </w:r>
    </w:p>
    <w:p>
      <w:pPr>
        <w:autoSpaceDE w:val="0"/>
        <w:autoSpaceDN w:val="0"/>
        <w:adjustRightInd w:val="0"/>
        <w:spacing w:line="360" w:lineRule="auto"/>
        <w:ind w:firstLine="440" w:firstLineChars="200"/>
        <w:jc w:val="left"/>
        <w:rPr>
          <w:rFonts w:hint="eastAsia" w:ascii="宋体" w:hAnsi="宋体" w:cs="宋体"/>
          <w:kern w:val="0"/>
          <w:sz w:val="22"/>
          <w:szCs w:val="22"/>
        </w:rPr>
      </w:pPr>
      <w:r>
        <w:rPr>
          <w:rFonts w:hint="eastAsia" w:ascii="宋体" w:hAnsi="宋体" w:cs="宋体"/>
          <w:kern w:val="0"/>
          <w:sz w:val="22"/>
          <w:szCs w:val="22"/>
        </w:rPr>
        <w:t>当柱塞处于吸人行程时，膜腔和油道内的油，通过内吸阀进入液压腔，膜腔内压力下降，隔膜反向挠曲位移返回，与此同时，介质也就随着隔膜的挠曲位移而进入介质腔；当隔膜贴合缸体平面时，此时如果柱塞仍处吸入行程，液压腔内就会出现真空状态，这说明柱塞行程容积内的液压油量不足，当液压腔内达到</w:t>
      </w:r>
      <w:r>
        <w:rPr>
          <w:rFonts w:ascii="宋体" w:hAnsi="宋体" w:cs="宋体"/>
          <w:kern w:val="0"/>
          <w:sz w:val="22"/>
          <w:szCs w:val="22"/>
        </w:rPr>
        <w:t>80</w:t>
      </w:r>
      <w:r>
        <w:rPr>
          <w:rFonts w:hint="eastAsia" w:ascii="宋体" w:hAnsi="宋体" w:cs="宋体"/>
          <w:kern w:val="0"/>
          <w:sz w:val="22"/>
          <w:szCs w:val="22"/>
        </w:rPr>
        <w:t>％</w:t>
      </w:r>
      <w:r>
        <w:rPr>
          <w:rFonts w:ascii="宋体" w:hAnsi="宋体" w:cs="宋体"/>
          <w:kern w:val="0"/>
          <w:sz w:val="22"/>
          <w:szCs w:val="22"/>
        </w:rPr>
        <w:t xml:space="preserve"> </w:t>
      </w:r>
      <w:r>
        <w:rPr>
          <w:rFonts w:hint="eastAsia" w:ascii="宋体" w:hAnsi="宋体" w:cs="宋体"/>
          <w:kern w:val="0"/>
          <w:sz w:val="22"/>
          <w:szCs w:val="22"/>
        </w:rPr>
        <w:t>的真空度时，补油阀就及时开启补充，以保证液压腔的充满度。当柱塞由吸入行程转换成排出行程的一瞬间，液压腔内形成压力，液压油通过内排阀排出进入膜腔，膜腔内压力升高，放气阀瞬时开启，将集聚在放气阀入口处的气液混合物的部分排出，并随即关闭。柱塞继续前行，液压油推动隔膜产生挠曲位移，与此同时，介质腔的压力也随着上升。当介质腔内的压力超过流程管路压力时，出口阀开启，介质进入工艺流程。液压式微量泵的液压系统，就是这样通过液压油的交替循环，介质就能源源不断地精确输送至工艺流程系统中。</w:t>
      </w:r>
    </w:p>
    <w:p>
      <w:pPr>
        <w:spacing w:line="360" w:lineRule="auto"/>
        <w:ind w:firstLine="440" w:firstLineChars="200"/>
        <w:rPr>
          <w:rFonts w:hint="eastAsia" w:ascii="宋体" w:hAnsi="宋体"/>
          <w:sz w:val="22"/>
          <w:szCs w:val="22"/>
        </w:rPr>
      </w:pPr>
      <w:r>
        <w:rPr>
          <w:rFonts w:hint="eastAsia" w:ascii="宋体" w:hAnsi="宋体"/>
          <w:sz w:val="22"/>
          <w:szCs w:val="22"/>
        </w:rPr>
        <w:t>（内循环液压回路系统液力端结构见下图）</w:t>
      </w:r>
    </w:p>
    <w:p>
      <w:pPr>
        <w:spacing w:line="480" w:lineRule="auto"/>
        <w:rPr>
          <w:rFonts w:hint="eastAsia" w:ascii="宋体" w:hAnsi="宋体"/>
          <w:b/>
          <w:sz w:val="28"/>
          <w:szCs w:val="28"/>
        </w:rPr>
      </w:pPr>
      <w:r>
        <w:pict>
          <v:shape id="Object 3" o:spid="_x0000_s1027" o:spt="75" type="#_x0000_t75" style="position:absolute;left:0pt;margin-left:203.05pt;margin-top:1.95pt;height:191.1pt;width:243.55pt;z-index:-251657216;mso-width-relative:page;mso-height-relative:page;" o:ole="t" filled="f" o:preferrelative="t" stroked="f" coordsize="21600,21600">
            <v:path/>
            <v:fill on="f" focussize="0,0"/>
            <v:stroke on="f" joinstyle="miter"/>
            <v:imagedata r:id="rId8" cropleft="15362f" croptop="11348f" cropright="34643f" cropbottom="25200f" o:title=""/>
            <o:lock v:ext="edit" aspectratio="t"/>
          </v:shape>
          <o:OLEObject Type="Embed" ProgID="AutoCAD.Drawing.17" ShapeID="Object 3" DrawAspect="Content" ObjectID="_1468075725" r:id="rId7">
            <o:LockedField>false</o:LockedField>
          </o:OLEObject>
        </w:pict>
      </w:r>
      <w:r>
        <w:rPr>
          <w:rFonts w:ascii="宋体" w:hAnsi="宋体"/>
          <w:sz w:val="18"/>
          <w:szCs w:val="18"/>
        </w:rPr>
        <w:pict>
          <v:shape id="_x0000_i1025" o:spt="75" type="#_x0000_t75" style="height:190.4pt;width:243.2pt;" filled="f" o:preferrelative="t" stroked="f" coordsize="21600,21600">
            <v:path/>
            <v:fill on="f" focussize="0,0"/>
            <v:stroke on="f" joinstyle="miter"/>
            <v:imagedata r:id="rId8" cropleft="15362f" croptop="11348f" cropright="34643f" cropbottom="25200f" o:title=""/>
            <o:lock v:ext="edit" aspectratio="t"/>
            <w10:wrap type="none"/>
            <w10:anchorlock/>
          </v:shape>
        </w:pict>
      </w:r>
    </w:p>
    <w:p>
      <w:pPr>
        <w:spacing w:line="480" w:lineRule="auto"/>
        <w:rPr>
          <w:rFonts w:hint="eastAsia" w:ascii="宋体" w:hAnsi="宋体"/>
          <w:b/>
          <w:sz w:val="28"/>
          <w:szCs w:val="28"/>
        </w:rPr>
      </w:pPr>
    </w:p>
    <w:p>
      <w:pPr>
        <w:spacing w:line="480" w:lineRule="auto"/>
        <w:rPr>
          <w:rFonts w:hint="eastAsia" w:ascii="宋体" w:hAnsi="宋体"/>
          <w:b/>
          <w:sz w:val="24"/>
        </w:rPr>
      </w:pPr>
      <w:r>
        <w:rPr>
          <w:rFonts w:hint="eastAsia" w:ascii="宋体" w:hAnsi="宋体"/>
          <w:b/>
          <w:sz w:val="24"/>
        </w:rPr>
        <w:t>7.3 隔膜计量泵双隔膜破裂报警原理说明：</w:t>
      </w:r>
    </w:p>
    <w:p>
      <w:pPr>
        <w:spacing w:line="360" w:lineRule="auto"/>
        <w:rPr>
          <w:rFonts w:hint="eastAsia" w:ascii="宋体" w:hAnsi="宋体"/>
          <w:sz w:val="22"/>
          <w:szCs w:val="22"/>
        </w:rPr>
      </w:pPr>
      <w:r>
        <w:rPr>
          <w:rFonts w:hint="eastAsia" w:ascii="宋体" w:hAnsi="宋体"/>
          <w:b/>
          <w:bCs/>
          <w:szCs w:val="21"/>
        </w:rPr>
        <w:t xml:space="preserve">  </w:t>
      </w:r>
      <w:r>
        <w:rPr>
          <w:rFonts w:hint="eastAsia" w:ascii="宋体" w:hAnsi="宋体"/>
          <w:b/>
          <w:szCs w:val="21"/>
        </w:rPr>
        <w:t xml:space="preserve">  </w:t>
      </w:r>
      <w:r>
        <w:rPr>
          <w:rFonts w:hint="eastAsia" w:ascii="宋体" w:hAnsi="宋体"/>
          <w:sz w:val="22"/>
          <w:szCs w:val="22"/>
        </w:rPr>
        <w:t>微流量双金属隔膜带隔膜破裂报警的液压计量泵，其隔膜破裂报警原理与常规双隔膜泵一样，主要由警源（计量泵膜腔内双层隔膜包着取压环组成的机件），压力传感器（压力信号转换成电信号）两部分组成。工作原理：警源的双隔膜片间经工作自行真空，紧紧贴在一起，如单隔膜在活塞的往复运动作用下作挠曲往复位移，如有任何一张隔膜破裂，双隔膜间的真空立即被破坏，在活塞进入行程时，液体介质进入警源，当活塞进入排出行程时，液体介质被推入压力传感器，压力传感器内置的常开触点被触发，从而导通装置控制部分内的报警器， 4S内发出报警。通过电控程序，切换备用泵。</w:t>
      </w:r>
    </w:p>
    <w:p>
      <w:pPr>
        <w:spacing w:line="360" w:lineRule="auto"/>
        <w:rPr>
          <w:rFonts w:hint="eastAsia" w:ascii="宋体" w:hAnsi="宋体"/>
          <w:sz w:val="22"/>
          <w:szCs w:val="22"/>
        </w:rPr>
      </w:pPr>
      <w:r>
        <w:rPr>
          <w:rFonts w:hint="eastAsia" w:ascii="宋体" w:hAnsi="宋体"/>
          <w:b/>
          <w:sz w:val="22"/>
          <w:szCs w:val="22"/>
        </w:rPr>
        <w:t xml:space="preserve">    </w:t>
      </w:r>
      <w:r>
        <w:rPr>
          <w:rFonts w:hint="eastAsia" w:ascii="宋体" w:hAnsi="宋体"/>
          <w:sz w:val="22"/>
          <w:szCs w:val="22"/>
        </w:rPr>
        <w:t>但是，由于微流量泵柱塞单次容积变化量小，隔膜挠曲变形小，采用双层隔膜必然使隔膜运行的总厚度增加，如果采用常规的PTFE材料隔膜，在调节流量上，为实现流量微量化，PTFE隔膜变形反应不敏感，甚至极易产生不会变形的可能，影响流量变化和容积效率低下的现象。为此我公司专门研究开发了一种经多次轧制和固熔处理的具有较低的弹性模量和高弹性的隔膜材料——</w:t>
      </w:r>
      <w:r>
        <w:rPr>
          <w:rFonts w:hint="eastAsia" w:ascii="宋体" w:hAnsi="宋体"/>
          <w:sz w:val="22"/>
          <w:szCs w:val="22"/>
          <w:lang w:val="el-GR"/>
        </w:rPr>
        <w:t>β</w:t>
      </w:r>
      <w:r>
        <w:rPr>
          <w:rFonts w:hint="eastAsia" w:ascii="宋体" w:hAnsi="宋体"/>
          <w:sz w:val="22"/>
          <w:szCs w:val="22"/>
        </w:rPr>
        <w:t>钛合金薄板，这种材料不但具有良好的耐腐蚀性能，同时当做隔膜又不会产生塑性变形，在脉动循环的交变载荷作用下保持持久的弹性极限，总之在实现流量微量化中，金属隔膜远比PTFE隔膜在微量挠曲变形中反映敏感和迅速，是当作微量隔膜泵膜片的理想选择，也是保证微流量双隔膜泵具有较高的容积效率和计量精度的理想选择。</w:t>
      </w:r>
    </w:p>
    <w:p>
      <w:pPr>
        <w:spacing w:line="360" w:lineRule="auto"/>
        <w:rPr>
          <w:rFonts w:hint="eastAsia" w:ascii="宋体" w:hAnsi="宋体"/>
          <w:sz w:val="22"/>
          <w:szCs w:val="22"/>
        </w:rPr>
      </w:pPr>
      <w:r>
        <w:rPr>
          <w:rFonts w:hint="eastAsia" w:ascii="宋体" w:hAnsi="宋体"/>
          <w:b/>
          <w:bCs/>
          <w:sz w:val="22"/>
          <w:szCs w:val="22"/>
        </w:rPr>
        <w:t xml:space="preserve">  </w:t>
      </w:r>
      <w:r>
        <w:rPr>
          <w:rFonts w:hint="eastAsia" w:ascii="宋体" w:hAnsi="宋体"/>
          <w:b/>
          <w:sz w:val="22"/>
          <w:szCs w:val="22"/>
        </w:rPr>
        <w:t xml:space="preserve">  </w:t>
      </w:r>
      <w:r>
        <w:rPr>
          <w:rFonts w:hint="eastAsia" w:ascii="宋体" w:hAnsi="宋体"/>
          <w:sz w:val="22"/>
          <w:szCs w:val="22"/>
        </w:rPr>
        <w:t>另外，为了提高双金属隔膜微量挠曲变形的敏感性，警源用的双层金属隔膜及取压环不能选择太厚，本项目泵的隔膜、取压环的厚度比较适宜选用0.1-0.12mm厚即可。为了改变传统环状的双隔膜泵取压环对金属隔膜挠曲过程受内环应力集中的影响，易致隔膜破裂问题</w:t>
      </w:r>
      <w:r>
        <w:rPr>
          <w:rFonts w:hint="eastAsia" w:ascii="宋体" w:hAnsi="宋体"/>
          <w:bCs/>
          <w:sz w:val="22"/>
          <w:szCs w:val="22"/>
        </w:rPr>
        <w:t>，双金属隔膜泵的</w:t>
      </w:r>
      <w:r>
        <w:rPr>
          <w:rFonts w:hint="eastAsia" w:ascii="宋体" w:hAnsi="宋体"/>
          <w:sz w:val="22"/>
          <w:szCs w:val="22"/>
        </w:rPr>
        <w:t>取压环需要做成双曲线缝隙的取压片（见图）。</w:t>
      </w:r>
    </w:p>
    <w:p>
      <w:pPr>
        <w:spacing w:line="360" w:lineRule="auto"/>
        <w:ind w:firstLine="440" w:firstLineChars="200"/>
        <w:rPr>
          <w:rFonts w:hint="eastAsia" w:ascii="宋体" w:hAnsi="宋体"/>
          <w:bCs/>
          <w:sz w:val="22"/>
          <w:szCs w:val="22"/>
        </w:rPr>
      </w:pPr>
      <w:r>
        <w:rPr>
          <w:rFonts w:hint="eastAsia" w:ascii="宋体" w:hAnsi="宋体"/>
          <w:sz w:val="22"/>
          <w:szCs w:val="22"/>
        </w:rPr>
        <w:t>微量隔膜泵采用双金属膜片设计，保障介质的投加安全，并在泵头上设计压敏传感器，可对两</w:t>
      </w:r>
      <w:r>
        <w:rPr>
          <w:rFonts w:ascii="Britannic Bold" w:hAnsi="Britannic Bold" w:eastAsia="新宋体"/>
          <w:szCs w:val="21"/>
        </w:rPr>
        <w:drawing>
          <wp:anchor distT="0" distB="0" distL="114300" distR="114300" simplePos="0" relativeHeight="251660288" behindDoc="1" locked="0" layoutInCell="1" allowOverlap="1">
            <wp:simplePos x="0" y="0"/>
            <wp:positionH relativeFrom="column">
              <wp:posOffset>2153285</wp:posOffset>
            </wp:positionH>
            <wp:positionV relativeFrom="paragraph">
              <wp:posOffset>778510</wp:posOffset>
            </wp:positionV>
            <wp:extent cx="3328035" cy="1975485"/>
            <wp:effectExtent l="19050" t="0" r="5715" b="0"/>
            <wp:wrapNone/>
            <wp:docPr id="3"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图片1"/>
                    <pic:cNvPicPr>
                      <a:picLocks noChangeAspect="1" noChangeArrowheads="1"/>
                    </pic:cNvPicPr>
                  </pic:nvPicPr>
                  <pic:blipFill>
                    <a:blip r:embed="rId9" cstate="print"/>
                    <a:srcRect/>
                    <a:stretch>
                      <a:fillRect/>
                    </a:stretch>
                  </pic:blipFill>
                  <pic:spPr>
                    <a:xfrm>
                      <a:off x="0" y="0"/>
                      <a:ext cx="3328035" cy="1975485"/>
                    </a:xfrm>
                    <a:prstGeom prst="rect">
                      <a:avLst/>
                    </a:prstGeom>
                    <a:noFill/>
                    <a:ln w="9525">
                      <a:noFill/>
                      <a:miter lim="800000"/>
                      <a:headEnd/>
                      <a:tailEnd/>
                    </a:ln>
                    <a:effectLst/>
                  </pic:spPr>
                </pic:pic>
              </a:graphicData>
            </a:graphic>
          </wp:anchor>
        </w:drawing>
      </w:r>
      <w:r>
        <w:rPr>
          <w:rFonts w:hint="eastAsia" w:ascii="宋体" w:hAnsi="宋体"/>
          <w:sz w:val="22"/>
          <w:szCs w:val="22"/>
        </w:rPr>
        <w:t>片隔膜中任一隔膜的损坏时进行报警，一片破裂了另一片仍能短期继续工作，在隔膜片破裂时，保证系统运行的密封，防止输送的液体与液压油相混合，以及空气进入系统及计量液体的流失，提高了运行的可靠性。</w:t>
      </w:r>
    </w:p>
    <w:p>
      <w:pPr>
        <w:jc w:val="left"/>
        <w:rPr>
          <w:rFonts w:ascii="宋体" w:hAnsi="宋体"/>
          <w:szCs w:val="21"/>
        </w:rPr>
      </w:pPr>
      <w:r>
        <w:rPr>
          <w:rFonts w:ascii="宋体" w:hAnsi="宋体"/>
          <w:szCs w:val="21"/>
        </w:rPr>
        <w:drawing>
          <wp:inline distT="0" distB="0" distL="0" distR="0">
            <wp:extent cx="1615440" cy="1571625"/>
            <wp:effectExtent l="19050" t="0" r="3810" b="0"/>
            <wp:docPr id="2" name="图片 7" descr="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88"/>
                    <pic:cNvPicPr>
                      <a:picLocks noChangeAspect="1" noChangeArrowheads="1"/>
                    </pic:cNvPicPr>
                  </pic:nvPicPr>
                  <pic:blipFill>
                    <a:blip r:embed="rId10" cstate="print"/>
                    <a:srcRect l="3021" t="4604" r="21169" b="5431"/>
                    <a:stretch>
                      <a:fillRect/>
                    </a:stretch>
                  </pic:blipFill>
                  <pic:spPr>
                    <a:xfrm>
                      <a:off x="0" y="0"/>
                      <a:ext cx="1615440" cy="1571625"/>
                    </a:xfrm>
                    <a:prstGeom prst="rect">
                      <a:avLst/>
                    </a:prstGeom>
                    <a:noFill/>
                    <a:ln w="9525">
                      <a:noFill/>
                      <a:miter lim="800000"/>
                      <a:headEnd/>
                      <a:tailEnd/>
                    </a:ln>
                    <a:effectLst/>
                  </pic:spPr>
                </pic:pic>
              </a:graphicData>
            </a:graphic>
          </wp:inline>
        </w:drawing>
      </w:r>
    </w:p>
    <w:p>
      <w:pPr>
        <w:ind w:firstLine="210" w:firstLineChars="100"/>
        <w:jc w:val="left"/>
        <w:rPr>
          <w:rFonts w:hint="eastAsia" w:ascii="Britannic Bold" w:hAnsi="Britannic Bold" w:eastAsia="新宋体"/>
          <w:szCs w:val="21"/>
        </w:rPr>
      </w:pPr>
      <w:r>
        <w:rPr>
          <w:rFonts w:hint="eastAsia" w:ascii="Britannic Bold" w:hAnsi="Britannic Bold" w:eastAsia="新宋体"/>
          <w:szCs w:val="21"/>
        </w:rPr>
        <w:t>微量双隔膜泵取压片形状</w:t>
      </w:r>
    </w:p>
    <w:p>
      <w:pPr>
        <w:spacing w:beforeLines="50" w:line="480" w:lineRule="auto"/>
        <w:rPr>
          <w:rFonts w:hint="eastAsia" w:ascii="宋体" w:hAnsi="宋体"/>
          <w:b/>
          <w:sz w:val="28"/>
          <w:szCs w:val="28"/>
        </w:rPr>
      </w:pPr>
      <w:r>
        <w:rPr>
          <w:rFonts w:hint="eastAsia" w:ascii="宋体" w:hAnsi="宋体"/>
          <w:b/>
          <w:sz w:val="28"/>
          <w:szCs w:val="28"/>
        </w:rPr>
        <w:t>8、设备制造</w:t>
      </w:r>
    </w:p>
    <w:p>
      <w:pPr>
        <w:spacing w:line="360" w:lineRule="auto"/>
        <w:rPr>
          <w:rFonts w:hint="eastAsia" w:ascii="宋体" w:hAnsi="宋体"/>
          <w:b/>
          <w:bCs/>
          <w:sz w:val="22"/>
          <w:szCs w:val="22"/>
        </w:rPr>
      </w:pPr>
      <w:r>
        <w:rPr>
          <w:rFonts w:hint="eastAsia" w:ascii="宋体" w:hAnsi="宋体"/>
          <w:b/>
          <w:bCs/>
          <w:sz w:val="22"/>
          <w:szCs w:val="22"/>
        </w:rPr>
        <w:t>8.1 计量泵的主要零部件</w:t>
      </w:r>
      <w:bookmarkStart w:id="4" w:name="OLE_LINK16"/>
      <w:bookmarkStart w:id="5" w:name="OLE_LINK15"/>
      <w:r>
        <w:rPr>
          <w:rFonts w:hint="eastAsia" w:ascii="宋体" w:hAnsi="宋体"/>
          <w:b/>
          <w:bCs/>
          <w:sz w:val="22"/>
          <w:szCs w:val="22"/>
        </w:rPr>
        <w:t>材质、数量</w:t>
      </w:r>
      <w:bookmarkEnd w:id="4"/>
      <w:bookmarkEnd w:id="5"/>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016"/>
        <w:gridCol w:w="3989"/>
        <w:gridCol w:w="1870"/>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42" w:type="pct"/>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ascii="宋体" w:hAnsi="宋体"/>
                <w:sz w:val="22"/>
                <w:szCs w:val="22"/>
              </w:rPr>
            </w:pPr>
            <w:r>
              <w:rPr>
                <w:rFonts w:hint="eastAsia" w:ascii="宋体" w:hAnsi="宋体"/>
                <w:sz w:val="22"/>
                <w:szCs w:val="22"/>
              </w:rPr>
              <w:t>序号</w:t>
            </w:r>
          </w:p>
        </w:tc>
        <w:tc>
          <w:tcPr>
            <w:tcW w:w="1053" w:type="pct"/>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ascii="宋体" w:hAnsi="宋体"/>
                <w:sz w:val="22"/>
                <w:szCs w:val="22"/>
              </w:rPr>
            </w:pPr>
            <w:r>
              <w:rPr>
                <w:rFonts w:hint="eastAsia" w:ascii="宋体" w:hAnsi="宋体"/>
                <w:sz w:val="22"/>
                <w:szCs w:val="22"/>
              </w:rPr>
              <w:t>名称</w:t>
            </w:r>
          </w:p>
        </w:tc>
        <w:tc>
          <w:tcPr>
            <w:tcW w:w="2084" w:type="pct"/>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ascii="宋体" w:hAnsi="宋体"/>
                <w:sz w:val="22"/>
                <w:szCs w:val="22"/>
              </w:rPr>
            </w:pPr>
            <w:r>
              <w:rPr>
                <w:rFonts w:hint="eastAsia" w:ascii="宋体" w:hAnsi="宋体"/>
                <w:sz w:val="22"/>
                <w:szCs w:val="22"/>
              </w:rPr>
              <w:t>材质</w:t>
            </w:r>
          </w:p>
        </w:tc>
        <w:tc>
          <w:tcPr>
            <w:tcW w:w="977" w:type="pct"/>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hint="eastAsia" w:ascii="宋体" w:hAnsi="宋体"/>
                <w:sz w:val="22"/>
                <w:szCs w:val="22"/>
              </w:rPr>
            </w:pPr>
            <w:r>
              <w:rPr>
                <w:rFonts w:hint="eastAsia" w:ascii="宋体" w:hAnsi="宋体"/>
                <w:sz w:val="22"/>
                <w:szCs w:val="22"/>
              </w:rPr>
              <w:t>数量(件/台)</w:t>
            </w:r>
          </w:p>
        </w:tc>
        <w:tc>
          <w:tcPr>
            <w:tcW w:w="442"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 w:val="22"/>
                <w:szCs w:val="22"/>
              </w:rPr>
            </w:pPr>
            <w:r>
              <w:rPr>
                <w:rFonts w:hint="eastAsia" w:ascii="宋体" w:hAnsi="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42" w:type="pct"/>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ascii="宋体" w:hAnsi="宋体"/>
                <w:sz w:val="22"/>
                <w:szCs w:val="22"/>
              </w:rPr>
            </w:pPr>
            <w:r>
              <w:rPr>
                <w:rFonts w:hint="eastAsia" w:ascii="宋体" w:hAnsi="宋体"/>
                <w:sz w:val="22"/>
                <w:szCs w:val="22"/>
              </w:rPr>
              <w:t>1</w:t>
            </w:r>
          </w:p>
        </w:tc>
        <w:tc>
          <w:tcPr>
            <w:tcW w:w="105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20" w:lineRule="exact"/>
              <w:rPr>
                <w:rFonts w:ascii="宋体" w:hAnsi="宋体"/>
                <w:sz w:val="22"/>
                <w:szCs w:val="22"/>
              </w:rPr>
            </w:pPr>
            <w:r>
              <w:rPr>
                <w:rFonts w:hint="eastAsia" w:ascii="宋体" w:hAnsi="宋体"/>
                <w:sz w:val="22"/>
                <w:szCs w:val="22"/>
              </w:rPr>
              <w:t>泵头</w:t>
            </w:r>
          </w:p>
        </w:tc>
        <w:tc>
          <w:tcPr>
            <w:tcW w:w="2084" w:type="pct"/>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宋体" w:hAnsi="宋体"/>
                <w:sz w:val="22"/>
                <w:szCs w:val="22"/>
              </w:rPr>
            </w:pPr>
            <w:r>
              <w:rPr>
                <w:rFonts w:hint="eastAsia" w:ascii="宋体" w:hAnsi="宋体"/>
                <w:sz w:val="22"/>
                <w:szCs w:val="22"/>
              </w:rPr>
              <w:t>304L</w:t>
            </w:r>
          </w:p>
        </w:tc>
        <w:tc>
          <w:tcPr>
            <w:tcW w:w="977" w:type="pct"/>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hint="eastAsia" w:ascii="宋体" w:hAnsi="宋体"/>
                <w:sz w:val="22"/>
                <w:szCs w:val="22"/>
              </w:rPr>
            </w:pPr>
            <w:r>
              <w:rPr>
                <w:rFonts w:hint="eastAsia" w:ascii="宋体" w:hAnsi="宋体"/>
                <w:sz w:val="22"/>
                <w:szCs w:val="22"/>
              </w:rPr>
              <w:t>1</w:t>
            </w:r>
          </w:p>
        </w:tc>
        <w:tc>
          <w:tcPr>
            <w:tcW w:w="442"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42" w:type="pct"/>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ascii="宋体" w:hAnsi="宋体"/>
                <w:sz w:val="22"/>
                <w:szCs w:val="22"/>
              </w:rPr>
            </w:pPr>
            <w:r>
              <w:rPr>
                <w:rFonts w:hint="eastAsia" w:ascii="宋体" w:hAnsi="宋体"/>
                <w:sz w:val="22"/>
                <w:szCs w:val="22"/>
              </w:rPr>
              <w:t>2</w:t>
            </w:r>
          </w:p>
        </w:tc>
        <w:tc>
          <w:tcPr>
            <w:tcW w:w="105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20" w:lineRule="exact"/>
              <w:rPr>
                <w:rFonts w:ascii="宋体" w:hAnsi="宋体"/>
                <w:sz w:val="22"/>
                <w:szCs w:val="22"/>
              </w:rPr>
            </w:pPr>
            <w:r>
              <w:rPr>
                <w:rFonts w:hint="eastAsia" w:ascii="宋体" w:hAnsi="宋体"/>
                <w:sz w:val="22"/>
                <w:szCs w:val="22"/>
              </w:rPr>
              <w:t>阀球</w:t>
            </w:r>
          </w:p>
        </w:tc>
        <w:tc>
          <w:tcPr>
            <w:tcW w:w="2084" w:type="pct"/>
            <w:tcBorders>
              <w:top w:val="single" w:color="auto" w:sz="4" w:space="0"/>
              <w:left w:val="single" w:color="auto" w:sz="4" w:space="0"/>
              <w:bottom w:val="single" w:color="auto" w:sz="4" w:space="0"/>
              <w:right w:val="single" w:color="auto" w:sz="4" w:space="0"/>
            </w:tcBorders>
            <w:noWrap/>
            <w:vAlign w:val="center"/>
          </w:tcPr>
          <w:p>
            <w:pPr>
              <w:spacing w:line="420" w:lineRule="exact"/>
              <w:rPr>
                <w:rFonts w:hint="eastAsia" w:ascii="宋体" w:hAnsi="宋体"/>
                <w:sz w:val="22"/>
                <w:szCs w:val="22"/>
              </w:rPr>
            </w:pPr>
            <w:r>
              <w:rPr>
                <w:rFonts w:hint="eastAsia" w:ascii="宋体" w:hAnsi="宋体"/>
                <w:sz w:val="22"/>
                <w:szCs w:val="22"/>
              </w:rPr>
              <w:t>ZrO2陶瓷</w:t>
            </w:r>
          </w:p>
        </w:tc>
        <w:tc>
          <w:tcPr>
            <w:tcW w:w="977" w:type="pct"/>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hint="eastAsia" w:ascii="宋体" w:hAnsi="宋体"/>
                <w:sz w:val="22"/>
                <w:szCs w:val="22"/>
              </w:rPr>
            </w:pPr>
            <w:r>
              <w:rPr>
                <w:rFonts w:hint="eastAsia" w:ascii="宋体" w:hAnsi="宋体"/>
                <w:sz w:val="22"/>
                <w:szCs w:val="22"/>
              </w:rPr>
              <w:t>4</w:t>
            </w:r>
          </w:p>
        </w:tc>
        <w:tc>
          <w:tcPr>
            <w:tcW w:w="442"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42" w:type="pct"/>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ascii="宋体" w:hAnsi="宋体"/>
                <w:sz w:val="22"/>
                <w:szCs w:val="22"/>
              </w:rPr>
            </w:pPr>
            <w:r>
              <w:rPr>
                <w:rFonts w:hint="eastAsia" w:ascii="宋体" w:hAnsi="宋体"/>
                <w:sz w:val="22"/>
                <w:szCs w:val="22"/>
              </w:rPr>
              <w:t>3</w:t>
            </w:r>
          </w:p>
        </w:tc>
        <w:tc>
          <w:tcPr>
            <w:tcW w:w="105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20" w:lineRule="exact"/>
              <w:rPr>
                <w:rFonts w:ascii="宋体" w:hAnsi="宋体"/>
                <w:sz w:val="22"/>
                <w:szCs w:val="22"/>
              </w:rPr>
            </w:pPr>
            <w:r>
              <w:rPr>
                <w:rFonts w:hint="eastAsia" w:ascii="宋体" w:hAnsi="宋体"/>
                <w:sz w:val="22"/>
                <w:szCs w:val="22"/>
              </w:rPr>
              <w:t>传动箱</w:t>
            </w:r>
          </w:p>
        </w:tc>
        <w:tc>
          <w:tcPr>
            <w:tcW w:w="2084" w:type="pct"/>
            <w:tcBorders>
              <w:top w:val="single" w:color="auto" w:sz="4" w:space="0"/>
              <w:left w:val="single" w:color="auto" w:sz="4" w:space="0"/>
              <w:bottom w:val="single" w:color="auto" w:sz="4" w:space="0"/>
              <w:right w:val="single" w:color="auto" w:sz="4" w:space="0"/>
            </w:tcBorders>
            <w:noWrap/>
            <w:vAlign w:val="center"/>
          </w:tcPr>
          <w:p>
            <w:pPr>
              <w:spacing w:line="420" w:lineRule="exact"/>
              <w:rPr>
                <w:rFonts w:hint="eastAsia" w:ascii="宋体" w:hAnsi="宋体"/>
                <w:sz w:val="22"/>
                <w:szCs w:val="22"/>
              </w:rPr>
            </w:pPr>
            <w:r>
              <w:rPr>
                <w:rFonts w:hint="eastAsia" w:ascii="宋体" w:hAnsi="宋体"/>
                <w:sz w:val="22"/>
                <w:szCs w:val="22"/>
              </w:rPr>
              <w:t>HT250</w:t>
            </w:r>
          </w:p>
        </w:tc>
        <w:tc>
          <w:tcPr>
            <w:tcW w:w="977" w:type="pct"/>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hint="eastAsia" w:ascii="宋体" w:hAnsi="宋体"/>
                <w:sz w:val="22"/>
                <w:szCs w:val="22"/>
              </w:rPr>
            </w:pPr>
            <w:r>
              <w:rPr>
                <w:rFonts w:hint="eastAsia" w:ascii="宋体" w:hAnsi="宋体"/>
                <w:sz w:val="22"/>
                <w:szCs w:val="22"/>
              </w:rPr>
              <w:t>1</w:t>
            </w:r>
          </w:p>
        </w:tc>
        <w:tc>
          <w:tcPr>
            <w:tcW w:w="442"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42" w:type="pct"/>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hint="eastAsia" w:ascii="宋体" w:hAnsi="宋体"/>
                <w:sz w:val="22"/>
                <w:szCs w:val="22"/>
              </w:rPr>
            </w:pPr>
            <w:r>
              <w:rPr>
                <w:rFonts w:hint="eastAsia" w:ascii="宋体" w:hAnsi="宋体"/>
                <w:sz w:val="22"/>
                <w:szCs w:val="22"/>
              </w:rPr>
              <w:t>4</w:t>
            </w:r>
          </w:p>
        </w:tc>
        <w:tc>
          <w:tcPr>
            <w:tcW w:w="105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20" w:lineRule="exact"/>
              <w:rPr>
                <w:rFonts w:hint="eastAsia" w:ascii="宋体" w:hAnsi="宋体"/>
                <w:sz w:val="22"/>
                <w:szCs w:val="22"/>
              </w:rPr>
            </w:pPr>
            <w:r>
              <w:rPr>
                <w:rFonts w:hint="eastAsia" w:ascii="宋体" w:hAnsi="宋体"/>
                <w:sz w:val="22"/>
                <w:szCs w:val="22"/>
              </w:rPr>
              <w:t>偏心轴</w:t>
            </w:r>
          </w:p>
        </w:tc>
        <w:tc>
          <w:tcPr>
            <w:tcW w:w="2084" w:type="pct"/>
            <w:tcBorders>
              <w:top w:val="single" w:color="auto" w:sz="4" w:space="0"/>
              <w:left w:val="single" w:color="auto" w:sz="4" w:space="0"/>
              <w:bottom w:val="single" w:color="auto" w:sz="4" w:space="0"/>
              <w:right w:val="single" w:color="auto" w:sz="4" w:space="0"/>
            </w:tcBorders>
            <w:noWrap/>
            <w:vAlign w:val="center"/>
          </w:tcPr>
          <w:p>
            <w:pPr>
              <w:spacing w:line="420" w:lineRule="exact"/>
              <w:rPr>
                <w:rFonts w:hint="eastAsia" w:ascii="宋体" w:hAnsi="宋体"/>
                <w:sz w:val="22"/>
                <w:szCs w:val="22"/>
              </w:rPr>
            </w:pPr>
            <w:r>
              <w:rPr>
                <w:rFonts w:hint="eastAsia" w:ascii="宋体" w:hAnsi="宋体"/>
                <w:sz w:val="22"/>
                <w:szCs w:val="22"/>
              </w:rPr>
              <w:t>40Cr</w:t>
            </w:r>
          </w:p>
        </w:tc>
        <w:tc>
          <w:tcPr>
            <w:tcW w:w="977" w:type="pct"/>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hint="eastAsia" w:ascii="宋体" w:hAnsi="宋体"/>
                <w:sz w:val="22"/>
                <w:szCs w:val="22"/>
              </w:rPr>
            </w:pPr>
            <w:r>
              <w:rPr>
                <w:rFonts w:hint="eastAsia" w:ascii="宋体" w:hAnsi="宋体"/>
                <w:sz w:val="22"/>
                <w:szCs w:val="22"/>
              </w:rPr>
              <w:t>1</w:t>
            </w:r>
          </w:p>
        </w:tc>
        <w:tc>
          <w:tcPr>
            <w:tcW w:w="442"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42" w:type="pct"/>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hint="eastAsia" w:ascii="宋体" w:hAnsi="宋体"/>
                <w:sz w:val="22"/>
                <w:szCs w:val="22"/>
              </w:rPr>
            </w:pPr>
            <w:r>
              <w:rPr>
                <w:rFonts w:hint="eastAsia" w:ascii="宋体" w:hAnsi="宋体"/>
                <w:sz w:val="22"/>
                <w:szCs w:val="22"/>
              </w:rPr>
              <w:t>5</w:t>
            </w:r>
          </w:p>
        </w:tc>
        <w:tc>
          <w:tcPr>
            <w:tcW w:w="105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20" w:lineRule="exact"/>
              <w:rPr>
                <w:rFonts w:hint="eastAsia" w:ascii="宋体" w:hAnsi="宋体"/>
                <w:sz w:val="22"/>
                <w:szCs w:val="22"/>
              </w:rPr>
            </w:pPr>
            <w:r>
              <w:rPr>
                <w:rFonts w:hint="eastAsia" w:ascii="宋体" w:hAnsi="宋体"/>
                <w:sz w:val="22"/>
                <w:szCs w:val="22"/>
              </w:rPr>
              <w:t>连杆</w:t>
            </w:r>
          </w:p>
        </w:tc>
        <w:tc>
          <w:tcPr>
            <w:tcW w:w="2084" w:type="pct"/>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宋体" w:hAnsi="宋体"/>
                <w:sz w:val="22"/>
                <w:szCs w:val="22"/>
              </w:rPr>
            </w:pPr>
            <w:r>
              <w:rPr>
                <w:rFonts w:hint="eastAsia" w:ascii="宋体" w:hAnsi="宋体"/>
                <w:sz w:val="22"/>
                <w:szCs w:val="22"/>
              </w:rPr>
              <w:t>45</w:t>
            </w:r>
          </w:p>
        </w:tc>
        <w:tc>
          <w:tcPr>
            <w:tcW w:w="977" w:type="pct"/>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hint="eastAsia" w:ascii="宋体" w:hAnsi="宋体"/>
                <w:sz w:val="22"/>
                <w:szCs w:val="22"/>
              </w:rPr>
            </w:pPr>
            <w:r>
              <w:rPr>
                <w:rFonts w:hint="eastAsia" w:ascii="宋体" w:hAnsi="宋体"/>
                <w:sz w:val="22"/>
                <w:szCs w:val="22"/>
              </w:rPr>
              <w:t>1</w:t>
            </w:r>
          </w:p>
        </w:tc>
        <w:tc>
          <w:tcPr>
            <w:tcW w:w="442"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42" w:type="pct"/>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ascii="宋体" w:hAnsi="宋体"/>
                <w:sz w:val="22"/>
                <w:szCs w:val="22"/>
              </w:rPr>
            </w:pPr>
            <w:r>
              <w:rPr>
                <w:rFonts w:hint="eastAsia" w:ascii="宋体" w:hAnsi="宋体"/>
                <w:sz w:val="22"/>
                <w:szCs w:val="22"/>
              </w:rPr>
              <w:t>6</w:t>
            </w:r>
          </w:p>
        </w:tc>
        <w:tc>
          <w:tcPr>
            <w:tcW w:w="105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20" w:lineRule="exact"/>
              <w:rPr>
                <w:rFonts w:hint="eastAsia" w:ascii="宋体" w:hAnsi="宋体"/>
                <w:sz w:val="22"/>
                <w:szCs w:val="22"/>
              </w:rPr>
            </w:pPr>
            <w:r>
              <w:rPr>
                <w:rFonts w:hint="eastAsia" w:ascii="宋体" w:hAnsi="宋体"/>
                <w:sz w:val="22"/>
                <w:szCs w:val="22"/>
              </w:rPr>
              <w:t>进口单向阀组</w:t>
            </w:r>
          </w:p>
        </w:tc>
        <w:tc>
          <w:tcPr>
            <w:tcW w:w="2084" w:type="pct"/>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宋体" w:hAnsi="宋体"/>
                <w:sz w:val="22"/>
                <w:szCs w:val="22"/>
              </w:rPr>
            </w:pPr>
            <w:r>
              <w:rPr>
                <w:rFonts w:hint="eastAsia" w:ascii="宋体" w:hAnsi="宋体"/>
                <w:sz w:val="22"/>
                <w:szCs w:val="22"/>
              </w:rPr>
              <w:t>304L</w:t>
            </w:r>
          </w:p>
        </w:tc>
        <w:tc>
          <w:tcPr>
            <w:tcW w:w="977" w:type="pct"/>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hint="eastAsia" w:ascii="宋体" w:hAnsi="宋体"/>
                <w:sz w:val="22"/>
                <w:szCs w:val="22"/>
              </w:rPr>
            </w:pPr>
            <w:r>
              <w:rPr>
                <w:rFonts w:hint="eastAsia" w:ascii="宋体" w:hAnsi="宋体"/>
                <w:sz w:val="22"/>
                <w:szCs w:val="22"/>
              </w:rPr>
              <w:t>2</w:t>
            </w:r>
          </w:p>
        </w:tc>
        <w:tc>
          <w:tcPr>
            <w:tcW w:w="442"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42" w:type="pct"/>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ascii="宋体" w:hAnsi="宋体"/>
                <w:sz w:val="22"/>
                <w:szCs w:val="22"/>
              </w:rPr>
            </w:pPr>
            <w:r>
              <w:rPr>
                <w:rFonts w:hint="eastAsia" w:ascii="宋体" w:hAnsi="宋体"/>
                <w:sz w:val="22"/>
                <w:szCs w:val="22"/>
              </w:rPr>
              <w:t>7</w:t>
            </w:r>
          </w:p>
        </w:tc>
        <w:tc>
          <w:tcPr>
            <w:tcW w:w="105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20" w:lineRule="exact"/>
              <w:rPr>
                <w:rFonts w:ascii="宋体" w:hAnsi="宋体"/>
                <w:sz w:val="22"/>
                <w:szCs w:val="22"/>
              </w:rPr>
            </w:pPr>
            <w:r>
              <w:rPr>
                <w:rFonts w:hint="eastAsia" w:ascii="宋体" w:hAnsi="宋体"/>
                <w:sz w:val="22"/>
                <w:szCs w:val="22"/>
              </w:rPr>
              <w:t>出口单向阀组</w:t>
            </w:r>
          </w:p>
        </w:tc>
        <w:tc>
          <w:tcPr>
            <w:tcW w:w="2084" w:type="pct"/>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宋体" w:hAnsi="宋体"/>
                <w:sz w:val="22"/>
                <w:szCs w:val="22"/>
              </w:rPr>
            </w:pPr>
            <w:r>
              <w:rPr>
                <w:rFonts w:hint="eastAsia" w:ascii="宋体" w:hAnsi="宋体"/>
                <w:sz w:val="22"/>
                <w:szCs w:val="22"/>
              </w:rPr>
              <w:t>304L</w:t>
            </w:r>
          </w:p>
        </w:tc>
        <w:tc>
          <w:tcPr>
            <w:tcW w:w="977" w:type="pct"/>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hint="eastAsia" w:ascii="宋体" w:hAnsi="宋体"/>
                <w:sz w:val="22"/>
                <w:szCs w:val="22"/>
              </w:rPr>
            </w:pPr>
            <w:r>
              <w:rPr>
                <w:rFonts w:hint="eastAsia" w:ascii="宋体" w:hAnsi="宋体"/>
                <w:sz w:val="22"/>
                <w:szCs w:val="22"/>
              </w:rPr>
              <w:t>2</w:t>
            </w:r>
          </w:p>
        </w:tc>
        <w:tc>
          <w:tcPr>
            <w:tcW w:w="442"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42" w:type="pct"/>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hint="eastAsia" w:ascii="宋体" w:hAnsi="宋体"/>
                <w:sz w:val="22"/>
                <w:szCs w:val="22"/>
              </w:rPr>
            </w:pPr>
            <w:r>
              <w:rPr>
                <w:rFonts w:hint="eastAsia" w:ascii="宋体" w:hAnsi="宋体"/>
                <w:sz w:val="22"/>
                <w:szCs w:val="22"/>
              </w:rPr>
              <w:t>8</w:t>
            </w:r>
          </w:p>
        </w:tc>
        <w:tc>
          <w:tcPr>
            <w:tcW w:w="105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20" w:lineRule="exact"/>
              <w:rPr>
                <w:rFonts w:hint="eastAsia" w:ascii="宋体" w:hAnsi="宋体"/>
                <w:sz w:val="22"/>
                <w:szCs w:val="22"/>
              </w:rPr>
            </w:pPr>
            <w:r>
              <w:rPr>
                <w:rFonts w:hint="eastAsia" w:ascii="宋体" w:hAnsi="宋体"/>
                <w:sz w:val="22"/>
                <w:szCs w:val="22"/>
              </w:rPr>
              <w:t>柱塞</w:t>
            </w:r>
          </w:p>
        </w:tc>
        <w:tc>
          <w:tcPr>
            <w:tcW w:w="2084" w:type="pct"/>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宋体" w:hAnsi="宋体"/>
                <w:sz w:val="22"/>
                <w:szCs w:val="22"/>
              </w:rPr>
            </w:pPr>
            <w:r>
              <w:rPr>
                <w:rFonts w:hint="eastAsia" w:ascii="宋体" w:hAnsi="宋体"/>
                <w:sz w:val="22"/>
                <w:szCs w:val="22"/>
              </w:rPr>
              <w:t>304</w:t>
            </w:r>
          </w:p>
        </w:tc>
        <w:tc>
          <w:tcPr>
            <w:tcW w:w="977" w:type="pct"/>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hint="eastAsia" w:ascii="宋体" w:hAnsi="宋体"/>
                <w:sz w:val="22"/>
                <w:szCs w:val="22"/>
              </w:rPr>
            </w:pPr>
            <w:r>
              <w:rPr>
                <w:rFonts w:hint="eastAsia" w:ascii="宋体" w:hAnsi="宋体"/>
                <w:sz w:val="22"/>
                <w:szCs w:val="22"/>
              </w:rPr>
              <w:t>1</w:t>
            </w:r>
          </w:p>
        </w:tc>
        <w:tc>
          <w:tcPr>
            <w:tcW w:w="442"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42" w:type="pct"/>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hint="eastAsia" w:ascii="宋体" w:hAnsi="宋体"/>
                <w:sz w:val="22"/>
                <w:szCs w:val="22"/>
              </w:rPr>
            </w:pPr>
            <w:r>
              <w:rPr>
                <w:rFonts w:hint="eastAsia" w:ascii="宋体" w:hAnsi="宋体"/>
                <w:sz w:val="22"/>
                <w:szCs w:val="22"/>
              </w:rPr>
              <w:t>9</w:t>
            </w:r>
          </w:p>
        </w:tc>
        <w:tc>
          <w:tcPr>
            <w:tcW w:w="1053" w:type="pc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420" w:lineRule="exact"/>
              <w:rPr>
                <w:rFonts w:hint="eastAsia" w:ascii="宋体" w:hAnsi="宋体"/>
                <w:sz w:val="22"/>
                <w:szCs w:val="22"/>
              </w:rPr>
            </w:pPr>
            <w:r>
              <w:rPr>
                <w:rFonts w:hint="eastAsia" w:ascii="宋体" w:hAnsi="宋体" w:cs="宋体"/>
                <w:kern w:val="0"/>
                <w:sz w:val="22"/>
                <w:szCs w:val="22"/>
              </w:rPr>
              <w:t>柱塞填料</w:t>
            </w:r>
          </w:p>
        </w:tc>
        <w:tc>
          <w:tcPr>
            <w:tcW w:w="2084" w:type="pct"/>
            <w:tcBorders>
              <w:top w:val="single" w:color="auto" w:sz="4" w:space="0"/>
              <w:left w:val="single" w:color="auto" w:sz="4" w:space="0"/>
              <w:bottom w:val="single" w:color="auto" w:sz="4" w:space="0"/>
              <w:right w:val="single" w:color="auto" w:sz="4" w:space="0"/>
            </w:tcBorders>
            <w:noWrap/>
            <w:vAlign w:val="center"/>
          </w:tcPr>
          <w:p>
            <w:pPr>
              <w:spacing w:line="420" w:lineRule="exact"/>
              <w:rPr>
                <w:rFonts w:hint="eastAsia" w:ascii="宋体" w:hAnsi="宋体"/>
                <w:sz w:val="22"/>
                <w:szCs w:val="22"/>
              </w:rPr>
            </w:pPr>
            <w:r>
              <w:rPr>
                <w:rFonts w:hint="eastAsia" w:ascii="宋体" w:hAnsi="宋体"/>
                <w:kern w:val="0"/>
                <w:sz w:val="22"/>
                <w:szCs w:val="22"/>
              </w:rPr>
              <w:t>车氏填料</w:t>
            </w:r>
          </w:p>
        </w:tc>
        <w:tc>
          <w:tcPr>
            <w:tcW w:w="977" w:type="pct"/>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hint="eastAsia" w:ascii="宋体" w:hAnsi="宋体"/>
                <w:sz w:val="22"/>
                <w:szCs w:val="22"/>
              </w:rPr>
            </w:pPr>
            <w:r>
              <w:rPr>
                <w:rFonts w:hint="eastAsia" w:ascii="宋体" w:hAnsi="宋体"/>
                <w:sz w:val="22"/>
                <w:szCs w:val="22"/>
              </w:rPr>
              <w:t>2</w:t>
            </w:r>
          </w:p>
        </w:tc>
        <w:tc>
          <w:tcPr>
            <w:tcW w:w="442" w:type="pct"/>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 w:val="22"/>
                <w:szCs w:val="22"/>
              </w:rPr>
            </w:pPr>
          </w:p>
        </w:tc>
      </w:tr>
    </w:tbl>
    <w:p>
      <w:pPr>
        <w:spacing w:line="480" w:lineRule="auto"/>
        <w:rPr>
          <w:rFonts w:hint="eastAsia" w:ascii="宋体" w:hAnsi="宋体"/>
          <w:b/>
          <w:bCs/>
          <w:sz w:val="22"/>
          <w:szCs w:val="22"/>
        </w:rPr>
      </w:pPr>
      <w:r>
        <w:rPr>
          <w:rFonts w:hint="eastAsia" w:ascii="宋体" w:hAnsi="宋体"/>
          <w:b/>
          <w:bCs/>
          <w:sz w:val="22"/>
          <w:szCs w:val="22"/>
        </w:rPr>
        <w:t>8.2 计量泵的主要分包（或采购）供应商清单</w:t>
      </w:r>
    </w:p>
    <w:tbl>
      <w:tblPr>
        <w:tblStyle w:val="25"/>
        <w:tblW w:w="4997" w:type="pct"/>
        <w:jc w:val="center"/>
        <w:tblLayout w:type="autofit"/>
        <w:tblCellMar>
          <w:top w:w="0" w:type="dxa"/>
          <w:left w:w="108" w:type="dxa"/>
          <w:bottom w:w="0" w:type="dxa"/>
          <w:right w:w="108" w:type="dxa"/>
        </w:tblCellMar>
      </w:tblPr>
      <w:tblGrid>
        <w:gridCol w:w="840"/>
        <w:gridCol w:w="1814"/>
        <w:gridCol w:w="3843"/>
        <w:gridCol w:w="1298"/>
        <w:gridCol w:w="1770"/>
      </w:tblGrid>
      <w:tr>
        <w:tblPrEx>
          <w:tblCellMar>
            <w:top w:w="0" w:type="dxa"/>
            <w:left w:w="108" w:type="dxa"/>
            <w:bottom w:w="0" w:type="dxa"/>
            <w:right w:w="108" w:type="dxa"/>
          </w:tblCellMar>
        </w:tblPrEx>
        <w:trPr>
          <w:trHeight w:val="321" w:hRule="atLeast"/>
          <w:jc w:val="center"/>
        </w:trPr>
        <w:tc>
          <w:tcPr>
            <w:tcW w:w="439" w:type="pct"/>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ascii="宋体" w:hAnsi="宋体"/>
                <w:sz w:val="22"/>
                <w:szCs w:val="22"/>
              </w:rPr>
            </w:pPr>
            <w:r>
              <w:rPr>
                <w:rFonts w:hint="eastAsia" w:ascii="宋体" w:hAnsi="宋体"/>
                <w:sz w:val="22"/>
                <w:szCs w:val="22"/>
              </w:rPr>
              <w:t>序号</w:t>
            </w:r>
          </w:p>
        </w:tc>
        <w:tc>
          <w:tcPr>
            <w:tcW w:w="948" w:type="pct"/>
            <w:tcBorders>
              <w:top w:val="single" w:color="auto" w:sz="4" w:space="0"/>
              <w:left w:val="nil"/>
              <w:bottom w:val="single" w:color="auto" w:sz="4" w:space="0"/>
              <w:right w:val="single" w:color="auto" w:sz="4" w:space="0"/>
            </w:tcBorders>
            <w:noWrap/>
            <w:vAlign w:val="center"/>
          </w:tcPr>
          <w:p>
            <w:pPr>
              <w:spacing w:line="420" w:lineRule="exact"/>
              <w:jc w:val="center"/>
              <w:rPr>
                <w:rFonts w:ascii="宋体" w:hAnsi="宋体"/>
                <w:sz w:val="22"/>
                <w:szCs w:val="22"/>
              </w:rPr>
            </w:pPr>
            <w:r>
              <w:rPr>
                <w:rFonts w:hint="eastAsia" w:ascii="宋体" w:hAnsi="宋体"/>
                <w:sz w:val="22"/>
                <w:szCs w:val="22"/>
              </w:rPr>
              <w:t>部件名称</w:t>
            </w:r>
          </w:p>
        </w:tc>
        <w:tc>
          <w:tcPr>
            <w:tcW w:w="2008" w:type="pct"/>
            <w:tcBorders>
              <w:top w:val="single" w:color="auto" w:sz="4" w:space="0"/>
              <w:left w:val="nil"/>
              <w:bottom w:val="single" w:color="auto" w:sz="4" w:space="0"/>
              <w:right w:val="single" w:color="auto" w:sz="4" w:space="0"/>
            </w:tcBorders>
            <w:noWrap/>
            <w:vAlign w:val="center"/>
          </w:tcPr>
          <w:p>
            <w:pPr>
              <w:spacing w:line="420" w:lineRule="exact"/>
              <w:jc w:val="center"/>
              <w:rPr>
                <w:rFonts w:ascii="宋体" w:hAnsi="宋体"/>
                <w:sz w:val="22"/>
                <w:szCs w:val="22"/>
              </w:rPr>
            </w:pPr>
            <w:r>
              <w:rPr>
                <w:rFonts w:hint="eastAsia" w:ascii="宋体" w:hAnsi="宋体"/>
                <w:sz w:val="22"/>
                <w:szCs w:val="22"/>
              </w:rPr>
              <w:t>供货商</w:t>
            </w:r>
          </w:p>
        </w:tc>
        <w:tc>
          <w:tcPr>
            <w:tcW w:w="678" w:type="pct"/>
            <w:tcBorders>
              <w:top w:val="single" w:color="auto" w:sz="4" w:space="0"/>
              <w:left w:val="nil"/>
              <w:bottom w:val="single" w:color="auto" w:sz="4" w:space="0"/>
              <w:right w:val="single" w:color="auto" w:sz="4" w:space="0"/>
            </w:tcBorders>
            <w:noWrap/>
            <w:vAlign w:val="center"/>
          </w:tcPr>
          <w:p>
            <w:pPr>
              <w:spacing w:line="420" w:lineRule="exact"/>
              <w:jc w:val="center"/>
              <w:rPr>
                <w:rFonts w:ascii="宋体" w:hAnsi="宋体"/>
                <w:sz w:val="22"/>
                <w:szCs w:val="22"/>
              </w:rPr>
            </w:pPr>
            <w:r>
              <w:rPr>
                <w:rFonts w:hint="eastAsia" w:ascii="宋体" w:hAnsi="宋体"/>
                <w:sz w:val="22"/>
                <w:szCs w:val="22"/>
              </w:rPr>
              <w:t>国别</w:t>
            </w:r>
          </w:p>
        </w:tc>
        <w:tc>
          <w:tcPr>
            <w:tcW w:w="925" w:type="pct"/>
            <w:tcBorders>
              <w:top w:val="single" w:color="auto" w:sz="4" w:space="0"/>
              <w:left w:val="nil"/>
              <w:bottom w:val="single" w:color="auto" w:sz="4" w:space="0"/>
              <w:right w:val="single" w:color="auto" w:sz="4" w:space="0"/>
            </w:tcBorders>
            <w:noWrap/>
            <w:vAlign w:val="center"/>
          </w:tcPr>
          <w:p>
            <w:pPr>
              <w:spacing w:line="420" w:lineRule="exact"/>
              <w:jc w:val="center"/>
              <w:rPr>
                <w:rFonts w:ascii="宋体" w:hAnsi="宋体"/>
                <w:sz w:val="22"/>
                <w:szCs w:val="22"/>
              </w:rPr>
            </w:pPr>
            <w:r>
              <w:rPr>
                <w:rFonts w:hint="eastAsia" w:ascii="宋体" w:hAnsi="宋体"/>
                <w:sz w:val="22"/>
                <w:szCs w:val="22"/>
              </w:rPr>
              <w:t>备注</w:t>
            </w:r>
          </w:p>
        </w:tc>
      </w:tr>
      <w:tr>
        <w:tblPrEx>
          <w:tblCellMar>
            <w:top w:w="0" w:type="dxa"/>
            <w:left w:w="108" w:type="dxa"/>
            <w:bottom w:w="0" w:type="dxa"/>
            <w:right w:w="108" w:type="dxa"/>
          </w:tblCellMar>
        </w:tblPrEx>
        <w:trPr>
          <w:trHeight w:val="321" w:hRule="atLeast"/>
          <w:jc w:val="center"/>
        </w:trPr>
        <w:tc>
          <w:tcPr>
            <w:tcW w:w="439" w:type="pct"/>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宋体" w:hAnsi="宋体"/>
                <w:sz w:val="22"/>
                <w:szCs w:val="22"/>
              </w:rPr>
            </w:pPr>
            <w:r>
              <w:rPr>
                <w:rFonts w:hint="eastAsia" w:ascii="宋体" w:hAnsi="宋体"/>
                <w:sz w:val="22"/>
                <w:szCs w:val="22"/>
              </w:rPr>
              <w:t>　1</w:t>
            </w:r>
          </w:p>
        </w:tc>
        <w:tc>
          <w:tcPr>
            <w:tcW w:w="948" w:type="pct"/>
            <w:tcBorders>
              <w:top w:val="single" w:color="auto" w:sz="4" w:space="0"/>
              <w:left w:val="nil"/>
              <w:bottom w:val="single" w:color="auto" w:sz="4" w:space="0"/>
              <w:right w:val="single" w:color="auto" w:sz="4" w:space="0"/>
            </w:tcBorders>
            <w:noWrap/>
            <w:vAlign w:val="center"/>
          </w:tcPr>
          <w:p>
            <w:pPr>
              <w:spacing w:line="420" w:lineRule="exact"/>
              <w:jc w:val="center"/>
              <w:rPr>
                <w:rFonts w:ascii="宋体" w:hAnsi="宋体"/>
                <w:sz w:val="22"/>
                <w:szCs w:val="22"/>
              </w:rPr>
            </w:pPr>
            <w:r>
              <w:rPr>
                <w:rFonts w:hint="eastAsia" w:ascii="宋体" w:hAnsi="宋体"/>
                <w:sz w:val="22"/>
                <w:szCs w:val="22"/>
              </w:rPr>
              <w:t>电机</w:t>
            </w:r>
          </w:p>
        </w:tc>
        <w:tc>
          <w:tcPr>
            <w:tcW w:w="2008" w:type="pct"/>
            <w:tcBorders>
              <w:top w:val="single" w:color="auto" w:sz="4" w:space="0"/>
              <w:left w:val="nil"/>
              <w:bottom w:val="single" w:color="auto" w:sz="4" w:space="0"/>
              <w:right w:val="single" w:color="auto" w:sz="4" w:space="0"/>
            </w:tcBorders>
            <w:noWrap/>
            <w:vAlign w:val="center"/>
          </w:tcPr>
          <w:p>
            <w:pPr>
              <w:spacing w:line="420" w:lineRule="exact"/>
              <w:rPr>
                <w:rFonts w:hint="eastAsia" w:ascii="宋体" w:hAnsi="宋体"/>
                <w:sz w:val="22"/>
                <w:szCs w:val="22"/>
              </w:rPr>
            </w:pPr>
            <w:r>
              <w:rPr>
                <w:rFonts w:hint="eastAsia" w:ascii="宋体" w:hAnsi="宋体"/>
                <w:sz w:val="22"/>
                <w:szCs w:val="22"/>
              </w:rPr>
              <w:t>江苏大中电机股份有限公司</w:t>
            </w:r>
          </w:p>
        </w:tc>
        <w:tc>
          <w:tcPr>
            <w:tcW w:w="678" w:type="pct"/>
            <w:tcBorders>
              <w:top w:val="single" w:color="auto" w:sz="4" w:space="0"/>
              <w:left w:val="nil"/>
              <w:bottom w:val="single" w:color="auto" w:sz="4" w:space="0"/>
              <w:right w:val="single" w:color="auto" w:sz="4" w:space="0"/>
            </w:tcBorders>
            <w:noWrap/>
            <w:vAlign w:val="center"/>
          </w:tcPr>
          <w:p>
            <w:pPr>
              <w:spacing w:line="420" w:lineRule="exact"/>
              <w:jc w:val="center"/>
              <w:rPr>
                <w:rFonts w:ascii="宋体" w:hAnsi="宋体"/>
                <w:sz w:val="22"/>
                <w:szCs w:val="22"/>
              </w:rPr>
            </w:pPr>
            <w:r>
              <w:rPr>
                <w:rFonts w:hint="eastAsia" w:ascii="宋体" w:hAnsi="宋体"/>
                <w:sz w:val="22"/>
                <w:szCs w:val="22"/>
              </w:rPr>
              <w:t>中国</w:t>
            </w:r>
          </w:p>
        </w:tc>
        <w:tc>
          <w:tcPr>
            <w:tcW w:w="925" w:type="pct"/>
            <w:tcBorders>
              <w:top w:val="single" w:color="auto" w:sz="4" w:space="0"/>
              <w:left w:val="nil"/>
              <w:bottom w:val="single" w:color="auto" w:sz="4" w:space="0"/>
              <w:right w:val="single" w:color="auto" w:sz="4" w:space="0"/>
            </w:tcBorders>
            <w:noWrap/>
            <w:vAlign w:val="center"/>
          </w:tcPr>
          <w:p>
            <w:pPr>
              <w:spacing w:line="420" w:lineRule="exact"/>
              <w:rPr>
                <w:rFonts w:ascii="宋体" w:hAnsi="宋体"/>
                <w:sz w:val="22"/>
                <w:szCs w:val="22"/>
              </w:rPr>
            </w:pPr>
            <w:r>
              <w:rPr>
                <w:rFonts w:hint="eastAsia" w:ascii="宋体" w:hAnsi="宋体"/>
                <w:sz w:val="22"/>
                <w:szCs w:val="22"/>
              </w:rPr>
              <w:t>　</w:t>
            </w:r>
          </w:p>
        </w:tc>
      </w:tr>
      <w:tr>
        <w:tblPrEx>
          <w:tblCellMar>
            <w:top w:w="0" w:type="dxa"/>
            <w:left w:w="108" w:type="dxa"/>
            <w:bottom w:w="0" w:type="dxa"/>
            <w:right w:w="108" w:type="dxa"/>
          </w:tblCellMar>
        </w:tblPrEx>
        <w:trPr>
          <w:trHeight w:val="321" w:hRule="atLeast"/>
          <w:jc w:val="center"/>
        </w:trPr>
        <w:tc>
          <w:tcPr>
            <w:tcW w:w="439" w:type="pct"/>
            <w:tcBorders>
              <w:top w:val="single" w:color="auto" w:sz="4" w:space="0"/>
              <w:left w:val="single" w:color="auto" w:sz="4" w:space="0"/>
              <w:bottom w:val="single" w:color="auto" w:sz="4" w:space="0"/>
              <w:right w:val="single" w:color="auto" w:sz="4" w:space="0"/>
            </w:tcBorders>
            <w:noWrap/>
            <w:vAlign w:val="center"/>
          </w:tcPr>
          <w:p>
            <w:pPr>
              <w:spacing w:line="420" w:lineRule="exact"/>
              <w:ind w:firstLine="220" w:firstLineChars="100"/>
              <w:rPr>
                <w:rFonts w:hint="eastAsia" w:ascii="宋体" w:hAnsi="宋体"/>
                <w:sz w:val="22"/>
                <w:szCs w:val="22"/>
              </w:rPr>
            </w:pPr>
            <w:r>
              <w:rPr>
                <w:rFonts w:hint="eastAsia" w:ascii="宋体" w:hAnsi="宋体"/>
                <w:sz w:val="22"/>
                <w:szCs w:val="22"/>
              </w:rPr>
              <w:t>2</w:t>
            </w:r>
          </w:p>
        </w:tc>
        <w:tc>
          <w:tcPr>
            <w:tcW w:w="948" w:type="pct"/>
            <w:tcBorders>
              <w:top w:val="single" w:color="auto" w:sz="4" w:space="0"/>
              <w:left w:val="nil"/>
              <w:bottom w:val="single" w:color="auto" w:sz="4" w:space="0"/>
              <w:right w:val="single" w:color="auto" w:sz="4" w:space="0"/>
            </w:tcBorders>
            <w:noWrap/>
            <w:vAlign w:val="center"/>
          </w:tcPr>
          <w:p>
            <w:pPr>
              <w:spacing w:line="420" w:lineRule="exact"/>
              <w:jc w:val="center"/>
              <w:rPr>
                <w:rFonts w:hint="eastAsia" w:ascii="宋体" w:hAnsi="宋体"/>
                <w:sz w:val="22"/>
                <w:szCs w:val="22"/>
              </w:rPr>
            </w:pPr>
            <w:r>
              <w:rPr>
                <w:rFonts w:hint="eastAsia" w:ascii="宋体" w:hAnsi="宋体"/>
                <w:sz w:val="22"/>
                <w:szCs w:val="22"/>
              </w:rPr>
              <w:t>轴承</w:t>
            </w:r>
          </w:p>
        </w:tc>
        <w:tc>
          <w:tcPr>
            <w:tcW w:w="2008" w:type="pct"/>
            <w:tcBorders>
              <w:top w:val="single" w:color="auto" w:sz="4" w:space="0"/>
              <w:left w:val="nil"/>
              <w:bottom w:val="single" w:color="auto" w:sz="4" w:space="0"/>
              <w:right w:val="single" w:color="auto" w:sz="4" w:space="0"/>
            </w:tcBorders>
            <w:noWrap/>
            <w:vAlign w:val="center"/>
          </w:tcPr>
          <w:p>
            <w:pPr>
              <w:spacing w:line="420" w:lineRule="exact"/>
              <w:rPr>
                <w:rFonts w:ascii="宋体" w:hAnsi="宋体"/>
                <w:sz w:val="22"/>
                <w:szCs w:val="22"/>
              </w:rPr>
            </w:pPr>
            <w:r>
              <w:rPr>
                <w:rFonts w:hint="eastAsia" w:ascii="宋体" w:hAnsi="宋体"/>
                <w:sz w:val="22"/>
                <w:szCs w:val="22"/>
              </w:rPr>
              <w:t>哈尔滨、SKF/NSK</w:t>
            </w:r>
          </w:p>
        </w:tc>
        <w:tc>
          <w:tcPr>
            <w:tcW w:w="678" w:type="pct"/>
            <w:tcBorders>
              <w:top w:val="single" w:color="auto" w:sz="4" w:space="0"/>
              <w:left w:val="nil"/>
              <w:bottom w:val="single" w:color="auto" w:sz="4" w:space="0"/>
              <w:right w:val="single" w:color="auto" w:sz="4" w:space="0"/>
            </w:tcBorders>
            <w:noWrap/>
            <w:vAlign w:val="center"/>
          </w:tcPr>
          <w:p>
            <w:pPr>
              <w:spacing w:line="420" w:lineRule="exact"/>
              <w:jc w:val="center"/>
              <w:rPr>
                <w:rFonts w:hint="eastAsia" w:ascii="宋体" w:hAnsi="宋体"/>
                <w:sz w:val="22"/>
                <w:szCs w:val="22"/>
              </w:rPr>
            </w:pPr>
          </w:p>
        </w:tc>
        <w:tc>
          <w:tcPr>
            <w:tcW w:w="925" w:type="pct"/>
            <w:tcBorders>
              <w:top w:val="single" w:color="auto" w:sz="4" w:space="0"/>
              <w:left w:val="nil"/>
              <w:bottom w:val="single" w:color="auto" w:sz="4" w:space="0"/>
              <w:right w:val="single" w:color="auto" w:sz="4" w:space="0"/>
            </w:tcBorders>
            <w:noWrap/>
            <w:vAlign w:val="center"/>
          </w:tcPr>
          <w:p>
            <w:pPr>
              <w:spacing w:line="420" w:lineRule="exact"/>
              <w:rPr>
                <w:rFonts w:ascii="宋体" w:hAnsi="宋体"/>
                <w:sz w:val="22"/>
                <w:szCs w:val="22"/>
              </w:rPr>
            </w:pPr>
          </w:p>
        </w:tc>
      </w:tr>
    </w:tbl>
    <w:p>
      <w:pPr>
        <w:spacing w:line="480" w:lineRule="auto"/>
        <w:outlineLvl w:val="0"/>
        <w:rPr>
          <w:rFonts w:hint="eastAsia" w:ascii="宋体" w:hAnsi="宋体"/>
          <w:b/>
          <w:sz w:val="22"/>
          <w:szCs w:val="22"/>
        </w:rPr>
      </w:pPr>
      <w:r>
        <w:rPr>
          <w:rFonts w:hint="eastAsia" w:ascii="宋体" w:hAnsi="宋体"/>
          <w:b/>
          <w:sz w:val="22"/>
          <w:szCs w:val="22"/>
        </w:rPr>
        <w:t>8.3设备交付周期及交付地点</w:t>
      </w:r>
    </w:p>
    <w:p>
      <w:pPr>
        <w:spacing w:line="440" w:lineRule="atLeast"/>
        <w:outlineLvl w:val="0"/>
        <w:rPr>
          <w:rFonts w:hint="eastAsia" w:ascii="宋体" w:hAnsi="宋体" w:cs="宋体"/>
          <w:kern w:val="0"/>
          <w:sz w:val="24"/>
        </w:rPr>
      </w:pPr>
      <w:r>
        <w:rPr>
          <w:rFonts w:hint="eastAsia" w:ascii="宋体" w:hAnsi="宋体"/>
          <w:b/>
          <w:sz w:val="24"/>
        </w:rPr>
        <w:t xml:space="preserve">   </w:t>
      </w:r>
      <w:r>
        <w:rPr>
          <w:rFonts w:hint="eastAsia" w:ascii="宋体" w:hAnsi="宋体"/>
          <w:sz w:val="22"/>
          <w:szCs w:val="22"/>
        </w:rPr>
        <w:t>按商务合同履行（一般不少于45天），交付买方安装现场。</w:t>
      </w:r>
    </w:p>
    <w:p>
      <w:pPr>
        <w:spacing w:beforeLines="50" w:line="480" w:lineRule="auto"/>
        <w:rPr>
          <w:rFonts w:hint="eastAsia" w:ascii="宋体" w:hAnsi="宋体"/>
          <w:b/>
          <w:sz w:val="28"/>
          <w:szCs w:val="28"/>
        </w:rPr>
      </w:pPr>
      <w:r>
        <w:rPr>
          <w:rFonts w:hint="eastAsia" w:ascii="宋体" w:hAnsi="宋体"/>
          <w:b/>
          <w:sz w:val="28"/>
          <w:szCs w:val="28"/>
        </w:rPr>
        <w:t>9 铭牌和转向箭头</w:t>
      </w:r>
    </w:p>
    <w:p>
      <w:pPr>
        <w:spacing w:line="360" w:lineRule="auto"/>
        <w:rPr>
          <w:rFonts w:hint="eastAsia" w:ascii="宋体" w:hAnsi="宋体"/>
          <w:sz w:val="22"/>
          <w:szCs w:val="22"/>
        </w:rPr>
      </w:pPr>
      <w:r>
        <w:rPr>
          <w:rFonts w:hint="eastAsia" w:ascii="宋体" w:hAnsi="宋体"/>
          <w:sz w:val="22"/>
          <w:szCs w:val="22"/>
        </w:rPr>
        <w:t>9.1</w:t>
      </w:r>
      <w:r>
        <w:rPr>
          <w:rFonts w:ascii="宋体" w:hAnsi="宋体"/>
          <w:sz w:val="22"/>
          <w:szCs w:val="22"/>
        </w:rPr>
        <w:t>设备铭牌采用</w:t>
      </w:r>
      <w:r>
        <w:rPr>
          <w:rFonts w:hint="eastAsia" w:ascii="宋体" w:hAnsi="宋体"/>
          <w:sz w:val="22"/>
          <w:szCs w:val="22"/>
        </w:rPr>
        <w:t>18-8（304）</w:t>
      </w:r>
      <w:r>
        <w:rPr>
          <w:rFonts w:ascii="宋体" w:hAnsi="宋体"/>
          <w:sz w:val="22"/>
          <w:szCs w:val="22"/>
        </w:rPr>
        <w:t>不锈钢制成</w:t>
      </w:r>
      <w:r>
        <w:rPr>
          <w:rFonts w:hint="eastAsia" w:ascii="宋体" w:hAnsi="宋体"/>
          <w:sz w:val="22"/>
          <w:szCs w:val="22"/>
        </w:rPr>
        <w:t>，应牢固的固定在设备醒目位置上。</w:t>
      </w:r>
    </w:p>
    <w:p>
      <w:pPr>
        <w:spacing w:line="360" w:lineRule="auto"/>
        <w:rPr>
          <w:rFonts w:hint="eastAsia" w:ascii="宋体" w:hAnsi="宋体"/>
          <w:sz w:val="22"/>
          <w:szCs w:val="22"/>
        </w:rPr>
      </w:pPr>
      <w:r>
        <w:rPr>
          <w:rFonts w:hint="eastAsia" w:ascii="宋体" w:hAnsi="宋体"/>
          <w:sz w:val="22"/>
          <w:szCs w:val="22"/>
        </w:rPr>
        <w:t>9.2 铭牌上应用电脑刻字刻商与数据表一致的以下信息：</w:t>
      </w:r>
    </w:p>
    <w:p>
      <w:pPr>
        <w:spacing w:line="360" w:lineRule="auto"/>
        <w:rPr>
          <w:rFonts w:hint="eastAsia" w:ascii="宋体" w:hAnsi="宋体"/>
          <w:sz w:val="22"/>
          <w:szCs w:val="22"/>
        </w:rPr>
      </w:pPr>
      <w:r>
        <w:rPr>
          <w:rFonts w:ascii="宋体" w:hAnsi="宋体"/>
          <w:sz w:val="22"/>
          <w:szCs w:val="22"/>
        </w:rPr>
        <w:t>制造单位名称、设备规格型号</w:t>
      </w:r>
      <w:r>
        <w:rPr>
          <w:rFonts w:hint="eastAsia" w:ascii="宋体" w:hAnsi="宋体"/>
          <w:sz w:val="22"/>
          <w:szCs w:val="22"/>
        </w:rPr>
        <w:t>、</w:t>
      </w:r>
      <w:r>
        <w:rPr>
          <w:rFonts w:ascii="宋体" w:hAnsi="宋体"/>
          <w:sz w:val="22"/>
          <w:szCs w:val="22"/>
        </w:rPr>
        <w:t>基本参数</w:t>
      </w:r>
      <w:r>
        <w:rPr>
          <w:rFonts w:hint="eastAsia" w:ascii="宋体" w:hAnsi="宋体"/>
          <w:sz w:val="22"/>
          <w:szCs w:val="22"/>
        </w:rPr>
        <w:t>（流量、压力、泵速、电机功率）、出厂日期</w:t>
      </w:r>
      <w:r>
        <w:rPr>
          <w:rFonts w:ascii="宋体" w:hAnsi="宋体"/>
          <w:sz w:val="22"/>
          <w:szCs w:val="22"/>
        </w:rPr>
        <w:t>等。</w:t>
      </w:r>
    </w:p>
    <w:p>
      <w:pPr>
        <w:spacing w:line="360" w:lineRule="auto"/>
        <w:rPr>
          <w:rFonts w:hint="eastAsia" w:ascii="宋体" w:hAnsi="宋体"/>
          <w:sz w:val="22"/>
          <w:szCs w:val="22"/>
        </w:rPr>
      </w:pPr>
      <w:r>
        <w:rPr>
          <w:rFonts w:hint="eastAsia" w:ascii="宋体" w:hAnsi="宋体"/>
          <w:sz w:val="22"/>
          <w:szCs w:val="22"/>
        </w:rPr>
        <w:t xml:space="preserve">9.3 </w:t>
      </w:r>
      <w:r>
        <w:rPr>
          <w:rFonts w:ascii="宋体" w:hAnsi="宋体"/>
          <w:sz w:val="22"/>
          <w:szCs w:val="22"/>
        </w:rPr>
        <w:t>电动机等转动设备上应设置转向箭头。</w:t>
      </w:r>
    </w:p>
    <w:p>
      <w:pPr>
        <w:pStyle w:val="2"/>
        <w:keepNext/>
        <w:keepLines/>
        <w:spacing w:after="80"/>
        <w:rPr>
          <w:rFonts w:hint="eastAsia" w:cs="宋体"/>
          <w:bCs/>
          <w:kern w:val="44"/>
          <w:sz w:val="28"/>
          <w:szCs w:val="44"/>
        </w:rPr>
      </w:pPr>
      <w:r>
        <w:rPr>
          <w:rFonts w:hint="eastAsia"/>
          <w:bCs/>
          <w:sz w:val="28"/>
          <w:szCs w:val="28"/>
        </w:rPr>
        <w:t xml:space="preserve">10 </w:t>
      </w:r>
      <w:r>
        <w:rPr>
          <w:rFonts w:hint="eastAsia" w:cs="宋体"/>
          <w:bCs/>
          <w:kern w:val="44"/>
          <w:sz w:val="28"/>
          <w:szCs w:val="44"/>
        </w:rPr>
        <w:t xml:space="preserve"> 检验、试验和监造</w:t>
      </w:r>
    </w:p>
    <w:p>
      <w:pPr>
        <w:spacing w:line="360" w:lineRule="auto"/>
        <w:rPr>
          <w:rFonts w:hint="eastAsia" w:ascii="宋体" w:hAnsi="宋体"/>
          <w:sz w:val="22"/>
          <w:szCs w:val="22"/>
        </w:rPr>
      </w:pPr>
      <w:r>
        <w:rPr>
          <w:rFonts w:hint="eastAsia" w:ascii="宋体" w:hAnsi="宋体"/>
          <w:sz w:val="22"/>
          <w:szCs w:val="22"/>
        </w:rPr>
        <w:t xml:space="preserve">10.1 材料检验：重要零件要求材料供方提供出厂检验报告，由供方比照检验，确保外购材料合格。 </w:t>
      </w:r>
    </w:p>
    <w:p>
      <w:pPr>
        <w:spacing w:line="360" w:lineRule="auto"/>
        <w:rPr>
          <w:rFonts w:hint="eastAsia" w:ascii="宋体" w:hAnsi="宋体"/>
          <w:sz w:val="22"/>
          <w:szCs w:val="22"/>
        </w:rPr>
      </w:pPr>
      <w:r>
        <w:rPr>
          <w:rFonts w:hint="eastAsia" w:ascii="宋体" w:hAnsi="宋体"/>
          <w:sz w:val="22"/>
          <w:szCs w:val="22"/>
        </w:rPr>
        <w:t>10</w:t>
      </w:r>
      <w:r>
        <w:rPr>
          <w:rFonts w:ascii="宋体" w:hAnsi="宋体"/>
          <w:sz w:val="22"/>
          <w:szCs w:val="22"/>
        </w:rPr>
        <w:t xml:space="preserve">.2 </w:t>
      </w:r>
      <w:r>
        <w:rPr>
          <w:rFonts w:hint="eastAsia" w:ascii="宋体" w:hAnsi="宋体"/>
          <w:sz w:val="22"/>
          <w:szCs w:val="22"/>
        </w:rPr>
        <w:t xml:space="preserve">外购设备检验：要求分包方提供相关质量证明文件，确保外购设备质量。 </w:t>
      </w:r>
    </w:p>
    <w:p>
      <w:pPr>
        <w:spacing w:line="360" w:lineRule="auto"/>
        <w:rPr>
          <w:rFonts w:hint="eastAsia" w:ascii="宋体" w:hAnsi="宋体"/>
          <w:sz w:val="22"/>
          <w:szCs w:val="22"/>
        </w:rPr>
      </w:pPr>
      <w:r>
        <w:rPr>
          <w:rFonts w:hint="eastAsia" w:ascii="宋体" w:hAnsi="宋体"/>
          <w:sz w:val="22"/>
          <w:szCs w:val="22"/>
        </w:rPr>
        <w:t>10</w:t>
      </w:r>
      <w:r>
        <w:rPr>
          <w:rFonts w:ascii="宋体" w:hAnsi="宋体"/>
          <w:sz w:val="22"/>
          <w:szCs w:val="22"/>
        </w:rPr>
        <w:t xml:space="preserve">.3 </w:t>
      </w:r>
      <w:r>
        <w:rPr>
          <w:rFonts w:hint="eastAsia" w:ascii="宋体" w:hAnsi="宋体"/>
          <w:sz w:val="22"/>
          <w:szCs w:val="22"/>
        </w:rPr>
        <w:t xml:space="preserve"> 设备主要试验项目（按GB/T7782国家标准进行）</w:t>
      </w:r>
    </w:p>
    <w:tbl>
      <w:tblPr>
        <w:tblStyle w:val="25"/>
        <w:tblW w:w="4859"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7"/>
        <w:gridCol w:w="2021"/>
        <w:gridCol w:w="2021"/>
        <w:gridCol w:w="202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40" w:type="pct"/>
            <w:vAlign w:val="center"/>
          </w:tcPr>
          <w:p>
            <w:pPr>
              <w:spacing w:line="360" w:lineRule="auto"/>
              <w:jc w:val="center"/>
              <w:rPr>
                <w:rFonts w:hint="eastAsia" w:ascii="宋体" w:hAnsi="宋体" w:cs="Arial"/>
                <w:sz w:val="22"/>
                <w:szCs w:val="22"/>
              </w:rPr>
            </w:pPr>
            <w:r>
              <w:rPr>
                <w:rFonts w:hint="eastAsia" w:ascii="宋体" w:hAnsi="宋体" w:cs="Arial"/>
                <w:sz w:val="22"/>
                <w:szCs w:val="22"/>
              </w:rPr>
              <w:t>项   目   名   称</w:t>
            </w:r>
          </w:p>
        </w:tc>
        <w:tc>
          <w:tcPr>
            <w:tcW w:w="1086" w:type="pct"/>
            <w:vAlign w:val="center"/>
          </w:tcPr>
          <w:p>
            <w:pPr>
              <w:spacing w:line="360" w:lineRule="auto"/>
              <w:jc w:val="center"/>
              <w:rPr>
                <w:rFonts w:hint="eastAsia" w:ascii="宋体" w:hAnsi="宋体" w:cs="Arial"/>
                <w:sz w:val="22"/>
                <w:szCs w:val="22"/>
              </w:rPr>
            </w:pPr>
            <w:r>
              <w:rPr>
                <w:rFonts w:hint="eastAsia" w:ascii="宋体" w:hAnsi="宋体" w:cs="Arial"/>
                <w:sz w:val="22"/>
                <w:szCs w:val="22"/>
              </w:rPr>
              <w:t>提交试验报告项目</w:t>
            </w:r>
          </w:p>
        </w:tc>
        <w:tc>
          <w:tcPr>
            <w:tcW w:w="1086" w:type="pct"/>
            <w:vAlign w:val="center"/>
          </w:tcPr>
          <w:p>
            <w:pPr>
              <w:spacing w:line="360" w:lineRule="auto"/>
              <w:jc w:val="center"/>
              <w:rPr>
                <w:rFonts w:hint="eastAsia" w:ascii="宋体" w:hAnsi="宋体" w:cs="Arial"/>
                <w:sz w:val="22"/>
                <w:szCs w:val="22"/>
              </w:rPr>
            </w:pPr>
            <w:r>
              <w:rPr>
                <w:rFonts w:hint="eastAsia" w:ascii="宋体" w:hAnsi="宋体" w:cs="Arial"/>
                <w:sz w:val="22"/>
                <w:szCs w:val="22"/>
              </w:rPr>
              <w:t>见证试验</w:t>
            </w:r>
          </w:p>
        </w:tc>
        <w:tc>
          <w:tcPr>
            <w:tcW w:w="1087" w:type="pct"/>
            <w:vAlign w:val="center"/>
          </w:tcPr>
          <w:p>
            <w:pPr>
              <w:spacing w:line="360" w:lineRule="auto"/>
              <w:jc w:val="center"/>
              <w:rPr>
                <w:rFonts w:hint="eastAsia" w:ascii="宋体" w:hAnsi="宋体" w:cs="Arial"/>
                <w:sz w:val="22"/>
                <w:szCs w:val="22"/>
              </w:rPr>
            </w:pPr>
            <w:r>
              <w:rPr>
                <w:rFonts w:hint="eastAsia" w:ascii="宋体" w:hAnsi="宋体" w:cs="Arial"/>
                <w:sz w:val="22"/>
                <w:szCs w:val="22"/>
              </w:rPr>
              <w:t>非见证试验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40" w:type="pct"/>
            <w:vAlign w:val="center"/>
          </w:tcPr>
          <w:p>
            <w:pPr>
              <w:spacing w:line="360" w:lineRule="auto"/>
              <w:jc w:val="center"/>
              <w:rPr>
                <w:rFonts w:hint="eastAsia" w:ascii="宋体" w:hAnsi="宋体" w:cs="Arial"/>
                <w:sz w:val="22"/>
                <w:szCs w:val="22"/>
              </w:rPr>
            </w:pPr>
            <w:r>
              <w:rPr>
                <w:rFonts w:hint="eastAsia" w:ascii="宋体" w:hAnsi="宋体" w:cs="Arial"/>
                <w:sz w:val="22"/>
                <w:szCs w:val="22"/>
              </w:rPr>
              <w:t>液压试验</w:t>
            </w:r>
          </w:p>
        </w:tc>
        <w:tc>
          <w:tcPr>
            <w:tcW w:w="1086" w:type="pct"/>
            <w:vAlign w:val="center"/>
          </w:tcPr>
          <w:p>
            <w:pPr>
              <w:spacing w:line="360" w:lineRule="auto"/>
              <w:jc w:val="center"/>
              <w:rPr>
                <w:rFonts w:hint="eastAsia" w:ascii="宋体" w:hAnsi="宋体" w:cs="Arial"/>
                <w:sz w:val="22"/>
                <w:szCs w:val="22"/>
              </w:rPr>
            </w:pPr>
            <w:r>
              <w:rPr>
                <w:rFonts w:hint="eastAsia" w:ascii="宋体" w:hAnsi="宋体" w:cs="Arial"/>
                <w:sz w:val="22"/>
                <w:szCs w:val="22"/>
              </w:rPr>
              <w:t>√</w:t>
            </w:r>
          </w:p>
        </w:tc>
        <w:tc>
          <w:tcPr>
            <w:tcW w:w="1086" w:type="pct"/>
            <w:vAlign w:val="center"/>
          </w:tcPr>
          <w:p>
            <w:pPr>
              <w:spacing w:line="360" w:lineRule="auto"/>
              <w:jc w:val="center"/>
              <w:rPr>
                <w:rFonts w:hint="eastAsia" w:ascii="宋体" w:hAnsi="宋体" w:cs="Arial"/>
                <w:sz w:val="22"/>
                <w:szCs w:val="22"/>
              </w:rPr>
            </w:pPr>
          </w:p>
        </w:tc>
        <w:tc>
          <w:tcPr>
            <w:tcW w:w="1087" w:type="pct"/>
            <w:vAlign w:val="center"/>
          </w:tcPr>
          <w:p>
            <w:pPr>
              <w:spacing w:line="360" w:lineRule="auto"/>
              <w:jc w:val="center"/>
              <w:rPr>
                <w:rFonts w:hint="eastAsia" w:ascii="宋体" w:hAnsi="宋体" w:cs="Arial"/>
                <w:sz w:val="22"/>
                <w:szCs w:val="22"/>
              </w:rPr>
            </w:pPr>
            <w:r>
              <w:rPr>
                <w:rFonts w:hint="eastAsia" w:ascii="宋体" w:hAnsi="宋体" w:cs="Arial"/>
                <w:sz w:val="22"/>
                <w:szCs w:val="22"/>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40" w:type="pct"/>
            <w:vAlign w:val="center"/>
          </w:tcPr>
          <w:p>
            <w:pPr>
              <w:spacing w:line="360" w:lineRule="auto"/>
              <w:jc w:val="center"/>
              <w:rPr>
                <w:rFonts w:hint="eastAsia" w:ascii="宋体" w:hAnsi="宋体" w:cs="Arial"/>
                <w:sz w:val="22"/>
                <w:szCs w:val="22"/>
              </w:rPr>
            </w:pPr>
            <w:r>
              <w:rPr>
                <w:rFonts w:hint="eastAsia" w:ascii="宋体" w:hAnsi="宋体" w:cs="Arial"/>
                <w:sz w:val="22"/>
                <w:szCs w:val="22"/>
              </w:rPr>
              <w:t>机械运转试验</w:t>
            </w:r>
          </w:p>
        </w:tc>
        <w:tc>
          <w:tcPr>
            <w:tcW w:w="1086" w:type="pct"/>
            <w:vAlign w:val="center"/>
          </w:tcPr>
          <w:p>
            <w:pPr>
              <w:spacing w:line="360" w:lineRule="auto"/>
              <w:jc w:val="center"/>
              <w:rPr>
                <w:rFonts w:hint="eastAsia" w:ascii="宋体" w:hAnsi="宋体" w:cs="Arial"/>
                <w:sz w:val="22"/>
                <w:szCs w:val="22"/>
              </w:rPr>
            </w:pPr>
            <w:r>
              <w:rPr>
                <w:rFonts w:hint="eastAsia" w:ascii="宋体" w:hAnsi="宋体" w:cs="Arial"/>
                <w:sz w:val="22"/>
                <w:szCs w:val="22"/>
              </w:rPr>
              <w:t>√</w:t>
            </w:r>
          </w:p>
        </w:tc>
        <w:tc>
          <w:tcPr>
            <w:tcW w:w="1086" w:type="pct"/>
            <w:vAlign w:val="center"/>
          </w:tcPr>
          <w:p>
            <w:pPr>
              <w:spacing w:line="360" w:lineRule="auto"/>
              <w:jc w:val="center"/>
              <w:rPr>
                <w:rFonts w:hint="eastAsia" w:ascii="宋体" w:hAnsi="宋体" w:cs="Arial"/>
                <w:sz w:val="22"/>
                <w:szCs w:val="22"/>
              </w:rPr>
            </w:pPr>
            <w:r>
              <w:rPr>
                <w:rFonts w:hint="eastAsia" w:ascii="宋体" w:hAnsi="宋体" w:cs="Arial"/>
                <w:sz w:val="22"/>
                <w:szCs w:val="22"/>
              </w:rPr>
              <w:t>√</w:t>
            </w:r>
          </w:p>
        </w:tc>
        <w:tc>
          <w:tcPr>
            <w:tcW w:w="1087" w:type="pct"/>
            <w:vAlign w:val="center"/>
          </w:tcPr>
          <w:p>
            <w:pPr>
              <w:spacing w:line="360" w:lineRule="auto"/>
              <w:jc w:val="center"/>
              <w:rPr>
                <w:rFonts w:hint="eastAsia" w:ascii="宋体" w:hAnsi="宋体" w:cs="Arial"/>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40" w:type="pct"/>
            <w:vAlign w:val="center"/>
          </w:tcPr>
          <w:p>
            <w:pPr>
              <w:spacing w:line="360" w:lineRule="auto"/>
              <w:jc w:val="center"/>
              <w:rPr>
                <w:rFonts w:hint="eastAsia" w:ascii="宋体" w:hAnsi="宋体" w:cs="Arial"/>
                <w:sz w:val="22"/>
                <w:szCs w:val="22"/>
              </w:rPr>
            </w:pPr>
            <w:r>
              <w:rPr>
                <w:rFonts w:hint="eastAsia" w:ascii="宋体" w:hAnsi="宋体" w:cs="Arial"/>
                <w:sz w:val="22"/>
                <w:szCs w:val="22"/>
              </w:rPr>
              <w:t>性能试验</w:t>
            </w:r>
          </w:p>
        </w:tc>
        <w:tc>
          <w:tcPr>
            <w:tcW w:w="1086" w:type="pct"/>
            <w:vAlign w:val="center"/>
          </w:tcPr>
          <w:p>
            <w:pPr>
              <w:spacing w:line="360" w:lineRule="auto"/>
              <w:jc w:val="center"/>
              <w:rPr>
                <w:rFonts w:hint="eastAsia" w:ascii="宋体" w:hAnsi="宋体" w:cs="Arial"/>
                <w:sz w:val="22"/>
                <w:szCs w:val="22"/>
              </w:rPr>
            </w:pPr>
            <w:r>
              <w:rPr>
                <w:rFonts w:hint="eastAsia" w:ascii="宋体" w:hAnsi="宋体" w:cs="Arial"/>
                <w:sz w:val="22"/>
                <w:szCs w:val="22"/>
              </w:rPr>
              <w:t>√</w:t>
            </w:r>
          </w:p>
        </w:tc>
        <w:tc>
          <w:tcPr>
            <w:tcW w:w="1086" w:type="pct"/>
            <w:vAlign w:val="center"/>
          </w:tcPr>
          <w:p>
            <w:pPr>
              <w:spacing w:line="360" w:lineRule="auto"/>
              <w:jc w:val="center"/>
              <w:rPr>
                <w:rFonts w:hint="eastAsia" w:ascii="宋体" w:hAnsi="宋体" w:cs="Arial"/>
                <w:sz w:val="22"/>
                <w:szCs w:val="22"/>
              </w:rPr>
            </w:pPr>
            <w:r>
              <w:rPr>
                <w:rFonts w:hint="eastAsia" w:ascii="宋体" w:hAnsi="宋体" w:cs="Arial"/>
                <w:sz w:val="22"/>
                <w:szCs w:val="22"/>
              </w:rPr>
              <w:t>√</w:t>
            </w:r>
          </w:p>
        </w:tc>
        <w:tc>
          <w:tcPr>
            <w:tcW w:w="1087" w:type="pct"/>
            <w:vAlign w:val="center"/>
          </w:tcPr>
          <w:p>
            <w:pPr>
              <w:spacing w:line="360" w:lineRule="auto"/>
              <w:jc w:val="center"/>
              <w:rPr>
                <w:rFonts w:hint="eastAsia" w:ascii="宋体" w:hAnsi="宋体" w:cs="Arial"/>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40" w:type="pct"/>
            <w:vAlign w:val="center"/>
          </w:tcPr>
          <w:p>
            <w:pPr>
              <w:spacing w:line="360" w:lineRule="auto"/>
              <w:jc w:val="center"/>
              <w:rPr>
                <w:rFonts w:hint="eastAsia" w:ascii="宋体" w:hAnsi="宋体" w:cs="Arial"/>
                <w:sz w:val="22"/>
                <w:szCs w:val="22"/>
              </w:rPr>
            </w:pPr>
            <w:r>
              <w:rPr>
                <w:rFonts w:hint="eastAsia" w:ascii="宋体" w:hAnsi="宋体" w:cs="Arial"/>
                <w:sz w:val="22"/>
                <w:szCs w:val="22"/>
              </w:rPr>
              <w:t>振动和噪声测量</w:t>
            </w:r>
          </w:p>
        </w:tc>
        <w:tc>
          <w:tcPr>
            <w:tcW w:w="1086" w:type="pct"/>
            <w:vAlign w:val="center"/>
          </w:tcPr>
          <w:p>
            <w:pPr>
              <w:spacing w:line="360" w:lineRule="auto"/>
              <w:jc w:val="center"/>
              <w:rPr>
                <w:rFonts w:hint="eastAsia" w:ascii="宋体" w:hAnsi="宋体" w:cs="Arial"/>
                <w:sz w:val="22"/>
                <w:szCs w:val="22"/>
              </w:rPr>
            </w:pPr>
            <w:r>
              <w:rPr>
                <w:rFonts w:hint="eastAsia" w:ascii="宋体" w:hAnsi="宋体" w:cs="Arial"/>
                <w:sz w:val="22"/>
                <w:szCs w:val="22"/>
              </w:rPr>
              <w:t>√</w:t>
            </w:r>
          </w:p>
        </w:tc>
        <w:tc>
          <w:tcPr>
            <w:tcW w:w="1086" w:type="pct"/>
            <w:vAlign w:val="center"/>
          </w:tcPr>
          <w:p>
            <w:pPr>
              <w:spacing w:line="360" w:lineRule="auto"/>
              <w:jc w:val="center"/>
              <w:rPr>
                <w:rFonts w:hint="eastAsia" w:ascii="宋体" w:hAnsi="宋体" w:cs="Arial"/>
                <w:sz w:val="22"/>
                <w:szCs w:val="22"/>
              </w:rPr>
            </w:pPr>
          </w:p>
        </w:tc>
        <w:tc>
          <w:tcPr>
            <w:tcW w:w="1087" w:type="pct"/>
            <w:vAlign w:val="center"/>
          </w:tcPr>
          <w:p>
            <w:pPr>
              <w:spacing w:line="360" w:lineRule="auto"/>
              <w:jc w:val="center"/>
              <w:rPr>
                <w:rFonts w:hint="eastAsia" w:ascii="宋体" w:hAnsi="宋体" w:cs="Arial"/>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40" w:type="pct"/>
            <w:vAlign w:val="center"/>
          </w:tcPr>
          <w:p>
            <w:pPr>
              <w:spacing w:line="360" w:lineRule="auto"/>
              <w:jc w:val="center"/>
              <w:rPr>
                <w:rFonts w:hint="eastAsia" w:ascii="宋体" w:hAnsi="宋体" w:cs="Arial"/>
                <w:sz w:val="22"/>
                <w:szCs w:val="22"/>
              </w:rPr>
            </w:pPr>
            <w:r>
              <w:rPr>
                <w:rFonts w:hint="eastAsia" w:ascii="宋体" w:hAnsi="宋体" w:cs="Arial"/>
                <w:sz w:val="22"/>
                <w:szCs w:val="22"/>
              </w:rPr>
              <w:t>整机出厂验收试验</w:t>
            </w:r>
          </w:p>
        </w:tc>
        <w:tc>
          <w:tcPr>
            <w:tcW w:w="1086" w:type="pct"/>
            <w:vAlign w:val="center"/>
          </w:tcPr>
          <w:p>
            <w:pPr>
              <w:spacing w:line="360" w:lineRule="auto"/>
              <w:jc w:val="center"/>
              <w:rPr>
                <w:rFonts w:hint="eastAsia" w:ascii="宋体" w:hAnsi="宋体" w:cs="Arial"/>
                <w:sz w:val="22"/>
                <w:szCs w:val="22"/>
              </w:rPr>
            </w:pPr>
            <w:r>
              <w:rPr>
                <w:rFonts w:hint="eastAsia" w:ascii="宋体" w:hAnsi="宋体" w:cs="Arial"/>
                <w:sz w:val="22"/>
                <w:szCs w:val="22"/>
              </w:rPr>
              <w:t>√</w:t>
            </w:r>
          </w:p>
        </w:tc>
        <w:tc>
          <w:tcPr>
            <w:tcW w:w="1086" w:type="pct"/>
            <w:vAlign w:val="center"/>
          </w:tcPr>
          <w:p>
            <w:pPr>
              <w:spacing w:line="360" w:lineRule="auto"/>
              <w:jc w:val="center"/>
              <w:rPr>
                <w:rFonts w:hint="eastAsia" w:ascii="宋体" w:hAnsi="宋体" w:cs="Arial"/>
                <w:sz w:val="22"/>
                <w:szCs w:val="22"/>
              </w:rPr>
            </w:pPr>
            <w:r>
              <w:rPr>
                <w:rFonts w:hint="eastAsia" w:ascii="宋体" w:hAnsi="宋体" w:cs="Arial"/>
                <w:sz w:val="22"/>
                <w:szCs w:val="22"/>
              </w:rPr>
              <w:t>√</w:t>
            </w:r>
          </w:p>
        </w:tc>
        <w:tc>
          <w:tcPr>
            <w:tcW w:w="1087" w:type="pct"/>
            <w:vAlign w:val="center"/>
          </w:tcPr>
          <w:p>
            <w:pPr>
              <w:spacing w:line="360" w:lineRule="auto"/>
              <w:jc w:val="center"/>
              <w:rPr>
                <w:rFonts w:hint="eastAsia" w:ascii="宋体" w:hAnsi="宋体" w:cs="Arial"/>
                <w:sz w:val="22"/>
                <w:szCs w:val="22"/>
              </w:rPr>
            </w:pPr>
          </w:p>
        </w:tc>
      </w:tr>
    </w:tbl>
    <w:p>
      <w:pPr>
        <w:spacing w:line="360" w:lineRule="auto"/>
        <w:rPr>
          <w:rFonts w:hint="eastAsia" w:ascii="宋体" w:hAnsi="宋体"/>
          <w:sz w:val="22"/>
          <w:szCs w:val="22"/>
        </w:rPr>
      </w:pPr>
      <w:r>
        <w:rPr>
          <w:rFonts w:hint="eastAsia" w:ascii="宋体" w:hAnsi="宋体"/>
          <w:sz w:val="22"/>
          <w:szCs w:val="22"/>
        </w:rPr>
        <w:t>10.4 设备监造</w:t>
      </w:r>
    </w:p>
    <w:p>
      <w:pPr>
        <w:spacing w:line="360" w:lineRule="auto"/>
        <w:rPr>
          <w:rFonts w:hint="eastAsia" w:ascii="宋体" w:hAnsi="宋体"/>
          <w:sz w:val="22"/>
          <w:szCs w:val="22"/>
        </w:rPr>
      </w:pPr>
      <w:r>
        <w:rPr>
          <w:rFonts w:hint="eastAsia" w:ascii="宋体" w:hAnsi="宋体"/>
          <w:sz w:val="22"/>
          <w:szCs w:val="22"/>
        </w:rPr>
        <w:t>10.4.1 甲方可派人对乙方所供产品进行全过程监制，对外购件的采购、设备制造、组装、检验、试验和包装质量进行控制。</w:t>
      </w:r>
    </w:p>
    <w:p>
      <w:pPr>
        <w:spacing w:line="360" w:lineRule="auto"/>
        <w:rPr>
          <w:rFonts w:hint="eastAsia" w:ascii="宋体" w:hAnsi="宋体"/>
          <w:sz w:val="22"/>
          <w:szCs w:val="22"/>
        </w:rPr>
      </w:pPr>
      <w:r>
        <w:rPr>
          <w:rFonts w:hint="eastAsia" w:ascii="宋体" w:hAnsi="宋体"/>
          <w:sz w:val="22"/>
          <w:szCs w:val="22"/>
        </w:rPr>
        <w:t>10.4.2 监检项目</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5819"/>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pct"/>
            <w:vAlign w:val="center"/>
          </w:tcPr>
          <w:p>
            <w:pPr>
              <w:spacing w:line="360" w:lineRule="auto"/>
              <w:jc w:val="center"/>
              <w:rPr>
                <w:rFonts w:ascii="宋体" w:hAnsi="宋体"/>
                <w:sz w:val="22"/>
                <w:szCs w:val="22"/>
              </w:rPr>
            </w:pPr>
            <w:r>
              <w:rPr>
                <w:rFonts w:hint="eastAsia" w:ascii="宋体" w:hAnsi="宋体"/>
                <w:sz w:val="22"/>
                <w:szCs w:val="22"/>
              </w:rPr>
              <w:t>序号</w:t>
            </w:r>
          </w:p>
        </w:tc>
        <w:tc>
          <w:tcPr>
            <w:tcW w:w="3040" w:type="pct"/>
            <w:vAlign w:val="center"/>
          </w:tcPr>
          <w:p>
            <w:pPr>
              <w:spacing w:line="360" w:lineRule="auto"/>
              <w:jc w:val="center"/>
              <w:rPr>
                <w:rFonts w:ascii="宋体" w:hAnsi="宋体"/>
                <w:sz w:val="22"/>
                <w:szCs w:val="22"/>
              </w:rPr>
            </w:pPr>
            <w:r>
              <w:rPr>
                <w:rFonts w:hint="eastAsia" w:ascii="宋体" w:hAnsi="宋体"/>
                <w:sz w:val="22"/>
                <w:szCs w:val="22"/>
              </w:rPr>
              <w:t>内容</w:t>
            </w:r>
          </w:p>
        </w:tc>
        <w:tc>
          <w:tcPr>
            <w:tcW w:w="1148" w:type="pct"/>
            <w:vAlign w:val="center"/>
          </w:tcPr>
          <w:p>
            <w:pPr>
              <w:spacing w:line="360" w:lineRule="auto"/>
              <w:jc w:val="center"/>
              <w:rPr>
                <w:rFonts w:ascii="宋体" w:hAnsi="宋体"/>
                <w:sz w:val="22"/>
                <w:szCs w:val="22"/>
              </w:rPr>
            </w:pPr>
            <w:r>
              <w:rPr>
                <w:rFonts w:hint="eastAsia" w:ascii="宋体" w:hAnsi="宋体"/>
                <w:sz w:val="22"/>
                <w:szCs w:val="22"/>
              </w:rPr>
              <w:t>监检点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pct"/>
            <w:vAlign w:val="center"/>
          </w:tcPr>
          <w:p>
            <w:pPr>
              <w:spacing w:line="360" w:lineRule="auto"/>
              <w:jc w:val="center"/>
              <w:rPr>
                <w:rFonts w:ascii="宋体" w:hAnsi="宋体"/>
                <w:sz w:val="22"/>
                <w:szCs w:val="22"/>
              </w:rPr>
            </w:pPr>
            <w:r>
              <w:rPr>
                <w:rFonts w:hint="eastAsia" w:ascii="宋体" w:hAnsi="宋体"/>
                <w:sz w:val="22"/>
                <w:szCs w:val="22"/>
              </w:rPr>
              <w:t>1</w:t>
            </w:r>
          </w:p>
        </w:tc>
        <w:tc>
          <w:tcPr>
            <w:tcW w:w="3040" w:type="pct"/>
          </w:tcPr>
          <w:p>
            <w:pPr>
              <w:spacing w:line="360" w:lineRule="auto"/>
              <w:rPr>
                <w:rFonts w:ascii="宋体" w:hAnsi="宋体"/>
                <w:sz w:val="22"/>
                <w:szCs w:val="22"/>
              </w:rPr>
            </w:pPr>
            <w:r>
              <w:rPr>
                <w:rFonts w:hint="eastAsia" w:ascii="宋体" w:hAnsi="宋体"/>
                <w:sz w:val="22"/>
                <w:szCs w:val="22"/>
              </w:rPr>
              <w:t>原材料和外购件检查及复查</w:t>
            </w:r>
          </w:p>
        </w:tc>
        <w:tc>
          <w:tcPr>
            <w:tcW w:w="1148" w:type="pct"/>
            <w:vAlign w:val="center"/>
          </w:tcPr>
          <w:p>
            <w:pPr>
              <w:spacing w:line="360" w:lineRule="auto"/>
              <w:jc w:val="center"/>
              <w:rPr>
                <w:rFonts w:ascii="宋体" w:hAnsi="宋体"/>
                <w:sz w:val="22"/>
                <w:szCs w:val="22"/>
              </w:rPr>
            </w:pPr>
            <w:r>
              <w:rPr>
                <w:rFonts w:hint="eastAsia" w:ascii="宋体" w:hAnsi="宋体"/>
                <w:sz w:val="22"/>
                <w:szCs w:val="22"/>
              </w:rPr>
              <w:t>R点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pct"/>
            <w:vAlign w:val="center"/>
          </w:tcPr>
          <w:p>
            <w:pPr>
              <w:spacing w:line="360" w:lineRule="auto"/>
              <w:jc w:val="center"/>
              <w:rPr>
                <w:rFonts w:ascii="宋体" w:hAnsi="宋体"/>
                <w:sz w:val="22"/>
                <w:szCs w:val="22"/>
              </w:rPr>
            </w:pPr>
            <w:r>
              <w:rPr>
                <w:rFonts w:hint="eastAsia" w:ascii="宋体" w:hAnsi="宋体"/>
                <w:sz w:val="22"/>
                <w:szCs w:val="22"/>
              </w:rPr>
              <w:t>2</w:t>
            </w:r>
          </w:p>
        </w:tc>
        <w:tc>
          <w:tcPr>
            <w:tcW w:w="3040" w:type="pct"/>
          </w:tcPr>
          <w:p>
            <w:pPr>
              <w:spacing w:line="360" w:lineRule="auto"/>
              <w:rPr>
                <w:rFonts w:ascii="宋体" w:hAnsi="宋体"/>
                <w:sz w:val="22"/>
                <w:szCs w:val="22"/>
              </w:rPr>
            </w:pPr>
            <w:r>
              <w:rPr>
                <w:rFonts w:hint="eastAsia" w:ascii="宋体" w:hAnsi="宋体"/>
                <w:sz w:val="22"/>
                <w:szCs w:val="22"/>
              </w:rPr>
              <w:t>泵的组装</w:t>
            </w:r>
          </w:p>
        </w:tc>
        <w:tc>
          <w:tcPr>
            <w:tcW w:w="1148" w:type="pct"/>
            <w:vAlign w:val="center"/>
          </w:tcPr>
          <w:p>
            <w:pPr>
              <w:spacing w:line="360" w:lineRule="auto"/>
              <w:jc w:val="center"/>
              <w:rPr>
                <w:rFonts w:ascii="宋体" w:hAnsi="宋体"/>
                <w:sz w:val="22"/>
                <w:szCs w:val="22"/>
              </w:rPr>
            </w:pPr>
            <w:r>
              <w:rPr>
                <w:rFonts w:hint="eastAsia" w:ascii="宋体" w:hAnsi="宋体"/>
                <w:sz w:val="22"/>
                <w:szCs w:val="22"/>
              </w:rPr>
              <w:t>R点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pct"/>
            <w:vAlign w:val="center"/>
          </w:tcPr>
          <w:p>
            <w:pPr>
              <w:spacing w:line="360" w:lineRule="auto"/>
              <w:jc w:val="center"/>
              <w:rPr>
                <w:rFonts w:ascii="宋体" w:hAnsi="宋体"/>
                <w:sz w:val="22"/>
                <w:szCs w:val="22"/>
              </w:rPr>
            </w:pPr>
            <w:r>
              <w:rPr>
                <w:rFonts w:hint="eastAsia" w:ascii="宋体" w:hAnsi="宋体"/>
                <w:sz w:val="22"/>
                <w:szCs w:val="22"/>
              </w:rPr>
              <w:t>3</w:t>
            </w:r>
          </w:p>
        </w:tc>
        <w:tc>
          <w:tcPr>
            <w:tcW w:w="3040" w:type="pct"/>
          </w:tcPr>
          <w:p>
            <w:pPr>
              <w:spacing w:line="360" w:lineRule="auto"/>
              <w:rPr>
                <w:rFonts w:ascii="宋体" w:hAnsi="宋体"/>
                <w:sz w:val="22"/>
                <w:szCs w:val="22"/>
              </w:rPr>
            </w:pPr>
            <w:r>
              <w:rPr>
                <w:rFonts w:hint="eastAsia" w:ascii="宋体" w:hAnsi="宋体"/>
                <w:sz w:val="22"/>
                <w:szCs w:val="22"/>
              </w:rPr>
              <w:t>产品性能测试</w:t>
            </w:r>
          </w:p>
        </w:tc>
        <w:tc>
          <w:tcPr>
            <w:tcW w:w="1148" w:type="pct"/>
            <w:vAlign w:val="center"/>
          </w:tcPr>
          <w:p>
            <w:pPr>
              <w:spacing w:line="360" w:lineRule="auto"/>
              <w:jc w:val="center"/>
              <w:rPr>
                <w:rFonts w:ascii="宋体" w:hAnsi="宋体"/>
                <w:sz w:val="22"/>
                <w:szCs w:val="22"/>
              </w:rPr>
            </w:pPr>
            <w:r>
              <w:rPr>
                <w:rFonts w:hint="eastAsia" w:ascii="宋体" w:hAnsi="宋体"/>
                <w:sz w:val="22"/>
                <w:szCs w:val="22"/>
              </w:rPr>
              <w:t>H点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pct"/>
            <w:vAlign w:val="center"/>
          </w:tcPr>
          <w:p>
            <w:pPr>
              <w:spacing w:line="360" w:lineRule="auto"/>
              <w:jc w:val="center"/>
              <w:rPr>
                <w:rFonts w:ascii="宋体" w:hAnsi="宋体"/>
                <w:sz w:val="22"/>
                <w:szCs w:val="22"/>
              </w:rPr>
            </w:pPr>
            <w:r>
              <w:rPr>
                <w:rFonts w:hint="eastAsia" w:ascii="宋体" w:hAnsi="宋体"/>
                <w:sz w:val="22"/>
                <w:szCs w:val="22"/>
              </w:rPr>
              <w:t>4</w:t>
            </w:r>
          </w:p>
        </w:tc>
        <w:tc>
          <w:tcPr>
            <w:tcW w:w="3040" w:type="pct"/>
          </w:tcPr>
          <w:p>
            <w:pPr>
              <w:spacing w:line="360" w:lineRule="auto"/>
              <w:rPr>
                <w:rFonts w:ascii="宋体" w:hAnsi="宋体"/>
                <w:sz w:val="22"/>
                <w:szCs w:val="22"/>
              </w:rPr>
            </w:pPr>
            <w:r>
              <w:rPr>
                <w:rFonts w:hint="eastAsia" w:ascii="宋体" w:hAnsi="宋体"/>
                <w:sz w:val="22"/>
                <w:szCs w:val="22"/>
              </w:rPr>
              <w:t>承压件试压</w:t>
            </w:r>
          </w:p>
        </w:tc>
        <w:tc>
          <w:tcPr>
            <w:tcW w:w="1148" w:type="pct"/>
            <w:vAlign w:val="center"/>
          </w:tcPr>
          <w:p>
            <w:pPr>
              <w:spacing w:line="360" w:lineRule="auto"/>
              <w:jc w:val="center"/>
              <w:rPr>
                <w:rFonts w:ascii="宋体" w:hAnsi="宋体"/>
                <w:sz w:val="22"/>
                <w:szCs w:val="22"/>
              </w:rPr>
            </w:pPr>
            <w:r>
              <w:rPr>
                <w:rFonts w:hint="eastAsia" w:ascii="宋体" w:hAnsi="宋体"/>
                <w:sz w:val="22"/>
                <w:szCs w:val="22"/>
              </w:rPr>
              <w:t>R点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pct"/>
            <w:vAlign w:val="center"/>
          </w:tcPr>
          <w:p>
            <w:pPr>
              <w:spacing w:line="360" w:lineRule="auto"/>
              <w:jc w:val="center"/>
              <w:rPr>
                <w:rFonts w:ascii="宋体" w:hAnsi="宋体"/>
                <w:sz w:val="22"/>
                <w:szCs w:val="22"/>
              </w:rPr>
            </w:pPr>
            <w:r>
              <w:rPr>
                <w:rFonts w:hint="eastAsia" w:ascii="宋体" w:hAnsi="宋体"/>
                <w:sz w:val="22"/>
                <w:szCs w:val="22"/>
              </w:rPr>
              <w:t>5</w:t>
            </w:r>
          </w:p>
        </w:tc>
        <w:tc>
          <w:tcPr>
            <w:tcW w:w="3040" w:type="pct"/>
          </w:tcPr>
          <w:p>
            <w:pPr>
              <w:spacing w:line="360" w:lineRule="auto"/>
              <w:rPr>
                <w:rFonts w:ascii="宋体" w:hAnsi="宋体"/>
                <w:sz w:val="22"/>
                <w:szCs w:val="22"/>
              </w:rPr>
            </w:pPr>
            <w:r>
              <w:rPr>
                <w:rFonts w:hint="eastAsia" w:ascii="宋体" w:hAnsi="宋体"/>
                <w:sz w:val="22"/>
                <w:szCs w:val="22"/>
              </w:rPr>
              <w:t>出厂资料</w:t>
            </w:r>
          </w:p>
        </w:tc>
        <w:tc>
          <w:tcPr>
            <w:tcW w:w="1148" w:type="pct"/>
            <w:vAlign w:val="center"/>
          </w:tcPr>
          <w:p>
            <w:pPr>
              <w:spacing w:line="360" w:lineRule="auto"/>
              <w:jc w:val="center"/>
              <w:rPr>
                <w:rFonts w:ascii="宋体" w:hAnsi="宋体"/>
                <w:sz w:val="22"/>
                <w:szCs w:val="22"/>
              </w:rPr>
            </w:pPr>
            <w:r>
              <w:rPr>
                <w:rFonts w:hint="eastAsia" w:ascii="宋体" w:hAnsi="宋体"/>
                <w:sz w:val="22"/>
                <w:szCs w:val="22"/>
              </w:rPr>
              <w:t>C点</w:t>
            </w:r>
          </w:p>
        </w:tc>
      </w:tr>
    </w:tbl>
    <w:p>
      <w:pPr>
        <w:spacing w:line="360" w:lineRule="auto"/>
        <w:rPr>
          <w:rFonts w:hint="eastAsia" w:ascii="宋体" w:hAnsi="宋体"/>
          <w:sz w:val="22"/>
          <w:szCs w:val="22"/>
        </w:rPr>
      </w:pPr>
      <w:r>
        <w:rPr>
          <w:rFonts w:hint="eastAsia" w:ascii="宋体" w:hAnsi="宋体" w:cs="仿宋"/>
          <w:bCs/>
          <w:sz w:val="22"/>
          <w:szCs w:val="22"/>
        </w:rPr>
        <w:t>说明：W点——见证点监检；H点——停止点监检；R点——记录见证点监检；C点——文件见证点监检；各监测点双方可根据具体情况协商确定。</w:t>
      </w:r>
    </w:p>
    <w:p>
      <w:pPr>
        <w:spacing w:line="480" w:lineRule="auto"/>
        <w:rPr>
          <w:rFonts w:hint="eastAsia" w:ascii="宋体" w:hAnsi="宋体"/>
          <w:b/>
          <w:sz w:val="28"/>
          <w:szCs w:val="28"/>
        </w:rPr>
      </w:pPr>
      <w:r>
        <w:rPr>
          <w:rFonts w:hint="eastAsia" w:ascii="宋体" w:hAnsi="宋体"/>
          <w:b/>
          <w:sz w:val="28"/>
          <w:szCs w:val="28"/>
        </w:rPr>
        <w:t>11 质量保证</w:t>
      </w:r>
    </w:p>
    <w:p>
      <w:pPr>
        <w:spacing w:line="360" w:lineRule="auto"/>
        <w:rPr>
          <w:rFonts w:hint="eastAsia" w:ascii="宋体" w:hAnsi="宋体"/>
          <w:sz w:val="22"/>
          <w:szCs w:val="22"/>
        </w:rPr>
      </w:pPr>
      <w:r>
        <w:rPr>
          <w:rFonts w:hint="eastAsia" w:ascii="宋体" w:hAnsi="宋体"/>
          <w:sz w:val="22"/>
          <w:szCs w:val="22"/>
        </w:rPr>
        <w:t>11.1 乙方保证</w:t>
      </w:r>
      <w:r>
        <w:rPr>
          <w:rFonts w:hint="eastAsia"/>
          <w:sz w:val="24"/>
        </w:rPr>
        <w:t>1) 设备达到合同技术文件规定的各项技术指标，并满足工艺要求。2) 泵性能容许偏差范围满足API675计量泵质量分等的要求。3)卖方保证其提供的合同设备是全新的、未使用的、采用最佳材料和一流工艺的，并在各个方面符合本合同规定的质量、规格和性能要求。</w:t>
      </w:r>
    </w:p>
    <w:p>
      <w:pPr>
        <w:spacing w:line="360" w:lineRule="auto"/>
        <w:rPr>
          <w:rFonts w:hint="eastAsia" w:ascii="宋体" w:hAnsi="宋体"/>
          <w:sz w:val="22"/>
          <w:szCs w:val="22"/>
        </w:rPr>
      </w:pPr>
      <w:r>
        <w:rPr>
          <w:rFonts w:hint="eastAsia" w:ascii="宋体" w:hAnsi="宋体"/>
          <w:sz w:val="22"/>
          <w:szCs w:val="22"/>
        </w:rPr>
        <w:t>11.2 乙方应保证设备的性能符合工艺数据表的要求，各项性能指标符合下列要求：</w:t>
      </w:r>
    </w:p>
    <w:p>
      <w:pPr>
        <w:spacing w:line="360" w:lineRule="auto"/>
        <w:rPr>
          <w:rFonts w:hint="eastAsia" w:ascii="宋体" w:hAnsi="宋体"/>
          <w:sz w:val="22"/>
          <w:szCs w:val="22"/>
        </w:rPr>
      </w:pPr>
      <w:r>
        <w:rPr>
          <w:rFonts w:hint="eastAsia" w:ascii="宋体" w:hAnsi="宋体"/>
          <w:sz w:val="22"/>
          <w:szCs w:val="22"/>
        </w:rPr>
        <w:t xml:space="preserve">     计量精度±1%以内（0-100%行程范围内）</w:t>
      </w:r>
    </w:p>
    <w:p>
      <w:pPr>
        <w:spacing w:line="360" w:lineRule="auto"/>
        <w:rPr>
          <w:rFonts w:hint="eastAsia" w:ascii="宋体" w:hAnsi="宋体"/>
          <w:sz w:val="22"/>
          <w:szCs w:val="22"/>
        </w:rPr>
      </w:pPr>
      <w:r>
        <w:rPr>
          <w:rFonts w:hint="eastAsia" w:ascii="宋体" w:hAnsi="宋体"/>
          <w:sz w:val="22"/>
          <w:szCs w:val="22"/>
        </w:rPr>
        <w:t xml:space="preserve">     线性度和重复性精度±3%以内（0-100%行程范围内）</w:t>
      </w:r>
    </w:p>
    <w:p>
      <w:pPr>
        <w:spacing w:line="360" w:lineRule="auto"/>
        <w:rPr>
          <w:rFonts w:hint="eastAsia" w:ascii="宋体" w:hAnsi="宋体"/>
          <w:sz w:val="22"/>
          <w:szCs w:val="22"/>
        </w:rPr>
      </w:pPr>
      <w:r>
        <w:rPr>
          <w:rFonts w:hint="eastAsia" w:ascii="宋体" w:hAnsi="宋体"/>
          <w:sz w:val="22"/>
          <w:szCs w:val="22"/>
        </w:rPr>
        <w:t xml:space="preserve">     调节范围：0%-100%     </w:t>
      </w:r>
    </w:p>
    <w:p>
      <w:pPr>
        <w:spacing w:line="360" w:lineRule="auto"/>
        <w:rPr>
          <w:rFonts w:hint="eastAsia" w:ascii="宋体" w:hAnsi="宋体"/>
          <w:sz w:val="22"/>
          <w:szCs w:val="22"/>
        </w:rPr>
      </w:pPr>
      <w:r>
        <w:rPr>
          <w:rFonts w:hint="eastAsia" w:ascii="宋体" w:hAnsi="宋体"/>
          <w:sz w:val="22"/>
          <w:szCs w:val="22"/>
        </w:rPr>
        <w:t xml:space="preserve">     供方提供的设备性能无负偏差。</w:t>
      </w:r>
    </w:p>
    <w:p>
      <w:pPr>
        <w:spacing w:line="360" w:lineRule="auto"/>
        <w:rPr>
          <w:rFonts w:hint="eastAsia" w:ascii="宋体" w:hAnsi="宋体"/>
          <w:sz w:val="22"/>
          <w:szCs w:val="22"/>
        </w:rPr>
      </w:pPr>
      <w:r>
        <w:rPr>
          <w:rFonts w:hint="eastAsia" w:ascii="宋体" w:hAnsi="宋体"/>
          <w:sz w:val="22"/>
          <w:szCs w:val="22"/>
        </w:rPr>
        <w:t>11.3 乙方应保证易损件的寿命如下：</w:t>
      </w:r>
    </w:p>
    <w:p>
      <w:pPr>
        <w:spacing w:line="360" w:lineRule="auto"/>
        <w:ind w:firstLine="440" w:firstLineChars="200"/>
        <w:rPr>
          <w:rFonts w:hint="eastAsia" w:ascii="宋体" w:hAnsi="宋体"/>
          <w:sz w:val="22"/>
          <w:szCs w:val="22"/>
        </w:rPr>
      </w:pPr>
      <w:r>
        <w:rPr>
          <w:rFonts w:hint="eastAsia" w:ascii="宋体" w:hAnsi="宋体"/>
          <w:sz w:val="22"/>
          <w:szCs w:val="22"/>
        </w:rPr>
        <w:t>正常情况下,隔膜、进出口单向阀组件使用寿命不小于25000小时。</w:t>
      </w:r>
    </w:p>
    <w:p>
      <w:pPr>
        <w:spacing w:line="360" w:lineRule="auto"/>
        <w:rPr>
          <w:rFonts w:hint="eastAsia" w:ascii="宋体" w:hAnsi="宋体"/>
          <w:sz w:val="22"/>
          <w:szCs w:val="22"/>
        </w:rPr>
      </w:pPr>
      <w:r>
        <w:rPr>
          <w:rFonts w:hint="eastAsia" w:ascii="宋体" w:hAnsi="宋体"/>
          <w:sz w:val="22"/>
          <w:szCs w:val="22"/>
        </w:rPr>
        <w:t>11.4 机组设计寿命不少于20年。因非甲方原因造成设备无法满足设计寿命时，损坏的部件由乙方在规定时间内无偿提供，并提供无偿的技术服务。</w:t>
      </w:r>
    </w:p>
    <w:p>
      <w:pPr>
        <w:spacing w:line="360" w:lineRule="auto"/>
        <w:rPr>
          <w:rFonts w:hint="eastAsia" w:ascii="宋体" w:hAnsi="宋体"/>
          <w:sz w:val="22"/>
          <w:szCs w:val="22"/>
        </w:rPr>
      </w:pPr>
      <w:r>
        <w:rPr>
          <w:rFonts w:hint="eastAsia" w:ascii="宋体" w:hAnsi="宋体"/>
          <w:sz w:val="22"/>
          <w:szCs w:val="22"/>
        </w:rPr>
        <w:t>11.5 设备距设备1m处噪声不超过85dBA；</w:t>
      </w:r>
    </w:p>
    <w:p>
      <w:pPr>
        <w:spacing w:line="360" w:lineRule="auto"/>
        <w:rPr>
          <w:rFonts w:hint="eastAsia" w:ascii="宋体" w:hAnsi="宋体"/>
          <w:sz w:val="22"/>
          <w:szCs w:val="22"/>
        </w:rPr>
      </w:pPr>
      <w:r>
        <w:rPr>
          <w:rFonts w:hint="eastAsia" w:ascii="宋体" w:hAnsi="宋体"/>
          <w:sz w:val="22"/>
          <w:szCs w:val="22"/>
        </w:rPr>
        <w:t>11.6 机械保证期为装置开车验收合格后12个月，重要零件因设计和制造质量问题而产生的损坏，乙方负责免费更换。</w:t>
      </w:r>
    </w:p>
    <w:p>
      <w:pPr>
        <w:spacing w:line="360" w:lineRule="auto"/>
        <w:rPr>
          <w:rFonts w:hint="eastAsia" w:ascii="宋体" w:hAnsi="宋体"/>
          <w:sz w:val="22"/>
          <w:szCs w:val="22"/>
        </w:rPr>
      </w:pPr>
      <w:r>
        <w:rPr>
          <w:rFonts w:hint="eastAsia" w:ascii="宋体" w:hAnsi="宋体"/>
          <w:sz w:val="22"/>
          <w:szCs w:val="22"/>
        </w:rPr>
        <w:t>11.7 乙方承诺设备到现场不需要解体检查。</w:t>
      </w:r>
    </w:p>
    <w:p>
      <w:pPr>
        <w:spacing w:line="480" w:lineRule="auto"/>
        <w:rPr>
          <w:rFonts w:hint="eastAsia" w:ascii="宋体" w:hAnsi="宋体"/>
          <w:b/>
          <w:sz w:val="28"/>
          <w:szCs w:val="28"/>
        </w:rPr>
      </w:pPr>
      <w:r>
        <w:rPr>
          <w:rFonts w:hint="eastAsia" w:ascii="宋体" w:hAnsi="宋体"/>
          <w:b/>
          <w:sz w:val="28"/>
          <w:szCs w:val="28"/>
        </w:rPr>
        <w:t>12  涂漆、包装、运输和交货</w:t>
      </w:r>
    </w:p>
    <w:p>
      <w:pPr>
        <w:spacing w:line="360" w:lineRule="auto"/>
        <w:rPr>
          <w:rFonts w:hint="eastAsia" w:ascii="宋体" w:hAnsi="宋体"/>
          <w:sz w:val="22"/>
          <w:szCs w:val="22"/>
        </w:rPr>
      </w:pPr>
      <w:r>
        <w:rPr>
          <w:rFonts w:hint="eastAsia" w:ascii="宋体" w:hAnsi="宋体"/>
          <w:sz w:val="22"/>
          <w:szCs w:val="22"/>
        </w:rPr>
        <w:t>12.1</w:t>
      </w:r>
      <w:r>
        <w:rPr>
          <w:rFonts w:hint="eastAsia" w:ascii="宋体" w:hAnsi="宋体"/>
          <w:sz w:val="22"/>
          <w:szCs w:val="22"/>
        </w:rPr>
        <w:tab/>
      </w:r>
      <w:r>
        <w:rPr>
          <w:rFonts w:hint="eastAsia" w:ascii="宋体" w:hAnsi="宋体"/>
          <w:sz w:val="22"/>
          <w:szCs w:val="22"/>
        </w:rPr>
        <w:t>涂漆</w:t>
      </w:r>
    </w:p>
    <w:p>
      <w:pPr>
        <w:spacing w:line="360" w:lineRule="auto"/>
        <w:rPr>
          <w:rFonts w:hint="eastAsia" w:ascii="宋体" w:hAnsi="宋体"/>
          <w:sz w:val="22"/>
          <w:szCs w:val="22"/>
        </w:rPr>
      </w:pPr>
      <w:r>
        <w:rPr>
          <w:rFonts w:hint="eastAsia" w:ascii="宋体" w:hAnsi="宋体"/>
          <w:sz w:val="22"/>
          <w:szCs w:val="22"/>
        </w:rPr>
        <w:t>12.1.1 在给定的使用环境中，设备的涂漆应能适应设备的长期运行而不受损。</w:t>
      </w:r>
    </w:p>
    <w:p>
      <w:pPr>
        <w:spacing w:line="360" w:lineRule="auto"/>
        <w:rPr>
          <w:rFonts w:hint="eastAsia" w:ascii="宋体" w:hAnsi="宋体"/>
          <w:sz w:val="22"/>
          <w:szCs w:val="22"/>
        </w:rPr>
      </w:pPr>
      <w:r>
        <w:rPr>
          <w:rFonts w:hint="eastAsia" w:ascii="宋体" w:hAnsi="宋体"/>
          <w:sz w:val="22"/>
          <w:szCs w:val="22"/>
        </w:rPr>
        <w:t>12.1.2 除机加工表面外，设备外表面应完成底漆和面漆漆层厚度应不少于200μm。</w:t>
      </w:r>
    </w:p>
    <w:p>
      <w:pPr>
        <w:spacing w:line="360" w:lineRule="auto"/>
        <w:rPr>
          <w:rFonts w:hint="eastAsia" w:ascii="宋体" w:hAnsi="宋体"/>
          <w:sz w:val="22"/>
          <w:szCs w:val="22"/>
        </w:rPr>
      </w:pPr>
      <w:r>
        <w:rPr>
          <w:rFonts w:hint="eastAsia" w:ascii="宋体" w:hAnsi="宋体"/>
          <w:sz w:val="22"/>
          <w:szCs w:val="22"/>
        </w:rPr>
        <w:t>12.1.3涂漆前去除所有的灰尘、锈斑、油污及其它附着物，设备面漆按照SH3022执行。面漆颜色色标标准和色卡由需方提供给供方，如需方未事前约定或未提供视为认同供方所采用的符合标准的颜色</w:t>
      </w:r>
    </w:p>
    <w:p>
      <w:pPr>
        <w:spacing w:line="360" w:lineRule="auto"/>
        <w:rPr>
          <w:rFonts w:hint="eastAsia" w:ascii="宋体" w:hAnsi="宋体"/>
          <w:sz w:val="22"/>
          <w:szCs w:val="22"/>
        </w:rPr>
      </w:pPr>
      <w:r>
        <w:rPr>
          <w:rFonts w:hint="eastAsia" w:ascii="宋体" w:hAnsi="宋体"/>
          <w:sz w:val="22"/>
          <w:szCs w:val="22"/>
        </w:rPr>
        <w:t>12.1.4 机加工的外表面应涂以适当的防锈涂层。</w:t>
      </w:r>
    </w:p>
    <w:p>
      <w:pPr>
        <w:spacing w:line="360" w:lineRule="auto"/>
        <w:rPr>
          <w:rFonts w:hint="eastAsia" w:ascii="宋体" w:hAnsi="宋体"/>
          <w:sz w:val="22"/>
          <w:szCs w:val="22"/>
        </w:rPr>
      </w:pPr>
      <w:r>
        <w:rPr>
          <w:rFonts w:hint="eastAsia" w:ascii="宋体" w:hAnsi="宋体"/>
          <w:sz w:val="22"/>
          <w:szCs w:val="22"/>
        </w:rPr>
        <w:t>12.1.5 除不锈钢材质外，与油接触的轴承座内件，以及润滑油系统零部件应涂以合适的油溶性防锈涂层。</w:t>
      </w:r>
    </w:p>
    <w:p>
      <w:pPr>
        <w:spacing w:line="360" w:lineRule="auto"/>
        <w:rPr>
          <w:rFonts w:hint="eastAsia" w:ascii="宋体" w:hAnsi="宋体"/>
          <w:sz w:val="22"/>
          <w:szCs w:val="22"/>
        </w:rPr>
      </w:pPr>
      <w:r>
        <w:rPr>
          <w:rFonts w:hint="eastAsia" w:ascii="宋体" w:hAnsi="宋体"/>
          <w:sz w:val="22"/>
          <w:szCs w:val="22"/>
        </w:rPr>
        <w:t>12.1.6 机泵本体及辅助设备上的法兰及配对法兰密封面上均不得喷涂防锈漆。</w:t>
      </w:r>
    </w:p>
    <w:p>
      <w:pPr>
        <w:spacing w:line="360" w:lineRule="auto"/>
        <w:rPr>
          <w:rFonts w:hint="eastAsia" w:ascii="宋体" w:hAnsi="宋体"/>
          <w:sz w:val="22"/>
          <w:szCs w:val="22"/>
        </w:rPr>
      </w:pPr>
      <w:r>
        <w:rPr>
          <w:rFonts w:hint="eastAsia" w:ascii="宋体" w:hAnsi="宋体"/>
          <w:sz w:val="22"/>
          <w:szCs w:val="22"/>
        </w:rPr>
        <w:t>12.1.7 除另有规定外，下列情况不应涂漆：</w:t>
      </w:r>
    </w:p>
    <w:p>
      <w:pPr>
        <w:spacing w:line="360" w:lineRule="auto"/>
        <w:rPr>
          <w:rFonts w:hint="eastAsia" w:ascii="宋体" w:hAnsi="宋体"/>
          <w:sz w:val="22"/>
          <w:szCs w:val="22"/>
        </w:rPr>
      </w:pPr>
      <w:r>
        <w:rPr>
          <w:rFonts w:hint="eastAsia" w:ascii="宋体" w:hAnsi="宋体"/>
          <w:sz w:val="22"/>
          <w:szCs w:val="22"/>
        </w:rPr>
        <w:t>（1）不锈钢表面；</w:t>
      </w:r>
    </w:p>
    <w:p>
      <w:pPr>
        <w:spacing w:line="360" w:lineRule="auto"/>
        <w:rPr>
          <w:rFonts w:hint="eastAsia" w:ascii="宋体" w:hAnsi="宋体"/>
          <w:sz w:val="22"/>
          <w:szCs w:val="22"/>
        </w:rPr>
      </w:pPr>
      <w:r>
        <w:rPr>
          <w:rFonts w:hint="eastAsia" w:ascii="宋体" w:hAnsi="宋体"/>
          <w:sz w:val="22"/>
          <w:szCs w:val="22"/>
        </w:rPr>
        <w:t>（2）镀锌表面（镀锌管道标志色漆除外）；</w:t>
      </w:r>
    </w:p>
    <w:p>
      <w:pPr>
        <w:spacing w:line="360" w:lineRule="auto"/>
        <w:rPr>
          <w:rFonts w:hint="eastAsia" w:ascii="宋体" w:hAnsi="宋体"/>
          <w:sz w:val="22"/>
          <w:szCs w:val="22"/>
        </w:rPr>
      </w:pPr>
      <w:r>
        <w:rPr>
          <w:rFonts w:hint="eastAsia" w:ascii="宋体" w:hAnsi="宋体"/>
          <w:sz w:val="22"/>
          <w:szCs w:val="22"/>
        </w:rPr>
        <w:t>（3）已精加工的表面；</w:t>
      </w:r>
    </w:p>
    <w:p>
      <w:pPr>
        <w:spacing w:line="360" w:lineRule="auto"/>
        <w:rPr>
          <w:rFonts w:hint="eastAsia" w:ascii="宋体" w:hAnsi="宋体"/>
          <w:sz w:val="22"/>
          <w:szCs w:val="22"/>
        </w:rPr>
      </w:pPr>
      <w:r>
        <w:rPr>
          <w:rFonts w:hint="eastAsia" w:ascii="宋体" w:hAnsi="宋体"/>
          <w:sz w:val="22"/>
          <w:szCs w:val="22"/>
        </w:rPr>
        <w:t>（4）涂塑或涂示温漆的表面；</w:t>
      </w:r>
    </w:p>
    <w:p>
      <w:pPr>
        <w:spacing w:line="360" w:lineRule="auto"/>
        <w:rPr>
          <w:rFonts w:hint="eastAsia" w:ascii="宋体" w:hAnsi="宋体"/>
          <w:sz w:val="22"/>
          <w:szCs w:val="22"/>
        </w:rPr>
      </w:pPr>
      <w:r>
        <w:rPr>
          <w:rFonts w:hint="eastAsia" w:ascii="宋体" w:hAnsi="宋体"/>
          <w:sz w:val="22"/>
          <w:szCs w:val="22"/>
        </w:rPr>
        <w:t>（5）铭牌、标志板或标签。</w:t>
      </w:r>
    </w:p>
    <w:p>
      <w:pPr>
        <w:spacing w:line="360" w:lineRule="auto"/>
        <w:rPr>
          <w:rFonts w:hint="eastAsia" w:ascii="宋体" w:hAnsi="宋体"/>
          <w:sz w:val="22"/>
          <w:szCs w:val="22"/>
        </w:rPr>
      </w:pPr>
      <w:r>
        <w:rPr>
          <w:rFonts w:hint="eastAsia" w:ascii="宋体" w:hAnsi="宋体"/>
          <w:sz w:val="22"/>
          <w:szCs w:val="22"/>
        </w:rPr>
        <w:t>（6）铝、铜等有色金属材料的表面；</w:t>
      </w:r>
    </w:p>
    <w:p>
      <w:pPr>
        <w:spacing w:line="360" w:lineRule="auto"/>
        <w:rPr>
          <w:rFonts w:hint="eastAsia"/>
          <w:sz w:val="22"/>
          <w:szCs w:val="22"/>
        </w:rPr>
      </w:pPr>
      <w:r>
        <w:rPr>
          <w:rFonts w:hint="eastAsia" w:ascii="宋体" w:hAnsi="宋体"/>
          <w:sz w:val="22"/>
          <w:szCs w:val="22"/>
        </w:rPr>
        <w:t>（7）非金属材料的表面。</w:t>
      </w:r>
    </w:p>
    <w:p>
      <w:pPr>
        <w:spacing w:line="360" w:lineRule="auto"/>
        <w:rPr>
          <w:rFonts w:hint="eastAsia" w:ascii="宋体" w:hAnsi="宋体"/>
          <w:sz w:val="22"/>
          <w:szCs w:val="22"/>
        </w:rPr>
      </w:pPr>
      <w:r>
        <w:rPr>
          <w:rFonts w:hint="eastAsia" w:ascii="宋体" w:hAnsi="宋体"/>
          <w:sz w:val="22"/>
          <w:szCs w:val="22"/>
        </w:rPr>
        <w:t>12.2 包装和运输应符合本技术文件中有关文件的要求和引用标准。</w:t>
      </w:r>
    </w:p>
    <w:p>
      <w:pPr>
        <w:spacing w:line="360" w:lineRule="auto"/>
        <w:rPr>
          <w:rFonts w:hint="eastAsia" w:ascii="宋体" w:hAnsi="宋体"/>
          <w:sz w:val="22"/>
          <w:szCs w:val="22"/>
        </w:rPr>
      </w:pPr>
      <w:r>
        <w:rPr>
          <w:rFonts w:hint="eastAsia" w:ascii="宋体" w:hAnsi="宋体"/>
          <w:sz w:val="22"/>
          <w:szCs w:val="22"/>
        </w:rPr>
        <w:t>12.3 设备装配后整体运输，运输方式见商务合同。</w:t>
      </w:r>
    </w:p>
    <w:p>
      <w:pPr>
        <w:spacing w:line="360" w:lineRule="auto"/>
        <w:rPr>
          <w:rFonts w:hint="eastAsia" w:ascii="宋体" w:hAnsi="宋体"/>
          <w:sz w:val="24"/>
        </w:rPr>
      </w:pPr>
      <w:r>
        <w:rPr>
          <w:rFonts w:hint="eastAsia" w:ascii="宋体" w:hAnsi="宋体"/>
          <w:sz w:val="24"/>
        </w:rPr>
        <w:t>12.4 交货期及交货地点以商务合同为准。</w:t>
      </w:r>
    </w:p>
    <w:p>
      <w:pPr>
        <w:spacing w:line="480" w:lineRule="auto"/>
        <w:rPr>
          <w:rFonts w:hint="eastAsia" w:ascii="宋体" w:hAnsi="宋体"/>
          <w:b/>
          <w:sz w:val="28"/>
          <w:szCs w:val="28"/>
        </w:rPr>
      </w:pPr>
      <w:r>
        <w:rPr>
          <w:rFonts w:hint="eastAsia" w:ascii="宋体" w:hAnsi="宋体"/>
          <w:b/>
          <w:sz w:val="28"/>
          <w:szCs w:val="28"/>
        </w:rPr>
        <w:t>13 服务承诺</w:t>
      </w:r>
    </w:p>
    <w:p>
      <w:pPr>
        <w:spacing w:line="360" w:lineRule="auto"/>
        <w:rPr>
          <w:rFonts w:hint="eastAsia" w:ascii="宋体" w:hAnsi="宋体"/>
          <w:sz w:val="24"/>
        </w:rPr>
      </w:pPr>
      <w:r>
        <w:rPr>
          <w:rFonts w:hint="eastAsia" w:ascii="宋体" w:hAnsi="宋体"/>
          <w:sz w:val="24"/>
        </w:rPr>
        <w:t>13.1 现场服务</w:t>
      </w:r>
    </w:p>
    <w:p>
      <w:pPr>
        <w:spacing w:line="360" w:lineRule="auto"/>
        <w:rPr>
          <w:rFonts w:hint="eastAsia" w:ascii="宋体" w:hAnsi="宋体"/>
          <w:sz w:val="24"/>
        </w:rPr>
      </w:pPr>
      <w:r>
        <w:rPr>
          <w:rFonts w:hint="eastAsia" w:ascii="宋体" w:hAnsi="宋体"/>
          <w:sz w:val="24"/>
        </w:rPr>
        <w:t xml:space="preserve">    为了保证设备的安装、调试顺利。乙方派技术人员到施工现场参加指导设备的安装、调试和试运工作及技术服务（免费），甲方应提供现场工作条件。一般指导设备安装的时间为1天，调试和试运工作及技术培训的时间为1天；若甲方要求超出此规定的服务时间，属甲方原因的，甲方需向乙方缴纳延长服务费用。</w:t>
      </w:r>
    </w:p>
    <w:p>
      <w:pPr>
        <w:spacing w:line="360" w:lineRule="auto"/>
        <w:ind w:firstLine="480" w:firstLineChars="200"/>
        <w:rPr>
          <w:rFonts w:hint="eastAsia" w:ascii="宋体" w:hAnsi="宋体"/>
          <w:sz w:val="24"/>
        </w:rPr>
      </w:pPr>
      <w:r>
        <w:rPr>
          <w:rFonts w:hint="eastAsia" w:ascii="宋体" w:hAnsi="宋体"/>
          <w:sz w:val="24"/>
        </w:rPr>
        <w:t>乙方协调并负责外购成套件的服务。</w:t>
      </w:r>
    </w:p>
    <w:p>
      <w:pPr>
        <w:spacing w:line="360" w:lineRule="auto"/>
        <w:rPr>
          <w:rFonts w:hint="eastAsia" w:ascii="宋体" w:hAnsi="宋体"/>
          <w:sz w:val="24"/>
        </w:rPr>
      </w:pPr>
      <w:r>
        <w:rPr>
          <w:rFonts w:hint="eastAsia" w:ascii="宋体" w:hAnsi="宋体"/>
          <w:sz w:val="24"/>
        </w:rPr>
        <w:t>13.2 售后服务</w:t>
      </w:r>
    </w:p>
    <w:p>
      <w:pPr>
        <w:spacing w:line="360" w:lineRule="auto"/>
        <w:ind w:firstLine="480" w:firstLineChars="200"/>
        <w:rPr>
          <w:rFonts w:hint="eastAsia" w:ascii="宋体" w:hAnsi="宋体"/>
          <w:sz w:val="24"/>
        </w:rPr>
      </w:pPr>
      <w:r>
        <w:rPr>
          <w:rFonts w:hint="eastAsia" w:ascii="宋体" w:hAnsi="宋体"/>
          <w:sz w:val="24"/>
        </w:rPr>
        <w:t>开工正常后，现场如出现问题，乙方接到通知后应在8小时内给予答复。若需派人到现场解决问题，乙方接到通知后24小时内到达现场。</w:t>
      </w:r>
    </w:p>
    <w:p>
      <w:pPr>
        <w:spacing w:line="360" w:lineRule="auto"/>
        <w:ind w:firstLine="480" w:firstLineChars="200"/>
        <w:rPr>
          <w:rFonts w:hint="eastAsia" w:ascii="宋体" w:hAnsi="宋体"/>
          <w:sz w:val="24"/>
        </w:rPr>
      </w:pPr>
      <w:r>
        <w:rPr>
          <w:rFonts w:hint="eastAsia" w:ascii="宋体" w:hAnsi="宋体"/>
          <w:sz w:val="24"/>
        </w:rPr>
        <w:t>在质量保证期内设备出现质量问题，由乙方免费维修或更换。</w:t>
      </w:r>
    </w:p>
    <w:p>
      <w:pPr>
        <w:spacing w:line="360" w:lineRule="auto"/>
        <w:ind w:firstLine="480" w:firstLineChars="200"/>
        <w:rPr>
          <w:rFonts w:hint="eastAsia" w:ascii="宋体" w:hAnsi="宋体"/>
          <w:sz w:val="24"/>
        </w:rPr>
      </w:pPr>
      <w:r>
        <w:rPr>
          <w:rFonts w:hint="eastAsia" w:ascii="宋体" w:hAnsi="宋体"/>
          <w:sz w:val="24"/>
        </w:rPr>
        <w:t>在泵的整个寿命期间，乙方均及时提供业主订购的备品备件，解答业主提出的问题，乙方长期向业主提供较稳定价格的备品备件。</w:t>
      </w:r>
    </w:p>
    <w:p>
      <w:pPr>
        <w:spacing w:line="360" w:lineRule="auto"/>
        <w:ind w:firstLine="480" w:firstLineChars="200"/>
        <w:rPr>
          <w:rFonts w:hint="eastAsia" w:ascii="宋体" w:hAnsi="宋体"/>
          <w:sz w:val="24"/>
        </w:rPr>
      </w:pPr>
      <w:r>
        <w:rPr>
          <w:rFonts w:hint="eastAsia" w:ascii="宋体" w:hAnsi="宋体"/>
          <w:sz w:val="24"/>
        </w:rPr>
        <w:t>乙方负责泵上配套的外购设备的售后服务协调。</w:t>
      </w:r>
    </w:p>
    <w:p>
      <w:pPr>
        <w:rPr>
          <w:rFonts w:hint="eastAsia" w:ascii="宋体" w:hAnsi="宋体"/>
          <w:b/>
          <w:sz w:val="28"/>
          <w:szCs w:val="28"/>
        </w:rPr>
      </w:pPr>
      <w:r>
        <w:rPr>
          <w:rFonts w:hint="eastAsia" w:ascii="宋体" w:hAnsi="宋体"/>
          <w:b/>
          <w:sz w:val="28"/>
          <w:szCs w:val="28"/>
        </w:rPr>
        <w:t>14 文件资料交付</w:t>
      </w:r>
    </w:p>
    <w:p>
      <w:pPr>
        <w:rPr>
          <w:rFonts w:hint="eastAsia" w:ascii="宋体" w:hAnsi="宋体"/>
          <w:b/>
          <w:sz w:val="28"/>
          <w:szCs w:val="28"/>
        </w:rPr>
      </w:pPr>
    </w:p>
    <w:tbl>
      <w:tblPr>
        <w:tblStyle w:val="2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5651"/>
        <w:gridCol w:w="1301"/>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56" w:type="pct"/>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rPr>
            </w:pPr>
            <w:r>
              <w:rPr>
                <w:rFonts w:hint="eastAsia" w:ascii="宋体" w:hAnsi="宋体"/>
                <w:sz w:val="24"/>
              </w:rPr>
              <w:t>阶段</w:t>
            </w:r>
          </w:p>
        </w:tc>
        <w:tc>
          <w:tcPr>
            <w:tcW w:w="2954" w:type="pct"/>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rPr>
            </w:pPr>
            <w:r>
              <w:rPr>
                <w:rFonts w:hint="eastAsia" w:ascii="宋体" w:hAnsi="宋体"/>
                <w:sz w:val="24"/>
              </w:rPr>
              <w:t>资料名称</w:t>
            </w:r>
          </w:p>
        </w:tc>
        <w:tc>
          <w:tcPr>
            <w:tcW w:w="680" w:type="pct"/>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rPr>
            </w:pPr>
            <w:r>
              <w:rPr>
                <w:rFonts w:hint="eastAsia" w:ascii="宋体" w:hAnsi="宋体"/>
                <w:sz w:val="24"/>
              </w:rPr>
              <w:t>日期</w:t>
            </w:r>
          </w:p>
        </w:tc>
        <w:tc>
          <w:tcPr>
            <w:tcW w:w="507" w:type="pct"/>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24"/>
              </w:rPr>
            </w:pPr>
            <w:r>
              <w:rPr>
                <w:rFonts w:hint="eastAsia" w:ascii="宋体" w:hAnsi="宋体"/>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56" w:type="pct"/>
            <w:vMerge w:val="restart"/>
            <w:tcBorders>
              <w:top w:val="single" w:color="auto" w:sz="4" w:space="0"/>
              <w:left w:val="single" w:color="auto" w:sz="4" w:space="0"/>
              <w:right w:val="single" w:color="auto" w:sz="4" w:space="0"/>
            </w:tcBorders>
            <w:vAlign w:val="center"/>
          </w:tcPr>
          <w:p>
            <w:pPr>
              <w:spacing w:line="440" w:lineRule="exact"/>
              <w:rPr>
                <w:rFonts w:hint="eastAsia" w:ascii="宋体" w:hAnsi="宋体"/>
                <w:sz w:val="24"/>
              </w:rPr>
            </w:pPr>
            <w:r>
              <w:rPr>
                <w:rFonts w:hint="eastAsia" w:ascii="宋体" w:hAnsi="宋体"/>
                <w:sz w:val="24"/>
              </w:rPr>
              <w:t>供确认</w:t>
            </w:r>
          </w:p>
        </w:tc>
        <w:tc>
          <w:tcPr>
            <w:tcW w:w="2954"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r>
              <w:rPr>
                <w:rFonts w:ascii="宋体" w:hAnsi="宋体"/>
                <w:sz w:val="24"/>
              </w:rPr>
              <w:t>1.</w:t>
            </w:r>
            <w:r>
              <w:rPr>
                <w:rFonts w:hint="eastAsia" w:ascii="宋体" w:hAnsi="宋体"/>
                <w:sz w:val="24"/>
              </w:rPr>
              <w:t>设备数据表，预期性能曲线</w:t>
            </w:r>
          </w:p>
        </w:tc>
        <w:tc>
          <w:tcPr>
            <w:tcW w:w="680"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r>
              <w:rPr>
                <w:rFonts w:hint="eastAsia" w:ascii="宋体" w:hAnsi="宋体"/>
                <w:sz w:val="24"/>
              </w:rPr>
              <w:t>7（</w:t>
            </w:r>
            <w:r>
              <w:rPr>
                <w:rFonts w:ascii="宋体" w:hAnsi="宋体"/>
                <w:sz w:val="24"/>
              </w:rPr>
              <w:t>1</w:t>
            </w:r>
            <w:r>
              <w:rPr>
                <w:rFonts w:hint="eastAsia" w:ascii="宋体" w:hAnsi="宋体"/>
                <w:sz w:val="24"/>
              </w:rPr>
              <w:t>）</w:t>
            </w:r>
          </w:p>
        </w:tc>
        <w:tc>
          <w:tcPr>
            <w:tcW w:w="507"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r>
              <w:rPr>
                <w:rFonts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56" w:type="pct"/>
            <w:vMerge w:val="continue"/>
            <w:tcBorders>
              <w:left w:val="single" w:color="auto" w:sz="4" w:space="0"/>
              <w:right w:val="single" w:color="auto" w:sz="4" w:space="0"/>
            </w:tcBorders>
            <w:vAlign w:val="center"/>
          </w:tcPr>
          <w:p>
            <w:pPr>
              <w:spacing w:line="440" w:lineRule="exact"/>
              <w:rPr>
                <w:rFonts w:ascii="宋体" w:hAnsi="宋体"/>
                <w:sz w:val="24"/>
              </w:rPr>
            </w:pPr>
          </w:p>
        </w:tc>
        <w:tc>
          <w:tcPr>
            <w:tcW w:w="2954"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r>
              <w:rPr>
                <w:rFonts w:hint="eastAsia" w:ascii="宋体" w:hAnsi="宋体"/>
                <w:sz w:val="24"/>
              </w:rPr>
              <w:t>2.泵的外形图</w:t>
            </w:r>
          </w:p>
        </w:tc>
        <w:tc>
          <w:tcPr>
            <w:tcW w:w="680"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r>
              <w:rPr>
                <w:rFonts w:hint="eastAsia" w:ascii="宋体" w:hAnsi="宋体"/>
                <w:sz w:val="24"/>
              </w:rPr>
              <w:t>7（</w:t>
            </w:r>
            <w:r>
              <w:rPr>
                <w:rFonts w:ascii="宋体" w:hAnsi="宋体"/>
                <w:sz w:val="24"/>
              </w:rPr>
              <w:t>1</w:t>
            </w:r>
            <w:r>
              <w:rPr>
                <w:rFonts w:hint="eastAsia" w:ascii="宋体" w:hAnsi="宋体"/>
                <w:sz w:val="24"/>
              </w:rPr>
              <w:t>）</w:t>
            </w:r>
          </w:p>
        </w:tc>
        <w:tc>
          <w:tcPr>
            <w:tcW w:w="507"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56" w:type="pct"/>
            <w:tcBorders>
              <w:left w:val="single" w:color="auto" w:sz="4" w:space="0"/>
              <w:right w:val="single" w:color="auto" w:sz="4" w:space="0"/>
            </w:tcBorders>
            <w:vAlign w:val="center"/>
          </w:tcPr>
          <w:p>
            <w:pPr>
              <w:spacing w:line="440" w:lineRule="exact"/>
              <w:rPr>
                <w:rFonts w:ascii="宋体" w:hAnsi="宋体"/>
                <w:sz w:val="24"/>
              </w:rPr>
            </w:pPr>
          </w:p>
        </w:tc>
        <w:tc>
          <w:tcPr>
            <w:tcW w:w="2954" w:type="pct"/>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sz w:val="24"/>
              </w:rPr>
            </w:pPr>
            <w:r>
              <w:rPr>
                <w:rFonts w:hint="eastAsia" w:ascii="宋体" w:hAnsi="宋体"/>
                <w:sz w:val="24"/>
              </w:rPr>
              <w:t>3.仪表安装，使用维护手册</w:t>
            </w:r>
          </w:p>
        </w:tc>
        <w:tc>
          <w:tcPr>
            <w:tcW w:w="680" w:type="pct"/>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sz w:val="24"/>
              </w:rPr>
            </w:pPr>
            <w:r>
              <w:rPr>
                <w:rFonts w:hint="eastAsia" w:ascii="宋体" w:hAnsi="宋体"/>
                <w:sz w:val="24"/>
              </w:rPr>
              <w:t>7（1）</w:t>
            </w:r>
          </w:p>
        </w:tc>
        <w:tc>
          <w:tcPr>
            <w:tcW w:w="507" w:type="pct"/>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56" w:type="pct"/>
            <w:tcBorders>
              <w:left w:val="single" w:color="auto" w:sz="4" w:space="0"/>
              <w:right w:val="single" w:color="auto" w:sz="4" w:space="0"/>
            </w:tcBorders>
            <w:vAlign w:val="center"/>
          </w:tcPr>
          <w:p>
            <w:pPr>
              <w:spacing w:line="440" w:lineRule="exact"/>
              <w:rPr>
                <w:rFonts w:ascii="宋体" w:hAnsi="宋体"/>
                <w:sz w:val="24"/>
              </w:rPr>
            </w:pPr>
          </w:p>
        </w:tc>
        <w:tc>
          <w:tcPr>
            <w:tcW w:w="2954" w:type="pct"/>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sz w:val="24"/>
              </w:rPr>
            </w:pPr>
            <w:r>
              <w:rPr>
                <w:rFonts w:hint="eastAsia" w:ascii="宋体" w:hAnsi="宋体"/>
                <w:sz w:val="24"/>
              </w:rPr>
              <w:t>4.电机外形图</w:t>
            </w:r>
          </w:p>
        </w:tc>
        <w:tc>
          <w:tcPr>
            <w:tcW w:w="680" w:type="pct"/>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sz w:val="24"/>
              </w:rPr>
            </w:pPr>
            <w:r>
              <w:rPr>
                <w:rFonts w:hint="eastAsia" w:ascii="宋体" w:hAnsi="宋体"/>
                <w:sz w:val="24"/>
              </w:rPr>
              <w:t>7（1）</w:t>
            </w:r>
          </w:p>
        </w:tc>
        <w:tc>
          <w:tcPr>
            <w:tcW w:w="507" w:type="pct"/>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56" w:type="pct"/>
            <w:tcBorders>
              <w:left w:val="single" w:color="auto" w:sz="4" w:space="0"/>
              <w:right w:val="single" w:color="auto" w:sz="4" w:space="0"/>
            </w:tcBorders>
            <w:vAlign w:val="center"/>
          </w:tcPr>
          <w:p>
            <w:pPr>
              <w:spacing w:line="440" w:lineRule="exact"/>
              <w:rPr>
                <w:rFonts w:ascii="宋体" w:hAnsi="宋体"/>
                <w:sz w:val="24"/>
              </w:rPr>
            </w:pPr>
          </w:p>
        </w:tc>
        <w:tc>
          <w:tcPr>
            <w:tcW w:w="2954" w:type="pct"/>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sz w:val="24"/>
              </w:rPr>
            </w:pPr>
            <w:r>
              <w:rPr>
                <w:rFonts w:hint="eastAsia" w:ascii="宋体" w:hAnsi="宋体"/>
                <w:sz w:val="24"/>
              </w:rPr>
              <w:t>5.电器接线图及控制原理图</w:t>
            </w:r>
          </w:p>
        </w:tc>
        <w:tc>
          <w:tcPr>
            <w:tcW w:w="680" w:type="pct"/>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sz w:val="24"/>
              </w:rPr>
            </w:pPr>
            <w:r>
              <w:rPr>
                <w:rFonts w:hint="eastAsia" w:ascii="宋体" w:hAnsi="宋体"/>
                <w:sz w:val="24"/>
              </w:rPr>
              <w:t>7（1）</w:t>
            </w:r>
          </w:p>
        </w:tc>
        <w:tc>
          <w:tcPr>
            <w:tcW w:w="507" w:type="pct"/>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5000" w:type="pct"/>
            <w:gridSpan w:val="4"/>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56" w:type="pct"/>
            <w:vMerge w:val="restart"/>
            <w:tcBorders>
              <w:top w:val="single" w:color="auto" w:sz="4" w:space="0"/>
              <w:left w:val="single" w:color="auto" w:sz="4" w:space="0"/>
              <w:right w:val="single" w:color="auto" w:sz="4" w:space="0"/>
            </w:tcBorders>
          </w:tcPr>
          <w:p>
            <w:pPr>
              <w:spacing w:line="440" w:lineRule="exact"/>
              <w:rPr>
                <w:rFonts w:ascii="宋体" w:hAnsi="宋体"/>
                <w:sz w:val="24"/>
              </w:rPr>
            </w:pPr>
            <w:r>
              <w:rPr>
                <w:rFonts w:hint="eastAsia" w:ascii="宋体" w:hAnsi="宋体"/>
                <w:sz w:val="24"/>
              </w:rPr>
              <w:t>最终文件</w:t>
            </w:r>
          </w:p>
        </w:tc>
        <w:tc>
          <w:tcPr>
            <w:tcW w:w="2954"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r>
              <w:rPr>
                <w:rFonts w:hint="eastAsia" w:ascii="宋体" w:hAnsi="宋体"/>
                <w:sz w:val="24"/>
              </w:rPr>
              <w:t>1.产品合格证</w:t>
            </w:r>
          </w:p>
        </w:tc>
        <w:tc>
          <w:tcPr>
            <w:tcW w:w="680"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r>
              <w:rPr>
                <w:rFonts w:hint="eastAsia" w:ascii="宋体" w:hAnsi="宋体"/>
                <w:sz w:val="24"/>
              </w:rPr>
              <w:t>（2）</w:t>
            </w:r>
          </w:p>
        </w:tc>
        <w:tc>
          <w:tcPr>
            <w:tcW w:w="507"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56" w:type="pct"/>
            <w:vMerge w:val="continue"/>
            <w:tcBorders>
              <w:left w:val="single" w:color="auto" w:sz="4" w:space="0"/>
              <w:right w:val="single" w:color="auto" w:sz="4" w:space="0"/>
            </w:tcBorders>
          </w:tcPr>
          <w:p>
            <w:pPr>
              <w:spacing w:line="440" w:lineRule="exact"/>
              <w:rPr>
                <w:rFonts w:hint="eastAsia" w:ascii="宋体" w:hAnsi="宋体"/>
                <w:sz w:val="24"/>
              </w:rPr>
            </w:pPr>
          </w:p>
        </w:tc>
        <w:tc>
          <w:tcPr>
            <w:tcW w:w="2954" w:type="pct"/>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sz w:val="24"/>
              </w:rPr>
            </w:pPr>
            <w:r>
              <w:rPr>
                <w:rFonts w:hint="eastAsia" w:ascii="宋体" w:hAnsi="宋体"/>
                <w:sz w:val="24"/>
              </w:rPr>
              <w:t>2.外形安装尺寸图（包括重量）</w:t>
            </w:r>
          </w:p>
        </w:tc>
        <w:tc>
          <w:tcPr>
            <w:tcW w:w="680"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r>
              <w:rPr>
                <w:rFonts w:hint="eastAsia" w:ascii="宋体" w:hAnsi="宋体"/>
                <w:sz w:val="24"/>
              </w:rPr>
              <w:t>（2）</w:t>
            </w:r>
          </w:p>
        </w:tc>
        <w:tc>
          <w:tcPr>
            <w:tcW w:w="507"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56" w:type="pct"/>
            <w:vMerge w:val="continue"/>
            <w:tcBorders>
              <w:left w:val="single" w:color="auto" w:sz="4" w:space="0"/>
              <w:right w:val="single" w:color="auto" w:sz="4" w:space="0"/>
            </w:tcBorders>
          </w:tcPr>
          <w:p>
            <w:pPr>
              <w:spacing w:line="440" w:lineRule="exact"/>
              <w:rPr>
                <w:rFonts w:ascii="宋体" w:hAnsi="宋体"/>
                <w:sz w:val="24"/>
              </w:rPr>
            </w:pPr>
          </w:p>
        </w:tc>
        <w:tc>
          <w:tcPr>
            <w:tcW w:w="2954"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r>
              <w:rPr>
                <w:rFonts w:hint="eastAsia" w:ascii="宋体" w:hAnsi="宋体"/>
                <w:sz w:val="24"/>
              </w:rPr>
              <w:t>3.</w:t>
            </w:r>
            <w:r>
              <w:rPr>
                <w:rFonts w:hint="eastAsia"/>
              </w:rPr>
              <w:t xml:space="preserve"> </w:t>
            </w:r>
            <w:r>
              <w:rPr>
                <w:rFonts w:hint="eastAsia"/>
                <w:sz w:val="24"/>
              </w:rPr>
              <w:t>性能试验报告、检验报告及材料证书</w:t>
            </w:r>
          </w:p>
        </w:tc>
        <w:tc>
          <w:tcPr>
            <w:tcW w:w="680"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r>
              <w:rPr>
                <w:rFonts w:hint="eastAsia" w:ascii="宋体" w:hAnsi="宋体"/>
                <w:sz w:val="24"/>
              </w:rPr>
              <w:t>（2）</w:t>
            </w:r>
          </w:p>
        </w:tc>
        <w:tc>
          <w:tcPr>
            <w:tcW w:w="507"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56" w:type="pct"/>
            <w:vMerge w:val="continue"/>
            <w:tcBorders>
              <w:left w:val="single" w:color="auto" w:sz="4" w:space="0"/>
              <w:right w:val="single" w:color="auto" w:sz="4" w:space="0"/>
            </w:tcBorders>
          </w:tcPr>
          <w:p>
            <w:pPr>
              <w:spacing w:line="440" w:lineRule="exact"/>
              <w:rPr>
                <w:rFonts w:ascii="宋体" w:hAnsi="宋体"/>
                <w:sz w:val="24"/>
              </w:rPr>
            </w:pPr>
          </w:p>
        </w:tc>
        <w:tc>
          <w:tcPr>
            <w:tcW w:w="2954" w:type="pct"/>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sz w:val="24"/>
              </w:rPr>
            </w:pPr>
            <w:r>
              <w:rPr>
                <w:rFonts w:hint="eastAsia" w:ascii="宋体" w:hAnsi="宋体"/>
                <w:sz w:val="24"/>
              </w:rPr>
              <w:t>4.完整的数据表，性能曲线</w:t>
            </w:r>
          </w:p>
        </w:tc>
        <w:tc>
          <w:tcPr>
            <w:tcW w:w="680"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r>
              <w:rPr>
                <w:rFonts w:hint="eastAsia" w:ascii="宋体" w:hAnsi="宋体"/>
                <w:sz w:val="24"/>
              </w:rPr>
              <w:t>（2）</w:t>
            </w:r>
          </w:p>
        </w:tc>
        <w:tc>
          <w:tcPr>
            <w:tcW w:w="507"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56" w:type="pct"/>
            <w:vMerge w:val="continue"/>
            <w:tcBorders>
              <w:left w:val="single" w:color="auto" w:sz="4" w:space="0"/>
              <w:right w:val="single" w:color="auto" w:sz="4" w:space="0"/>
            </w:tcBorders>
          </w:tcPr>
          <w:p>
            <w:pPr>
              <w:spacing w:line="440" w:lineRule="exact"/>
              <w:rPr>
                <w:rFonts w:ascii="宋体" w:hAnsi="宋体"/>
                <w:sz w:val="24"/>
              </w:rPr>
            </w:pPr>
          </w:p>
        </w:tc>
        <w:tc>
          <w:tcPr>
            <w:tcW w:w="2954" w:type="pct"/>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sz w:val="24"/>
              </w:rPr>
            </w:pPr>
            <w:r>
              <w:rPr>
                <w:rFonts w:hint="eastAsia" w:ascii="宋体" w:hAnsi="宋体"/>
                <w:sz w:val="24"/>
              </w:rPr>
              <w:t>5.操作、安装、维护说明书，合格证</w:t>
            </w:r>
          </w:p>
        </w:tc>
        <w:tc>
          <w:tcPr>
            <w:tcW w:w="680"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r>
              <w:rPr>
                <w:rFonts w:hint="eastAsia" w:ascii="宋体" w:hAnsi="宋体"/>
                <w:sz w:val="24"/>
              </w:rPr>
              <w:t>（2）</w:t>
            </w:r>
          </w:p>
        </w:tc>
        <w:tc>
          <w:tcPr>
            <w:tcW w:w="507"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56" w:type="pct"/>
            <w:vMerge w:val="continue"/>
            <w:tcBorders>
              <w:left w:val="single" w:color="auto" w:sz="4" w:space="0"/>
              <w:right w:val="single" w:color="auto" w:sz="4" w:space="0"/>
            </w:tcBorders>
          </w:tcPr>
          <w:p>
            <w:pPr>
              <w:spacing w:line="440" w:lineRule="exact"/>
              <w:rPr>
                <w:rFonts w:ascii="宋体" w:hAnsi="宋体"/>
                <w:sz w:val="24"/>
              </w:rPr>
            </w:pPr>
          </w:p>
        </w:tc>
        <w:tc>
          <w:tcPr>
            <w:tcW w:w="2954" w:type="pct"/>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sz w:val="24"/>
              </w:rPr>
            </w:pPr>
            <w:r>
              <w:rPr>
                <w:rFonts w:hint="eastAsia" w:ascii="宋体" w:hAnsi="宋体"/>
                <w:sz w:val="24"/>
              </w:rPr>
              <w:t>6.随机备件清单</w:t>
            </w:r>
          </w:p>
        </w:tc>
        <w:tc>
          <w:tcPr>
            <w:tcW w:w="680"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r>
              <w:rPr>
                <w:rFonts w:hint="eastAsia" w:ascii="宋体" w:hAnsi="宋体"/>
                <w:sz w:val="24"/>
              </w:rPr>
              <w:t>（2）</w:t>
            </w:r>
          </w:p>
        </w:tc>
        <w:tc>
          <w:tcPr>
            <w:tcW w:w="507" w:type="pct"/>
            <w:tcBorders>
              <w:top w:val="single" w:color="auto" w:sz="4" w:space="0"/>
              <w:left w:val="single" w:color="auto" w:sz="4" w:space="0"/>
              <w:bottom w:val="single" w:color="auto" w:sz="4" w:space="0"/>
              <w:right w:val="single" w:color="auto" w:sz="4" w:space="0"/>
            </w:tcBorders>
          </w:tcPr>
          <w:p>
            <w:pPr>
              <w:spacing w:line="440" w:lineRule="exact"/>
              <w:rPr>
                <w:rFonts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56" w:type="pct"/>
            <w:vMerge w:val="continue"/>
            <w:tcBorders>
              <w:left w:val="single" w:color="auto" w:sz="4" w:space="0"/>
              <w:bottom w:val="single" w:color="auto" w:sz="4" w:space="0"/>
              <w:right w:val="single" w:color="auto" w:sz="4" w:space="0"/>
            </w:tcBorders>
          </w:tcPr>
          <w:p>
            <w:pPr>
              <w:spacing w:line="440" w:lineRule="exact"/>
              <w:rPr>
                <w:rFonts w:ascii="宋体" w:hAnsi="宋体"/>
                <w:sz w:val="24"/>
              </w:rPr>
            </w:pPr>
          </w:p>
        </w:tc>
        <w:tc>
          <w:tcPr>
            <w:tcW w:w="2954" w:type="pct"/>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sz w:val="24"/>
              </w:rPr>
            </w:pPr>
            <w:r>
              <w:rPr>
                <w:rFonts w:hint="eastAsia" w:ascii="宋体" w:hAnsi="宋体"/>
                <w:sz w:val="24"/>
              </w:rPr>
              <w:t>7.装箱清单</w:t>
            </w:r>
          </w:p>
        </w:tc>
        <w:tc>
          <w:tcPr>
            <w:tcW w:w="680" w:type="pct"/>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sz w:val="24"/>
              </w:rPr>
            </w:pPr>
            <w:r>
              <w:rPr>
                <w:rFonts w:hint="eastAsia" w:ascii="宋体" w:hAnsi="宋体"/>
                <w:sz w:val="24"/>
              </w:rPr>
              <w:t>（2）</w:t>
            </w:r>
          </w:p>
        </w:tc>
        <w:tc>
          <w:tcPr>
            <w:tcW w:w="507" w:type="pct"/>
            <w:tcBorders>
              <w:top w:val="single" w:color="auto" w:sz="4" w:space="0"/>
              <w:left w:val="single" w:color="auto" w:sz="4" w:space="0"/>
              <w:bottom w:val="single" w:color="auto" w:sz="4" w:space="0"/>
              <w:right w:val="single" w:color="auto" w:sz="4" w:space="0"/>
            </w:tcBorders>
          </w:tcPr>
          <w:p>
            <w:pPr>
              <w:spacing w:line="440" w:lineRule="exact"/>
              <w:rPr>
                <w:rFonts w:hint="eastAsia" w:ascii="宋体" w:hAnsi="宋体"/>
                <w:sz w:val="24"/>
              </w:rPr>
            </w:pPr>
            <w:r>
              <w:rPr>
                <w:rFonts w:hint="eastAsia" w:ascii="宋体" w:hAnsi="宋体"/>
                <w:sz w:val="24"/>
              </w:rPr>
              <w:t>3</w:t>
            </w:r>
          </w:p>
        </w:tc>
      </w:tr>
    </w:tbl>
    <w:p>
      <w:pPr>
        <w:spacing w:line="360" w:lineRule="auto"/>
        <w:rPr>
          <w:rFonts w:hint="eastAsia"/>
          <w:sz w:val="24"/>
        </w:rPr>
      </w:pPr>
      <w:r>
        <w:rPr>
          <w:rFonts w:hint="eastAsia" w:ascii="宋体" w:hAnsi="宋体"/>
          <w:sz w:val="24"/>
        </w:rPr>
        <w:t>注：</w:t>
      </w:r>
      <w:r>
        <w:rPr>
          <w:rFonts w:hint="eastAsia"/>
        </w:rPr>
        <w:t xml:space="preserve"> 1）</w:t>
      </w:r>
      <w:r>
        <w:rPr>
          <w:rFonts w:hint="eastAsia"/>
          <w:sz w:val="24"/>
        </w:rPr>
        <w:t>卖方提供的技术文件应采用国际单位制。资料的组织结构清晰、逻辑性强。资料内容要正确、准确、一致、清晰、完整，满足工程要求。2）卖方资料的提交及时充分，满足工程进度要求。在合同签定后7个工作日内给出全部技术资料清单和交付进度，并经用户确认。3）对于其它没有列入清单中的工程所必需的文件和资料，一经发现卖方也应及时免费提供。</w:t>
      </w:r>
    </w:p>
    <w:p>
      <w:pPr>
        <w:spacing w:line="360" w:lineRule="auto"/>
        <w:rPr>
          <w:rFonts w:hint="eastAsia" w:ascii="宋体" w:hAnsi="宋体" w:cs="Arial"/>
          <w:b/>
          <w:bCs/>
          <w:kern w:val="10"/>
          <w:sz w:val="28"/>
        </w:rPr>
      </w:pPr>
      <w:r>
        <w:rPr>
          <w:rFonts w:hint="eastAsia" w:ascii="宋体" w:hAnsi="宋体"/>
          <w:b/>
          <w:sz w:val="28"/>
          <w:szCs w:val="28"/>
        </w:rPr>
        <w:t>15 公用工程消耗表</w:t>
      </w:r>
      <w:bookmarkStart w:id="6" w:name="_Toc62658137"/>
      <w:bookmarkStart w:id="7" w:name="_Toc62335174"/>
      <w:r>
        <w:rPr>
          <w:rFonts w:hint="eastAsia" w:ascii="宋体" w:hAnsi="宋体" w:cs="Arial"/>
          <w:b/>
          <w:bCs/>
          <w:kern w:val="10"/>
          <w:sz w:val="28"/>
        </w:rPr>
        <w:t>(按单台泵计)</w:t>
      </w:r>
      <w:bookmarkEnd w:id="6"/>
      <w:bookmarkEnd w:id="7"/>
    </w:p>
    <w:tbl>
      <w:tblPr>
        <w:tblStyle w:val="2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164"/>
        <w:gridCol w:w="1869"/>
        <w:gridCol w:w="1168"/>
        <w:gridCol w:w="2581"/>
        <w:gridCol w:w="693"/>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vAlign w:val="center"/>
          </w:tcPr>
          <w:p>
            <w:pPr>
              <w:spacing w:line="360" w:lineRule="auto"/>
              <w:rPr>
                <w:rFonts w:hint="eastAsia" w:ascii="仿宋" w:hAnsi="仿宋" w:eastAsia="仿宋" w:cs="仿宋"/>
                <w:b/>
                <w:bCs/>
                <w:w w:val="95"/>
                <w:kern w:val="10"/>
                <w:sz w:val="24"/>
              </w:rPr>
            </w:pPr>
            <w:bookmarkStart w:id="8" w:name="_Toc47258639"/>
            <w:r>
              <w:rPr>
                <w:rFonts w:hint="eastAsia" w:ascii="仿宋" w:hAnsi="仿宋" w:eastAsia="仿宋" w:cs="仿宋"/>
                <w:b/>
                <w:bCs/>
                <w:w w:val="95"/>
                <w:kern w:val="10"/>
                <w:sz w:val="24"/>
              </w:rPr>
              <w:t>序号</w:t>
            </w:r>
          </w:p>
        </w:tc>
        <w:tc>
          <w:tcPr>
            <w:tcW w:w="608" w:type="pct"/>
            <w:vAlign w:val="center"/>
          </w:tcPr>
          <w:p>
            <w:pPr>
              <w:spacing w:line="360" w:lineRule="auto"/>
              <w:rPr>
                <w:rFonts w:hint="eastAsia" w:ascii="仿宋" w:hAnsi="仿宋" w:eastAsia="仿宋" w:cs="仿宋"/>
                <w:b/>
                <w:bCs/>
                <w:w w:val="95"/>
                <w:kern w:val="10"/>
                <w:sz w:val="24"/>
              </w:rPr>
            </w:pPr>
            <w:r>
              <w:rPr>
                <w:rFonts w:hint="eastAsia" w:ascii="仿宋" w:hAnsi="仿宋" w:eastAsia="仿宋" w:cs="仿宋"/>
                <w:b/>
                <w:bCs/>
                <w:w w:val="95"/>
                <w:kern w:val="10"/>
                <w:sz w:val="24"/>
              </w:rPr>
              <w:t>消耗品</w:t>
            </w:r>
          </w:p>
          <w:p>
            <w:pPr>
              <w:spacing w:line="360" w:lineRule="auto"/>
              <w:rPr>
                <w:rFonts w:hint="eastAsia" w:ascii="仿宋" w:hAnsi="仿宋" w:eastAsia="仿宋" w:cs="仿宋"/>
                <w:b/>
                <w:bCs/>
                <w:w w:val="95"/>
                <w:kern w:val="10"/>
                <w:sz w:val="24"/>
              </w:rPr>
            </w:pPr>
            <w:r>
              <w:rPr>
                <w:rFonts w:hint="eastAsia" w:ascii="仿宋" w:hAnsi="仿宋" w:eastAsia="仿宋" w:cs="仿宋"/>
                <w:b/>
                <w:bCs/>
                <w:w w:val="95"/>
                <w:kern w:val="10"/>
                <w:sz w:val="24"/>
              </w:rPr>
              <w:t>名称</w:t>
            </w:r>
          </w:p>
        </w:tc>
        <w:tc>
          <w:tcPr>
            <w:tcW w:w="976" w:type="pct"/>
            <w:vAlign w:val="center"/>
          </w:tcPr>
          <w:p>
            <w:pPr>
              <w:spacing w:line="360" w:lineRule="auto"/>
              <w:rPr>
                <w:rFonts w:hint="eastAsia" w:ascii="仿宋" w:hAnsi="仿宋" w:eastAsia="仿宋" w:cs="仿宋"/>
                <w:b/>
                <w:bCs/>
                <w:w w:val="95"/>
                <w:kern w:val="10"/>
                <w:sz w:val="24"/>
              </w:rPr>
            </w:pPr>
            <w:r>
              <w:rPr>
                <w:rFonts w:hint="eastAsia" w:ascii="仿宋" w:hAnsi="仿宋" w:eastAsia="仿宋" w:cs="仿宋"/>
                <w:b/>
                <w:bCs/>
                <w:w w:val="95"/>
                <w:kern w:val="10"/>
                <w:sz w:val="24"/>
              </w:rPr>
              <w:t>设备名称</w:t>
            </w:r>
          </w:p>
        </w:tc>
        <w:tc>
          <w:tcPr>
            <w:tcW w:w="610" w:type="pct"/>
            <w:vAlign w:val="center"/>
          </w:tcPr>
          <w:p>
            <w:pPr>
              <w:spacing w:line="360" w:lineRule="auto"/>
              <w:rPr>
                <w:rFonts w:hint="eastAsia" w:ascii="仿宋" w:hAnsi="仿宋" w:eastAsia="仿宋" w:cs="仿宋"/>
                <w:b/>
                <w:bCs/>
                <w:w w:val="95"/>
                <w:kern w:val="10"/>
                <w:sz w:val="24"/>
              </w:rPr>
            </w:pPr>
            <w:r>
              <w:rPr>
                <w:rFonts w:hint="eastAsia" w:ascii="仿宋" w:hAnsi="仿宋" w:eastAsia="仿宋" w:cs="仿宋"/>
                <w:b/>
                <w:bCs/>
                <w:w w:val="95"/>
                <w:kern w:val="10"/>
                <w:sz w:val="24"/>
              </w:rPr>
              <w:t>规格型号</w:t>
            </w:r>
          </w:p>
        </w:tc>
        <w:tc>
          <w:tcPr>
            <w:tcW w:w="1348" w:type="pct"/>
            <w:vAlign w:val="center"/>
          </w:tcPr>
          <w:p>
            <w:pPr>
              <w:spacing w:line="360" w:lineRule="auto"/>
              <w:rPr>
                <w:rFonts w:hint="eastAsia" w:ascii="仿宋" w:hAnsi="仿宋" w:eastAsia="仿宋" w:cs="仿宋"/>
                <w:b/>
                <w:bCs/>
                <w:w w:val="95"/>
                <w:kern w:val="10"/>
                <w:sz w:val="24"/>
              </w:rPr>
            </w:pPr>
            <w:r>
              <w:rPr>
                <w:rFonts w:hint="eastAsia" w:ascii="仿宋" w:hAnsi="仿宋" w:eastAsia="仿宋" w:cs="仿宋"/>
                <w:b/>
                <w:bCs/>
                <w:w w:val="95"/>
                <w:kern w:val="10"/>
                <w:sz w:val="24"/>
              </w:rPr>
              <w:t>油品规格型号</w:t>
            </w:r>
          </w:p>
        </w:tc>
        <w:tc>
          <w:tcPr>
            <w:tcW w:w="362" w:type="pct"/>
            <w:vAlign w:val="center"/>
          </w:tcPr>
          <w:p>
            <w:pPr>
              <w:spacing w:line="360" w:lineRule="auto"/>
              <w:rPr>
                <w:rFonts w:hint="eastAsia" w:ascii="仿宋" w:hAnsi="仿宋" w:eastAsia="仿宋" w:cs="仿宋"/>
                <w:b/>
                <w:bCs/>
                <w:w w:val="95"/>
                <w:kern w:val="10"/>
                <w:sz w:val="24"/>
              </w:rPr>
            </w:pPr>
            <w:r>
              <w:rPr>
                <w:rFonts w:hint="eastAsia" w:ascii="仿宋" w:hAnsi="仿宋" w:eastAsia="仿宋" w:cs="仿宋"/>
                <w:b/>
                <w:bCs/>
                <w:w w:val="95"/>
                <w:kern w:val="10"/>
                <w:sz w:val="24"/>
              </w:rPr>
              <w:t>单位</w:t>
            </w:r>
          </w:p>
        </w:tc>
        <w:tc>
          <w:tcPr>
            <w:tcW w:w="731" w:type="pct"/>
            <w:vAlign w:val="center"/>
          </w:tcPr>
          <w:p>
            <w:pPr>
              <w:spacing w:line="360" w:lineRule="auto"/>
              <w:rPr>
                <w:rFonts w:hint="eastAsia" w:ascii="仿宋" w:hAnsi="仿宋" w:eastAsia="仿宋" w:cs="仿宋"/>
                <w:b/>
                <w:bCs/>
                <w:w w:val="95"/>
                <w:kern w:val="10"/>
                <w:sz w:val="24"/>
              </w:rPr>
            </w:pPr>
            <w:r>
              <w:rPr>
                <w:rFonts w:hint="eastAsia" w:ascii="仿宋" w:hAnsi="仿宋" w:eastAsia="仿宋" w:cs="仿宋"/>
                <w:b/>
                <w:bCs/>
                <w:w w:val="95"/>
                <w:kern w:val="1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361" w:type="pct"/>
            <w:vMerge w:val="restart"/>
            <w:vAlign w:val="center"/>
          </w:tcPr>
          <w:p>
            <w:pPr>
              <w:spacing w:line="360" w:lineRule="auto"/>
              <w:rPr>
                <w:rFonts w:hint="eastAsia" w:ascii="仿宋" w:hAnsi="仿宋" w:eastAsia="仿宋" w:cs="仿宋"/>
                <w:b/>
                <w:bCs/>
                <w:w w:val="95"/>
                <w:kern w:val="10"/>
                <w:sz w:val="24"/>
              </w:rPr>
            </w:pPr>
            <w:r>
              <w:rPr>
                <w:rFonts w:hint="eastAsia" w:ascii="仿宋" w:hAnsi="仿宋" w:eastAsia="仿宋" w:cs="仿宋"/>
                <w:b/>
                <w:bCs/>
                <w:w w:val="95"/>
                <w:kern w:val="10"/>
                <w:sz w:val="24"/>
              </w:rPr>
              <w:t>1</w:t>
            </w:r>
          </w:p>
        </w:tc>
        <w:tc>
          <w:tcPr>
            <w:tcW w:w="608" w:type="pct"/>
            <w:vAlign w:val="center"/>
          </w:tcPr>
          <w:p>
            <w:pPr>
              <w:spacing w:line="360" w:lineRule="auto"/>
              <w:rPr>
                <w:rFonts w:hint="eastAsia" w:ascii="仿宋" w:hAnsi="仿宋" w:eastAsia="仿宋" w:cs="仿宋"/>
                <w:b/>
                <w:bCs/>
                <w:w w:val="95"/>
                <w:kern w:val="10"/>
                <w:sz w:val="24"/>
              </w:rPr>
            </w:pPr>
            <w:r>
              <w:rPr>
                <w:rFonts w:hint="eastAsia" w:ascii="仿宋" w:hAnsi="仿宋" w:eastAsia="仿宋" w:cs="仿宋"/>
                <w:b/>
                <w:bCs/>
                <w:w w:val="95"/>
                <w:kern w:val="10"/>
                <w:sz w:val="24"/>
              </w:rPr>
              <w:t>用电消耗</w:t>
            </w:r>
          </w:p>
        </w:tc>
        <w:tc>
          <w:tcPr>
            <w:tcW w:w="976" w:type="pct"/>
            <w:vMerge w:val="restart"/>
            <w:vAlign w:val="center"/>
          </w:tcPr>
          <w:p>
            <w:pPr>
              <w:spacing w:line="360" w:lineRule="auto"/>
              <w:rPr>
                <w:rFonts w:hint="eastAsia" w:ascii="仿宋" w:hAnsi="仿宋" w:eastAsia="仿宋" w:cs="仿宋"/>
                <w:b/>
                <w:bCs/>
                <w:w w:val="95"/>
                <w:kern w:val="10"/>
                <w:sz w:val="24"/>
              </w:rPr>
            </w:pPr>
            <w:r>
              <w:rPr>
                <w:rFonts w:hint="eastAsia" w:ascii="仿宋" w:hAnsi="仿宋" w:eastAsia="仿宋" w:cs="仿宋"/>
                <w:b/>
                <w:bCs/>
                <w:w w:val="95"/>
                <w:kern w:val="10"/>
                <w:sz w:val="24"/>
              </w:rPr>
              <w:t>液压隔膜计量泵</w:t>
            </w:r>
          </w:p>
        </w:tc>
        <w:tc>
          <w:tcPr>
            <w:tcW w:w="610" w:type="pct"/>
            <w:vMerge w:val="restart"/>
            <w:vAlign w:val="center"/>
          </w:tcPr>
          <w:p>
            <w:pPr>
              <w:widowControl/>
              <w:spacing w:line="360" w:lineRule="auto"/>
              <w:rPr>
                <w:rFonts w:hint="eastAsia" w:ascii="仿宋" w:hAnsi="仿宋" w:eastAsia="仿宋" w:cs="仿宋"/>
                <w:b/>
                <w:bCs/>
                <w:color w:val="000000"/>
                <w:w w:val="95"/>
                <w:kern w:val="0"/>
                <w:sz w:val="24"/>
              </w:rPr>
            </w:pPr>
            <w:r>
              <w:rPr>
                <w:rFonts w:hint="eastAsia" w:ascii="仿宋" w:hAnsi="仿宋" w:eastAsia="仿宋" w:cs="仿宋"/>
                <w:b/>
                <w:bCs/>
                <w:color w:val="000000"/>
                <w:w w:val="95"/>
                <w:kern w:val="0"/>
                <w:sz w:val="24"/>
              </w:rPr>
              <w:t xml:space="preserve"> JYM1.6B</w:t>
            </w:r>
          </w:p>
        </w:tc>
        <w:tc>
          <w:tcPr>
            <w:tcW w:w="1348" w:type="pct"/>
            <w:vAlign w:val="center"/>
          </w:tcPr>
          <w:p>
            <w:pPr>
              <w:spacing w:line="360" w:lineRule="auto"/>
              <w:rPr>
                <w:rFonts w:hint="eastAsia" w:ascii="仿宋" w:hAnsi="仿宋" w:eastAsia="仿宋" w:cs="仿宋"/>
                <w:b/>
                <w:bCs/>
                <w:w w:val="95"/>
                <w:kern w:val="10"/>
                <w:sz w:val="24"/>
              </w:rPr>
            </w:pPr>
            <w:r>
              <w:rPr>
                <w:rFonts w:hint="eastAsia" w:ascii="仿宋" w:hAnsi="仿宋" w:eastAsia="仿宋" w:cs="仿宋"/>
                <w:b/>
                <w:bCs/>
                <w:w w:val="95"/>
                <w:kern w:val="10"/>
                <w:sz w:val="24"/>
              </w:rPr>
              <w:t>电机配置</w:t>
            </w:r>
          </w:p>
        </w:tc>
        <w:tc>
          <w:tcPr>
            <w:tcW w:w="362" w:type="pct"/>
            <w:vAlign w:val="center"/>
          </w:tcPr>
          <w:p>
            <w:pPr>
              <w:spacing w:line="360" w:lineRule="auto"/>
              <w:rPr>
                <w:rFonts w:hint="eastAsia" w:ascii="仿宋" w:hAnsi="仿宋" w:eastAsia="仿宋" w:cs="仿宋"/>
                <w:b/>
                <w:bCs/>
                <w:w w:val="95"/>
                <w:kern w:val="10"/>
                <w:sz w:val="24"/>
              </w:rPr>
            </w:pPr>
            <w:r>
              <w:rPr>
                <w:rFonts w:hint="eastAsia" w:ascii="仿宋" w:hAnsi="仿宋" w:eastAsia="仿宋" w:cs="仿宋"/>
                <w:b/>
                <w:bCs/>
                <w:w w:val="95"/>
                <w:kern w:val="10"/>
                <w:sz w:val="24"/>
              </w:rPr>
              <w:t>kW</w:t>
            </w:r>
          </w:p>
        </w:tc>
        <w:tc>
          <w:tcPr>
            <w:tcW w:w="731" w:type="pct"/>
            <w:vAlign w:val="center"/>
          </w:tcPr>
          <w:p>
            <w:pPr>
              <w:spacing w:line="360" w:lineRule="auto"/>
              <w:rPr>
                <w:rFonts w:ascii="仿宋" w:hAnsi="仿宋" w:eastAsia="仿宋" w:cs="仿宋"/>
                <w:b/>
                <w:bCs/>
                <w:w w:val="95"/>
                <w:kern w:val="10"/>
                <w:sz w:val="24"/>
              </w:rPr>
            </w:pPr>
            <w:r>
              <w:rPr>
                <w:rFonts w:hint="eastAsia" w:ascii="仿宋" w:hAnsi="仿宋" w:eastAsia="仿宋" w:cs="仿宋"/>
                <w:b/>
                <w:bCs/>
                <w:w w:val="95"/>
                <w:kern w:val="10"/>
                <w:sz w:val="24"/>
              </w:rPr>
              <w:t>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361" w:type="pct"/>
            <w:vMerge w:val="continue"/>
            <w:vAlign w:val="center"/>
          </w:tcPr>
          <w:p>
            <w:pPr>
              <w:spacing w:line="360" w:lineRule="auto"/>
              <w:rPr>
                <w:rFonts w:hint="eastAsia" w:ascii="仿宋" w:hAnsi="仿宋" w:eastAsia="仿宋" w:cs="仿宋"/>
                <w:b/>
                <w:bCs/>
                <w:w w:val="95"/>
                <w:kern w:val="10"/>
                <w:sz w:val="24"/>
              </w:rPr>
            </w:pPr>
          </w:p>
        </w:tc>
        <w:tc>
          <w:tcPr>
            <w:tcW w:w="608" w:type="pct"/>
            <w:vAlign w:val="center"/>
          </w:tcPr>
          <w:p>
            <w:pPr>
              <w:spacing w:line="360" w:lineRule="auto"/>
              <w:rPr>
                <w:rFonts w:hint="eastAsia" w:ascii="仿宋" w:hAnsi="仿宋" w:eastAsia="仿宋" w:cs="仿宋"/>
                <w:b/>
                <w:bCs/>
                <w:w w:val="95"/>
                <w:kern w:val="10"/>
                <w:sz w:val="24"/>
              </w:rPr>
            </w:pPr>
            <w:r>
              <w:rPr>
                <w:rFonts w:hint="eastAsia" w:ascii="仿宋" w:hAnsi="仿宋" w:eastAsia="仿宋" w:cs="仿宋"/>
                <w:b/>
                <w:bCs/>
                <w:w w:val="95"/>
                <w:kern w:val="10"/>
                <w:sz w:val="24"/>
              </w:rPr>
              <w:t>润滑油</w:t>
            </w:r>
          </w:p>
        </w:tc>
        <w:tc>
          <w:tcPr>
            <w:tcW w:w="976" w:type="pct"/>
            <w:vMerge w:val="continue"/>
            <w:vAlign w:val="center"/>
          </w:tcPr>
          <w:p>
            <w:pPr>
              <w:spacing w:line="360" w:lineRule="auto"/>
              <w:rPr>
                <w:rFonts w:hint="eastAsia" w:ascii="仿宋" w:hAnsi="仿宋" w:eastAsia="仿宋" w:cs="仿宋"/>
                <w:b/>
                <w:bCs/>
                <w:w w:val="95"/>
                <w:kern w:val="10"/>
                <w:sz w:val="24"/>
              </w:rPr>
            </w:pPr>
          </w:p>
        </w:tc>
        <w:tc>
          <w:tcPr>
            <w:tcW w:w="610" w:type="pct"/>
            <w:vMerge w:val="continue"/>
            <w:vAlign w:val="center"/>
          </w:tcPr>
          <w:p>
            <w:pPr>
              <w:spacing w:line="360" w:lineRule="auto"/>
              <w:rPr>
                <w:rFonts w:hint="eastAsia" w:ascii="仿宋" w:hAnsi="仿宋" w:eastAsia="仿宋" w:cs="仿宋"/>
                <w:b/>
                <w:bCs/>
                <w:w w:val="95"/>
                <w:kern w:val="10"/>
                <w:sz w:val="24"/>
              </w:rPr>
            </w:pPr>
          </w:p>
        </w:tc>
        <w:tc>
          <w:tcPr>
            <w:tcW w:w="1348" w:type="pct"/>
            <w:vAlign w:val="center"/>
          </w:tcPr>
          <w:p>
            <w:pPr>
              <w:spacing w:line="360" w:lineRule="auto"/>
              <w:rPr>
                <w:rFonts w:hint="eastAsia" w:ascii="仿宋" w:hAnsi="仿宋" w:eastAsia="仿宋" w:cs="仿宋"/>
                <w:b/>
                <w:bCs/>
                <w:w w:val="95"/>
                <w:kern w:val="10"/>
                <w:sz w:val="24"/>
              </w:rPr>
            </w:pPr>
            <w:r>
              <w:rPr>
                <w:rFonts w:hint="eastAsia" w:ascii="仿宋" w:hAnsi="仿宋" w:eastAsia="仿宋" w:cs="仿宋"/>
                <w:b/>
                <w:bCs/>
                <w:color w:val="000000"/>
                <w:w w:val="95"/>
                <w:kern w:val="0"/>
                <w:sz w:val="24"/>
              </w:rPr>
              <w:t>L-KCE220#蜗轮蜗杆油</w:t>
            </w:r>
          </w:p>
        </w:tc>
        <w:tc>
          <w:tcPr>
            <w:tcW w:w="362" w:type="pct"/>
            <w:vMerge w:val="restart"/>
            <w:vAlign w:val="center"/>
          </w:tcPr>
          <w:p>
            <w:pPr>
              <w:spacing w:line="360" w:lineRule="auto"/>
              <w:rPr>
                <w:rFonts w:hint="eastAsia" w:ascii="仿宋" w:hAnsi="仿宋" w:eastAsia="仿宋" w:cs="仿宋"/>
                <w:b/>
                <w:bCs/>
                <w:w w:val="95"/>
                <w:kern w:val="10"/>
                <w:sz w:val="24"/>
              </w:rPr>
            </w:pPr>
            <w:r>
              <w:rPr>
                <w:rFonts w:hint="eastAsia" w:ascii="仿宋" w:hAnsi="仿宋" w:eastAsia="仿宋" w:cs="仿宋"/>
                <w:b/>
                <w:bCs/>
                <w:w w:val="95"/>
                <w:kern w:val="10"/>
                <w:sz w:val="24"/>
              </w:rPr>
              <w:t>升</w:t>
            </w:r>
          </w:p>
        </w:tc>
        <w:tc>
          <w:tcPr>
            <w:tcW w:w="731" w:type="pct"/>
            <w:vAlign w:val="center"/>
          </w:tcPr>
          <w:p>
            <w:pPr>
              <w:spacing w:line="360" w:lineRule="auto"/>
              <w:rPr>
                <w:rFonts w:hint="eastAsia" w:ascii="仿宋" w:hAnsi="仿宋" w:eastAsia="仿宋" w:cs="仿宋"/>
                <w:b/>
                <w:bCs/>
                <w:w w:val="95"/>
                <w:kern w:val="10"/>
                <w:sz w:val="24"/>
              </w:rPr>
            </w:pPr>
            <w:r>
              <w:rPr>
                <w:rFonts w:hint="eastAsia" w:ascii="仿宋" w:hAnsi="仿宋" w:eastAsia="仿宋" w:cs="仿宋"/>
                <w:b/>
                <w:bCs/>
                <w:w w:val="95"/>
                <w:kern w:val="1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361" w:type="pct"/>
            <w:vMerge w:val="continue"/>
            <w:vAlign w:val="center"/>
          </w:tcPr>
          <w:p>
            <w:pPr>
              <w:spacing w:line="360" w:lineRule="auto"/>
              <w:rPr>
                <w:rFonts w:hint="eastAsia" w:ascii="仿宋" w:hAnsi="仿宋" w:eastAsia="仿宋" w:cs="仿宋"/>
                <w:b/>
                <w:bCs/>
                <w:w w:val="95"/>
                <w:kern w:val="10"/>
                <w:sz w:val="24"/>
              </w:rPr>
            </w:pPr>
          </w:p>
        </w:tc>
        <w:tc>
          <w:tcPr>
            <w:tcW w:w="608" w:type="pct"/>
            <w:vAlign w:val="center"/>
          </w:tcPr>
          <w:p>
            <w:pPr>
              <w:spacing w:line="360" w:lineRule="auto"/>
              <w:rPr>
                <w:rFonts w:hint="eastAsia" w:ascii="仿宋" w:hAnsi="仿宋" w:eastAsia="仿宋" w:cs="仿宋"/>
                <w:b/>
                <w:bCs/>
                <w:w w:val="95"/>
                <w:kern w:val="10"/>
                <w:sz w:val="24"/>
              </w:rPr>
            </w:pPr>
            <w:r>
              <w:rPr>
                <w:rFonts w:hint="eastAsia" w:ascii="仿宋" w:hAnsi="仿宋" w:eastAsia="仿宋" w:cs="仿宋"/>
                <w:b/>
                <w:bCs/>
                <w:w w:val="95"/>
                <w:kern w:val="10"/>
                <w:sz w:val="24"/>
              </w:rPr>
              <w:t>液压油</w:t>
            </w:r>
          </w:p>
        </w:tc>
        <w:tc>
          <w:tcPr>
            <w:tcW w:w="976" w:type="pct"/>
            <w:vMerge w:val="continue"/>
            <w:vAlign w:val="center"/>
          </w:tcPr>
          <w:p>
            <w:pPr>
              <w:spacing w:line="360" w:lineRule="auto"/>
              <w:rPr>
                <w:rFonts w:hint="eastAsia" w:ascii="仿宋" w:hAnsi="仿宋" w:eastAsia="仿宋" w:cs="仿宋"/>
                <w:b/>
                <w:bCs/>
                <w:w w:val="95"/>
                <w:kern w:val="10"/>
                <w:sz w:val="24"/>
              </w:rPr>
            </w:pPr>
          </w:p>
        </w:tc>
        <w:tc>
          <w:tcPr>
            <w:tcW w:w="610" w:type="pct"/>
            <w:vMerge w:val="continue"/>
            <w:vAlign w:val="center"/>
          </w:tcPr>
          <w:p>
            <w:pPr>
              <w:spacing w:line="360" w:lineRule="auto"/>
              <w:rPr>
                <w:rFonts w:hint="eastAsia" w:ascii="仿宋" w:hAnsi="仿宋" w:eastAsia="仿宋" w:cs="仿宋"/>
                <w:b/>
                <w:bCs/>
                <w:w w:val="95"/>
                <w:kern w:val="10"/>
                <w:sz w:val="24"/>
              </w:rPr>
            </w:pPr>
          </w:p>
        </w:tc>
        <w:tc>
          <w:tcPr>
            <w:tcW w:w="1348" w:type="pct"/>
            <w:vAlign w:val="center"/>
          </w:tcPr>
          <w:p>
            <w:pPr>
              <w:widowControl/>
              <w:spacing w:line="360" w:lineRule="auto"/>
              <w:rPr>
                <w:rFonts w:hint="eastAsia" w:ascii="仿宋" w:hAnsi="仿宋" w:eastAsia="仿宋" w:cs="仿宋"/>
                <w:b/>
                <w:bCs/>
                <w:w w:val="95"/>
                <w:kern w:val="10"/>
                <w:sz w:val="24"/>
              </w:rPr>
            </w:pPr>
            <w:r>
              <w:rPr>
                <w:rFonts w:hint="eastAsia" w:ascii="仿宋" w:hAnsi="仿宋" w:eastAsia="仿宋" w:cs="仿宋"/>
                <w:b/>
                <w:bCs/>
                <w:color w:val="000000"/>
                <w:w w:val="95"/>
                <w:kern w:val="0"/>
                <w:sz w:val="24"/>
              </w:rPr>
              <w:t xml:space="preserve">25#变压器油， </w:t>
            </w:r>
          </w:p>
        </w:tc>
        <w:tc>
          <w:tcPr>
            <w:tcW w:w="362" w:type="pct"/>
            <w:vMerge w:val="continue"/>
            <w:vAlign w:val="center"/>
          </w:tcPr>
          <w:p>
            <w:pPr>
              <w:spacing w:line="360" w:lineRule="auto"/>
              <w:rPr>
                <w:rFonts w:hint="eastAsia" w:ascii="仿宋" w:hAnsi="仿宋" w:eastAsia="仿宋" w:cs="仿宋"/>
                <w:b/>
                <w:bCs/>
                <w:w w:val="95"/>
                <w:kern w:val="10"/>
                <w:sz w:val="24"/>
              </w:rPr>
            </w:pPr>
          </w:p>
        </w:tc>
        <w:tc>
          <w:tcPr>
            <w:tcW w:w="731" w:type="pct"/>
            <w:vAlign w:val="center"/>
          </w:tcPr>
          <w:p>
            <w:pPr>
              <w:spacing w:line="360" w:lineRule="auto"/>
              <w:rPr>
                <w:rFonts w:hint="eastAsia" w:ascii="仿宋" w:hAnsi="仿宋" w:eastAsia="仿宋" w:cs="仿宋"/>
                <w:b/>
                <w:bCs/>
                <w:w w:val="95"/>
                <w:kern w:val="10"/>
                <w:sz w:val="24"/>
              </w:rPr>
            </w:pPr>
            <w:r>
              <w:rPr>
                <w:rFonts w:hint="eastAsia" w:ascii="仿宋" w:hAnsi="仿宋" w:eastAsia="仿宋" w:cs="仿宋"/>
                <w:b/>
                <w:bCs/>
                <w:w w:val="95"/>
                <w:kern w:val="10"/>
                <w:sz w:val="24"/>
              </w:rPr>
              <w:t>0.4</w:t>
            </w:r>
          </w:p>
        </w:tc>
      </w:tr>
      <w:bookmarkEnd w:id="8"/>
    </w:tbl>
    <w:p>
      <w:pPr>
        <w:rPr>
          <w:rFonts w:hint="eastAsia" w:ascii="宋体" w:hAnsi="宋体"/>
          <w:b/>
          <w:sz w:val="28"/>
          <w:szCs w:val="28"/>
        </w:rPr>
      </w:pPr>
    </w:p>
    <w:p>
      <w:pPr>
        <w:rPr>
          <w:rFonts w:hint="eastAsia" w:ascii="宋体" w:hAnsi="宋体"/>
          <w:b/>
          <w:sz w:val="28"/>
          <w:szCs w:val="28"/>
        </w:rPr>
      </w:pPr>
    </w:p>
    <w:p>
      <w:pPr>
        <w:rPr>
          <w:rFonts w:hint="eastAsia" w:ascii="宋体" w:hAnsi="宋体"/>
          <w:b/>
          <w:sz w:val="28"/>
          <w:szCs w:val="28"/>
        </w:rPr>
      </w:pPr>
    </w:p>
    <w:p>
      <w:pPr>
        <w:rPr>
          <w:rFonts w:hint="eastAsia" w:ascii="宋体" w:hAnsi="宋体"/>
          <w:b/>
          <w:sz w:val="28"/>
          <w:szCs w:val="28"/>
        </w:rPr>
      </w:pPr>
    </w:p>
    <w:p>
      <w:pPr>
        <w:rPr>
          <w:rFonts w:hint="eastAsia" w:ascii="宋体" w:hAnsi="宋体"/>
          <w:b/>
          <w:sz w:val="28"/>
          <w:szCs w:val="28"/>
        </w:rPr>
      </w:pPr>
    </w:p>
    <w:p>
      <w:pPr>
        <w:rPr>
          <w:rFonts w:hint="eastAsia" w:ascii="宋体" w:hAnsi="宋体"/>
          <w:b/>
          <w:sz w:val="28"/>
          <w:szCs w:val="28"/>
        </w:rPr>
      </w:pPr>
    </w:p>
    <w:p>
      <w:pPr>
        <w:rPr>
          <w:rFonts w:hint="eastAsia" w:ascii="宋体" w:hAnsi="宋体"/>
          <w:b/>
          <w:sz w:val="28"/>
          <w:szCs w:val="28"/>
        </w:rPr>
      </w:pPr>
    </w:p>
    <w:p>
      <w:pPr>
        <w:rPr>
          <w:rFonts w:hint="eastAsia" w:ascii="宋体" w:hAnsi="宋体"/>
          <w:b/>
          <w:sz w:val="28"/>
          <w:szCs w:val="28"/>
        </w:rPr>
      </w:pPr>
    </w:p>
    <w:p>
      <w:pPr>
        <w:rPr>
          <w:rFonts w:hint="eastAsia" w:ascii="宋体" w:hAnsi="宋体"/>
          <w:b/>
          <w:sz w:val="28"/>
          <w:szCs w:val="28"/>
        </w:rPr>
      </w:pPr>
    </w:p>
    <w:p>
      <w:pPr>
        <w:rPr>
          <w:rFonts w:hint="eastAsia" w:ascii="宋体" w:hAnsi="宋体"/>
          <w:b/>
          <w:sz w:val="28"/>
          <w:szCs w:val="28"/>
        </w:rPr>
      </w:pPr>
    </w:p>
    <w:p>
      <w:pPr>
        <w:rPr>
          <w:rFonts w:hint="eastAsia" w:ascii="宋体" w:hAnsi="宋体"/>
          <w:b/>
          <w:sz w:val="28"/>
          <w:szCs w:val="28"/>
        </w:rPr>
      </w:pPr>
      <w:r>
        <w:rPr>
          <w:rFonts w:hint="eastAsia" w:ascii="宋体" w:hAnsi="宋体"/>
          <w:b/>
          <w:sz w:val="28"/>
          <w:szCs w:val="28"/>
        </w:rPr>
        <w:t>16  联系方式</w:t>
      </w:r>
    </w:p>
    <w:p>
      <w:pPr>
        <w:spacing w:line="480" w:lineRule="auto"/>
        <w:rPr>
          <w:rFonts w:hint="eastAsia" w:ascii="宋体" w:hAnsi="宋体" w:cs="宋体"/>
          <w:sz w:val="24"/>
        </w:rPr>
      </w:pPr>
      <w:r>
        <w:rPr>
          <w:rFonts w:hint="eastAsia" w:ascii="宋体" w:hAnsi="宋体" w:cs="宋体"/>
          <w:sz w:val="24"/>
        </w:rPr>
        <w:t>买方：腾龙芳烃（漳州）有限公司</w:t>
      </w:r>
    </w:p>
    <w:p>
      <w:pPr>
        <w:spacing w:line="480" w:lineRule="auto"/>
        <w:rPr>
          <w:rFonts w:hint="eastAsia" w:ascii="宋体" w:hAnsi="宋体" w:cs="宋体"/>
          <w:sz w:val="24"/>
        </w:rPr>
      </w:pPr>
      <w:r>
        <w:rPr>
          <w:rFonts w:hint="eastAsia" w:ascii="宋体" w:hAnsi="宋体" w:cs="宋体"/>
          <w:sz w:val="24"/>
        </w:rPr>
        <w:t>联系人：</w:t>
      </w:r>
      <w:r>
        <w:rPr>
          <w:rFonts w:hint="eastAsia" w:ascii="宋体" w:hAnsi="宋体" w:cs="宋体"/>
          <w:sz w:val="24"/>
        </w:rPr>
        <w:tab/>
      </w:r>
    </w:p>
    <w:p>
      <w:pPr>
        <w:spacing w:line="480" w:lineRule="auto"/>
        <w:rPr>
          <w:rFonts w:hint="eastAsia" w:ascii="宋体" w:hAnsi="宋体" w:cs="宋体"/>
          <w:sz w:val="24"/>
        </w:rPr>
      </w:pPr>
      <w:r>
        <w:rPr>
          <w:rFonts w:hint="eastAsia" w:ascii="宋体" w:hAnsi="宋体" w:cs="宋体"/>
          <w:sz w:val="24"/>
        </w:rPr>
        <w:t>通讯地址：福建省漳州市古雷开发区腾龙路1号</w:t>
      </w:r>
      <w:r>
        <w:rPr>
          <w:rFonts w:hint="eastAsia" w:ascii="宋体" w:hAnsi="宋体" w:cs="宋体"/>
          <w:sz w:val="24"/>
        </w:rPr>
        <w:tab/>
      </w:r>
    </w:p>
    <w:p>
      <w:pPr>
        <w:spacing w:line="480" w:lineRule="auto"/>
        <w:rPr>
          <w:rFonts w:hint="eastAsia" w:ascii="宋体" w:hAnsi="宋体" w:cs="宋体"/>
          <w:sz w:val="24"/>
        </w:rPr>
      </w:pPr>
      <w:r>
        <w:rPr>
          <w:rFonts w:hint="eastAsia" w:ascii="宋体" w:hAnsi="宋体" w:cs="宋体"/>
          <w:sz w:val="24"/>
        </w:rPr>
        <w:t>电话：</w:t>
      </w:r>
    </w:p>
    <w:p>
      <w:pPr>
        <w:spacing w:line="480" w:lineRule="auto"/>
        <w:rPr>
          <w:rFonts w:hint="eastAsia" w:ascii="宋体" w:hAnsi="宋体" w:cs="宋体"/>
          <w:sz w:val="24"/>
        </w:rPr>
      </w:pPr>
      <w:r>
        <w:rPr>
          <w:rFonts w:hint="eastAsia" w:ascii="宋体" w:hAnsi="宋体" w:cs="宋体"/>
          <w:sz w:val="24"/>
        </w:rPr>
        <w:t>传真：</w:t>
      </w:r>
    </w:p>
    <w:p>
      <w:pPr>
        <w:spacing w:line="480" w:lineRule="auto"/>
        <w:rPr>
          <w:rFonts w:hint="eastAsia" w:ascii="宋体" w:hAnsi="宋体" w:cs="宋体"/>
          <w:sz w:val="24"/>
        </w:rPr>
      </w:pPr>
      <w:r>
        <w:rPr>
          <w:rFonts w:hint="eastAsia" w:ascii="宋体" w:hAnsi="宋体" w:cs="宋体"/>
          <w:sz w:val="24"/>
        </w:rPr>
        <w:t>邮编：</w:t>
      </w:r>
    </w:p>
    <w:p>
      <w:pPr>
        <w:spacing w:line="480" w:lineRule="auto"/>
        <w:rPr>
          <w:rFonts w:hint="eastAsia" w:ascii="宋体" w:hAnsi="宋体" w:cs="宋体"/>
          <w:sz w:val="24"/>
        </w:rPr>
      </w:pPr>
      <w:r>
        <w:rPr>
          <w:rFonts w:hint="eastAsia" w:ascii="宋体" w:hAnsi="宋体" w:cs="宋体"/>
          <w:sz w:val="24"/>
        </w:rPr>
        <w:t>电子邮件：</w:t>
      </w:r>
    </w:p>
    <w:p>
      <w:pPr>
        <w:spacing w:line="480" w:lineRule="auto"/>
        <w:rPr>
          <w:rFonts w:hint="eastAsia" w:ascii="宋体" w:hAnsi="宋体" w:cs="宋体"/>
          <w:sz w:val="24"/>
        </w:rPr>
      </w:pPr>
    </w:p>
    <w:p>
      <w:pPr>
        <w:spacing w:line="480" w:lineRule="auto"/>
        <w:rPr>
          <w:rFonts w:hint="eastAsia" w:ascii="宋体" w:hAnsi="宋体" w:cs="宋体"/>
          <w:sz w:val="24"/>
        </w:rPr>
      </w:pPr>
      <w:r>
        <w:rPr>
          <w:rFonts w:hint="eastAsia" w:ascii="宋体" w:hAnsi="宋体" w:cs="宋体"/>
          <w:sz w:val="24"/>
        </w:rPr>
        <w:t>卖方：</w:t>
      </w:r>
    </w:p>
    <w:p>
      <w:pPr>
        <w:spacing w:line="480" w:lineRule="auto"/>
        <w:rPr>
          <w:rFonts w:hint="eastAsia" w:ascii="宋体" w:hAnsi="宋体" w:cs="宋体"/>
          <w:sz w:val="24"/>
        </w:rPr>
      </w:pPr>
      <w:r>
        <w:rPr>
          <w:rFonts w:hint="eastAsia" w:ascii="宋体" w:hAnsi="宋体" w:cs="宋体"/>
          <w:sz w:val="24"/>
        </w:rPr>
        <w:t>联系人：</w:t>
      </w:r>
    </w:p>
    <w:p>
      <w:pPr>
        <w:spacing w:line="480" w:lineRule="auto"/>
        <w:rPr>
          <w:rFonts w:hint="eastAsia" w:ascii="宋体" w:hAnsi="宋体" w:cs="宋体"/>
          <w:sz w:val="24"/>
        </w:rPr>
      </w:pPr>
      <w:r>
        <w:rPr>
          <w:rFonts w:hint="eastAsia" w:ascii="宋体" w:hAnsi="宋体" w:cs="宋体"/>
          <w:sz w:val="24"/>
        </w:rPr>
        <w:t>通讯地址：</w:t>
      </w:r>
    </w:p>
    <w:p>
      <w:pPr>
        <w:spacing w:line="480" w:lineRule="auto"/>
        <w:rPr>
          <w:rFonts w:hint="eastAsia" w:ascii="宋体" w:hAnsi="宋体" w:cs="宋体"/>
          <w:sz w:val="24"/>
        </w:rPr>
      </w:pPr>
      <w:r>
        <w:rPr>
          <w:rFonts w:hint="eastAsia" w:ascii="宋体" w:hAnsi="宋体" w:cs="宋体"/>
          <w:sz w:val="24"/>
        </w:rPr>
        <w:t>电话：</w:t>
      </w:r>
    </w:p>
    <w:p>
      <w:pPr>
        <w:spacing w:line="480" w:lineRule="auto"/>
        <w:rPr>
          <w:rFonts w:ascii="宋体" w:hAnsi="宋体" w:cs="宋体"/>
          <w:sz w:val="24"/>
        </w:rPr>
      </w:pPr>
      <w:r>
        <w:rPr>
          <w:rFonts w:hint="eastAsia" w:ascii="宋体" w:hAnsi="宋体" w:cs="宋体"/>
          <w:sz w:val="24"/>
        </w:rPr>
        <w:t xml:space="preserve">传真：    </w:t>
      </w:r>
    </w:p>
    <w:p>
      <w:pPr>
        <w:spacing w:line="480" w:lineRule="auto"/>
        <w:rPr>
          <w:rFonts w:hint="eastAsia" w:ascii="宋体" w:hAnsi="宋体" w:cs="宋体"/>
          <w:sz w:val="24"/>
        </w:rPr>
      </w:pPr>
      <w:r>
        <w:rPr>
          <w:rFonts w:hint="eastAsia" w:ascii="宋体" w:hAnsi="宋体" w:cs="宋体"/>
          <w:sz w:val="24"/>
        </w:rPr>
        <w:t>邮编：</w:t>
      </w:r>
    </w:p>
    <w:p>
      <w:pPr>
        <w:spacing w:line="480" w:lineRule="auto"/>
        <w:rPr>
          <w:rFonts w:hint="eastAsia" w:ascii="宋体" w:hAnsi="宋体" w:cs="宋体"/>
          <w:sz w:val="24"/>
        </w:rPr>
      </w:pPr>
      <w:r>
        <w:rPr>
          <w:rFonts w:hint="eastAsia" w:ascii="宋体" w:hAnsi="宋体" w:cs="宋体"/>
          <w:sz w:val="24"/>
        </w:rPr>
        <w:t>电子邮件：</w:t>
      </w:r>
    </w:p>
    <w:p>
      <w:pPr>
        <w:rPr>
          <w:rFonts w:hint="eastAsia" w:ascii="宋体" w:hAnsi="宋体"/>
          <w:b/>
          <w:sz w:val="28"/>
          <w:szCs w:val="28"/>
        </w:rPr>
      </w:pPr>
      <w:r>
        <w:rPr>
          <w:rFonts w:hint="eastAsia" w:ascii="宋体" w:hAnsi="宋体"/>
          <w:b/>
          <w:sz w:val="28"/>
          <w:szCs w:val="28"/>
        </w:rPr>
        <w:t>17  技术附件</w:t>
      </w:r>
    </w:p>
    <w:p>
      <w:pPr>
        <w:spacing w:line="360" w:lineRule="auto"/>
        <w:rPr>
          <w:rFonts w:hint="eastAsia" w:ascii="宋体" w:hAnsi="宋体"/>
          <w:sz w:val="24"/>
        </w:rPr>
      </w:pPr>
      <w:r>
        <w:rPr>
          <w:rFonts w:hint="eastAsia" w:ascii="宋体" w:hAnsi="宋体"/>
          <w:sz w:val="24"/>
        </w:rPr>
        <w:t>17.1 计量泵数据表</w:t>
      </w:r>
    </w:p>
    <w:p>
      <w:pPr>
        <w:spacing w:line="360" w:lineRule="auto"/>
        <w:rPr>
          <w:rFonts w:hint="eastAsia" w:ascii="宋体" w:hAnsi="宋体"/>
          <w:sz w:val="24"/>
        </w:rPr>
      </w:pPr>
      <w:r>
        <w:rPr>
          <w:rFonts w:hint="eastAsia" w:ascii="宋体" w:hAnsi="宋体"/>
          <w:sz w:val="24"/>
        </w:rPr>
        <w:t>17.2 计量泵预期性能曲线</w:t>
      </w:r>
    </w:p>
    <w:p>
      <w:pPr>
        <w:spacing w:line="360" w:lineRule="auto"/>
        <w:rPr>
          <w:rFonts w:ascii="宋体" w:hAnsi="宋体"/>
          <w:sz w:val="24"/>
        </w:rPr>
      </w:pPr>
      <w:r>
        <w:rPr>
          <w:rFonts w:hint="eastAsia" w:ascii="宋体" w:hAnsi="宋体"/>
          <w:sz w:val="24"/>
        </w:rPr>
        <w:t>17.3 计量泵外形图</w:t>
      </w:r>
    </w:p>
    <w:p>
      <w:pPr>
        <w:spacing w:line="480" w:lineRule="auto"/>
      </w:pPr>
      <w:r>
        <w:rPr>
          <w:rFonts w:hint="eastAsia" w:ascii="宋体" w:hAnsi="宋体" w:cs="宋体"/>
          <w:sz w:val="24"/>
        </w:rPr>
        <w:t>17.1 计量泵数据表</w:t>
      </w:r>
    </w:p>
    <w:p>
      <w:pPr>
        <w:spacing w:line="480" w:lineRule="auto"/>
      </w:pPr>
      <w:r>
        <w:rPr>
          <w:rFonts w:hint="eastAsia"/>
        </w:rPr>
        <w:t>17.2 预期性能曲线</w:t>
      </w:r>
    </w:p>
    <w:p>
      <w:pPr>
        <w:spacing w:line="480" w:lineRule="auto"/>
        <w:rPr>
          <w:rFonts w:hint="eastAsia"/>
        </w:rPr>
      </w:pPr>
      <w:r>
        <w:rPr>
          <w:rFonts w:hint="eastAsia"/>
        </w:rPr>
        <w:t>17.3 计量泵外形图</w:t>
      </w:r>
    </w:p>
    <w:p>
      <w:pPr>
        <w:spacing w:line="480" w:lineRule="auto"/>
      </w:pPr>
    </w:p>
    <w:sectPr>
      <w:footerReference r:id="rId3" w:type="default"/>
      <w:footerReference r:id="rId4" w:type="even"/>
      <w:pgSz w:w="11906" w:h="16838"/>
      <w:pgMar w:top="1134" w:right="1134" w:bottom="1134" w:left="141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MT">
    <w:altName w:val="Times New Roman"/>
    <w:panose1 w:val="00000000000000000000"/>
    <w:charset w:val="00"/>
    <w:family w:val="roman"/>
    <w:pitch w:val="default"/>
    <w:sig w:usb0="00000000" w:usb1="00000000" w:usb2="00000000" w:usb3="00000000" w:csb0="00040001" w:csb1="00000000"/>
  </w:font>
  <w:font w:name="F1">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Britannic Bold">
    <w:panose1 w:val="020B0903060703020204"/>
    <w:charset w:val="00"/>
    <w:family w:val="swiss"/>
    <w:pitch w:val="default"/>
    <w:sig w:usb0="00000003" w:usb1="00000000" w:usb2="00000000" w:usb3="00000000" w:csb0="20000001"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29"/>
      </w:rPr>
    </w:pPr>
    <w:r>
      <w:fldChar w:fldCharType="begin"/>
    </w:r>
    <w:r>
      <w:rPr>
        <w:rStyle w:val="29"/>
      </w:rPr>
      <w:instrText xml:space="preserve">PAGE  </w:instrText>
    </w:r>
    <w:r>
      <w:fldChar w:fldCharType="separate"/>
    </w:r>
    <w:r>
      <w:rPr>
        <w:rStyle w:val="29"/>
      </w:rPr>
      <w:t>23</w:t>
    </w:r>
    <w:r>
      <w:fldChar w:fldCharType="end"/>
    </w:r>
  </w:p>
  <w:p>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29"/>
      </w:rPr>
    </w:pPr>
    <w:r>
      <w:fldChar w:fldCharType="begin"/>
    </w:r>
    <w:r>
      <w:rPr>
        <w:rStyle w:val="29"/>
      </w:rPr>
      <w:instrText xml:space="preserve">PAGE  </w:instrText>
    </w:r>
    <w:r>
      <w:fldChar w:fldCharType="end"/>
    </w:r>
  </w:p>
  <w:p>
    <w:pPr>
      <w:pStyle w:val="1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FA2919"/>
    <w:multiLevelType w:val="multilevel"/>
    <w:tmpl w:val="21FA2919"/>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425"/>
        </w:tabs>
        <w:ind w:left="0" w:firstLine="0"/>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32AD46CC"/>
    <w:multiLevelType w:val="multilevel"/>
    <w:tmpl w:val="32AD46CC"/>
    <w:lvl w:ilvl="0" w:tentative="0">
      <w:start w:val="1"/>
      <w:numFmt w:val="decimal"/>
      <w:lvlText w:val="%1）"/>
      <w:lvlJc w:val="left"/>
      <w:pPr>
        <w:tabs>
          <w:tab w:val="left" w:pos="1335"/>
        </w:tabs>
        <w:ind w:left="1335" w:hanging="795"/>
      </w:pPr>
      <w:rPr>
        <w:rFonts w:hint="default"/>
      </w:rPr>
    </w:lvl>
    <w:lvl w:ilvl="1" w:tentative="0">
      <w:start w:val="1"/>
      <w:numFmt w:val="lowerLetter"/>
      <w:pStyle w:val="3"/>
      <w:lvlText w:val="%2)"/>
      <w:lvlJc w:val="left"/>
      <w:pPr>
        <w:tabs>
          <w:tab w:val="left" w:pos="1380"/>
        </w:tabs>
        <w:ind w:left="1380" w:hanging="420"/>
      </w:pPr>
    </w:lvl>
    <w:lvl w:ilvl="2" w:tentative="0">
      <w:start w:val="1"/>
      <w:numFmt w:val="lowerRoman"/>
      <w:pStyle w:val="4"/>
      <w:lvlText w:val="%3."/>
      <w:lvlJc w:val="right"/>
      <w:pPr>
        <w:tabs>
          <w:tab w:val="left" w:pos="1800"/>
        </w:tabs>
        <w:ind w:left="1800" w:hanging="420"/>
      </w:pPr>
    </w:lvl>
    <w:lvl w:ilvl="3" w:tentative="0">
      <w:start w:val="1"/>
      <w:numFmt w:val="decimal"/>
      <w:pStyle w:val="5"/>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2">
    <w:nsid w:val="36B801FD"/>
    <w:multiLevelType w:val="multilevel"/>
    <w:tmpl w:val="36B801FD"/>
    <w:lvl w:ilvl="0" w:tentative="0">
      <w:start w:val="1"/>
      <w:numFmt w:val="decimal"/>
      <w:lvlText w:val="%1）"/>
      <w:lvlJc w:val="left"/>
      <w:pPr>
        <w:tabs>
          <w:tab w:val="left" w:pos="1418"/>
        </w:tabs>
        <w:ind w:left="1134" w:hanging="283"/>
      </w:pPr>
      <w:rPr>
        <w:rFonts w:hint="default" w:ascii="宋体" w:hAnsi="宋体" w:eastAsia="宋体" w:cs="Arial"/>
      </w:rPr>
    </w:lvl>
    <w:lvl w:ilvl="1" w:tentative="0">
      <w:start w:val="16"/>
      <w:numFmt w:val="bullet"/>
      <w:lvlText w:val="■"/>
      <w:lvlJc w:val="left"/>
      <w:pPr>
        <w:tabs>
          <w:tab w:val="left" w:pos="915"/>
        </w:tabs>
        <w:ind w:left="915" w:hanging="495"/>
      </w:pPr>
      <w:rPr>
        <w:rFonts w:hint="eastAsia" w:ascii="宋体" w:hAnsi="宋体" w:eastAsia="宋体" w:cs="Arial"/>
        <w:color w:val="333333"/>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C062C9D"/>
    <w:multiLevelType w:val="singleLevel"/>
    <w:tmpl w:val="3C062C9D"/>
    <w:lvl w:ilvl="0" w:tentative="0">
      <w:start w:val="7"/>
      <w:numFmt w:val="decimal"/>
      <w:suff w:val="nothing"/>
      <w:lvlText w:val="%1、"/>
      <w:lvlJc w:val="left"/>
    </w:lvl>
  </w:abstractNum>
  <w:abstractNum w:abstractNumId="4">
    <w:nsid w:val="3D440EDF"/>
    <w:multiLevelType w:val="multilevel"/>
    <w:tmpl w:val="3D440EDF"/>
    <w:lvl w:ilvl="0" w:tentative="0">
      <w:start w:val="1"/>
      <w:numFmt w:val="decimal"/>
      <w:lvlText w:val="%1"/>
      <w:lvlJc w:val="left"/>
      <w:pPr>
        <w:tabs>
          <w:tab w:val="left" w:pos="851"/>
        </w:tabs>
        <w:ind w:left="851" w:hanging="851"/>
      </w:pPr>
      <w:rPr>
        <w:rFonts w:hint="eastAsia"/>
        <w:b/>
      </w:rPr>
    </w:lvl>
    <w:lvl w:ilvl="1" w:tentative="0">
      <w:start w:val="1"/>
      <w:numFmt w:val="decimal"/>
      <w:lvlText w:val="%1.%2"/>
      <w:lvlJc w:val="left"/>
      <w:pPr>
        <w:tabs>
          <w:tab w:val="left" w:pos="851"/>
        </w:tabs>
        <w:ind w:left="851" w:hanging="851"/>
      </w:pPr>
      <w:rPr>
        <w:rFonts w:hint="eastAsia"/>
        <w:b w:val="0"/>
      </w:rPr>
    </w:lvl>
    <w:lvl w:ilvl="2" w:tentative="0">
      <w:start w:val="1"/>
      <w:numFmt w:val="decimal"/>
      <w:lvlText w:val="%1.%2.%3"/>
      <w:lvlJc w:val="left"/>
      <w:pPr>
        <w:tabs>
          <w:tab w:val="left" w:pos="851"/>
        </w:tabs>
        <w:ind w:left="851" w:hanging="851"/>
      </w:pPr>
      <w:rPr>
        <w:rFonts w:hint="default" w:ascii="宋体" w:hAnsi="宋体" w:eastAsia="宋体" w:cs="Arial"/>
        <w:b w:val="0"/>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QxN2NjZWRiZDYwMWVlMzNiMjVhODM1YTk1ZWQ0YmQifQ=="/>
  </w:docVars>
  <w:rsids>
    <w:rsidRoot w:val="00172A27"/>
    <w:rsid w:val="0000037A"/>
    <w:rsid w:val="00001C0F"/>
    <w:rsid w:val="000020EA"/>
    <w:rsid w:val="000045BE"/>
    <w:rsid w:val="000045FA"/>
    <w:rsid w:val="00005FB0"/>
    <w:rsid w:val="00006268"/>
    <w:rsid w:val="0001336D"/>
    <w:rsid w:val="00017C6C"/>
    <w:rsid w:val="000210BA"/>
    <w:rsid w:val="00021664"/>
    <w:rsid w:val="00021A3E"/>
    <w:rsid w:val="00022AEC"/>
    <w:rsid w:val="00022D5E"/>
    <w:rsid w:val="0002560D"/>
    <w:rsid w:val="000261A9"/>
    <w:rsid w:val="00027472"/>
    <w:rsid w:val="00031749"/>
    <w:rsid w:val="00032308"/>
    <w:rsid w:val="00032614"/>
    <w:rsid w:val="000330DD"/>
    <w:rsid w:val="0003450D"/>
    <w:rsid w:val="00035353"/>
    <w:rsid w:val="00037168"/>
    <w:rsid w:val="0004074F"/>
    <w:rsid w:val="0004310A"/>
    <w:rsid w:val="00045603"/>
    <w:rsid w:val="0004676E"/>
    <w:rsid w:val="00046E66"/>
    <w:rsid w:val="00047DDA"/>
    <w:rsid w:val="000504D1"/>
    <w:rsid w:val="00051864"/>
    <w:rsid w:val="00052CFE"/>
    <w:rsid w:val="00052EF3"/>
    <w:rsid w:val="0005326D"/>
    <w:rsid w:val="00056506"/>
    <w:rsid w:val="0006152E"/>
    <w:rsid w:val="0006408A"/>
    <w:rsid w:val="00064295"/>
    <w:rsid w:val="00067A8B"/>
    <w:rsid w:val="00071627"/>
    <w:rsid w:val="00071DC0"/>
    <w:rsid w:val="00082150"/>
    <w:rsid w:val="00082F6B"/>
    <w:rsid w:val="00085588"/>
    <w:rsid w:val="000864E7"/>
    <w:rsid w:val="000900BC"/>
    <w:rsid w:val="00090AF8"/>
    <w:rsid w:val="0009312F"/>
    <w:rsid w:val="00095023"/>
    <w:rsid w:val="0009609A"/>
    <w:rsid w:val="000A5EEB"/>
    <w:rsid w:val="000A5FAB"/>
    <w:rsid w:val="000A73E7"/>
    <w:rsid w:val="000B041E"/>
    <w:rsid w:val="000B15AB"/>
    <w:rsid w:val="000B2A40"/>
    <w:rsid w:val="000B47E8"/>
    <w:rsid w:val="000B4FDA"/>
    <w:rsid w:val="000B7D14"/>
    <w:rsid w:val="000C003F"/>
    <w:rsid w:val="000C01F4"/>
    <w:rsid w:val="000C115E"/>
    <w:rsid w:val="000C21A1"/>
    <w:rsid w:val="000C235A"/>
    <w:rsid w:val="000C25E2"/>
    <w:rsid w:val="000C35D0"/>
    <w:rsid w:val="000C7994"/>
    <w:rsid w:val="000C7DD2"/>
    <w:rsid w:val="000D1D29"/>
    <w:rsid w:val="000D4125"/>
    <w:rsid w:val="000D4C0E"/>
    <w:rsid w:val="000E2650"/>
    <w:rsid w:val="000E2B41"/>
    <w:rsid w:val="000E49FB"/>
    <w:rsid w:val="000E5A2B"/>
    <w:rsid w:val="000E7BA7"/>
    <w:rsid w:val="000F0B0F"/>
    <w:rsid w:val="000F0B2E"/>
    <w:rsid w:val="000F20E3"/>
    <w:rsid w:val="000F3172"/>
    <w:rsid w:val="000F48B8"/>
    <w:rsid w:val="000F49AB"/>
    <w:rsid w:val="000F6EA0"/>
    <w:rsid w:val="00101949"/>
    <w:rsid w:val="00101A67"/>
    <w:rsid w:val="00105450"/>
    <w:rsid w:val="00110EB0"/>
    <w:rsid w:val="0011403B"/>
    <w:rsid w:val="00114857"/>
    <w:rsid w:val="00120540"/>
    <w:rsid w:val="001205B6"/>
    <w:rsid w:val="00120E10"/>
    <w:rsid w:val="001237BB"/>
    <w:rsid w:val="00123FC2"/>
    <w:rsid w:val="001249EF"/>
    <w:rsid w:val="0012616B"/>
    <w:rsid w:val="00126659"/>
    <w:rsid w:val="00126EE8"/>
    <w:rsid w:val="0013000D"/>
    <w:rsid w:val="001320E8"/>
    <w:rsid w:val="001331AE"/>
    <w:rsid w:val="001363A4"/>
    <w:rsid w:val="0013658D"/>
    <w:rsid w:val="001367A4"/>
    <w:rsid w:val="00136C43"/>
    <w:rsid w:val="001377E4"/>
    <w:rsid w:val="00137B36"/>
    <w:rsid w:val="00140216"/>
    <w:rsid w:val="001405F4"/>
    <w:rsid w:val="0014061A"/>
    <w:rsid w:val="0014174A"/>
    <w:rsid w:val="00142CD8"/>
    <w:rsid w:val="00144BB4"/>
    <w:rsid w:val="00145B30"/>
    <w:rsid w:val="00147653"/>
    <w:rsid w:val="001477AF"/>
    <w:rsid w:val="00150CB9"/>
    <w:rsid w:val="001512E4"/>
    <w:rsid w:val="0015141E"/>
    <w:rsid w:val="0015166A"/>
    <w:rsid w:val="00152B87"/>
    <w:rsid w:val="001530DB"/>
    <w:rsid w:val="00154903"/>
    <w:rsid w:val="00157C6D"/>
    <w:rsid w:val="00157E2A"/>
    <w:rsid w:val="00161777"/>
    <w:rsid w:val="00161BF8"/>
    <w:rsid w:val="001621F2"/>
    <w:rsid w:val="00162B5D"/>
    <w:rsid w:val="00165AFA"/>
    <w:rsid w:val="00166A06"/>
    <w:rsid w:val="001703C1"/>
    <w:rsid w:val="00170614"/>
    <w:rsid w:val="00172504"/>
    <w:rsid w:val="0017558D"/>
    <w:rsid w:val="0017616C"/>
    <w:rsid w:val="00177AFC"/>
    <w:rsid w:val="001818E5"/>
    <w:rsid w:val="001824B5"/>
    <w:rsid w:val="00185CA4"/>
    <w:rsid w:val="001866B0"/>
    <w:rsid w:val="00187B19"/>
    <w:rsid w:val="001902DF"/>
    <w:rsid w:val="0019036D"/>
    <w:rsid w:val="001904F8"/>
    <w:rsid w:val="00192534"/>
    <w:rsid w:val="00194281"/>
    <w:rsid w:val="001971C2"/>
    <w:rsid w:val="001A04F2"/>
    <w:rsid w:val="001A0FBB"/>
    <w:rsid w:val="001A2303"/>
    <w:rsid w:val="001A37C3"/>
    <w:rsid w:val="001A3ED9"/>
    <w:rsid w:val="001A6056"/>
    <w:rsid w:val="001A7D1C"/>
    <w:rsid w:val="001B046A"/>
    <w:rsid w:val="001B1976"/>
    <w:rsid w:val="001B1E9C"/>
    <w:rsid w:val="001B3325"/>
    <w:rsid w:val="001B37D9"/>
    <w:rsid w:val="001B5EDF"/>
    <w:rsid w:val="001B5F6C"/>
    <w:rsid w:val="001C0925"/>
    <w:rsid w:val="001C1D87"/>
    <w:rsid w:val="001C202F"/>
    <w:rsid w:val="001C22A7"/>
    <w:rsid w:val="001C5480"/>
    <w:rsid w:val="001C58F2"/>
    <w:rsid w:val="001C603D"/>
    <w:rsid w:val="001D212F"/>
    <w:rsid w:val="001D3F21"/>
    <w:rsid w:val="001D5798"/>
    <w:rsid w:val="001E0516"/>
    <w:rsid w:val="001E2CC8"/>
    <w:rsid w:val="001E79A7"/>
    <w:rsid w:val="001F27D4"/>
    <w:rsid w:val="001F4F4E"/>
    <w:rsid w:val="001F5A74"/>
    <w:rsid w:val="001F5F4B"/>
    <w:rsid w:val="001F76BF"/>
    <w:rsid w:val="0020260B"/>
    <w:rsid w:val="002038CB"/>
    <w:rsid w:val="002051D8"/>
    <w:rsid w:val="0020544F"/>
    <w:rsid w:val="00205506"/>
    <w:rsid w:val="00205BA2"/>
    <w:rsid w:val="00206068"/>
    <w:rsid w:val="00210BAF"/>
    <w:rsid w:val="00210E5F"/>
    <w:rsid w:val="002138F4"/>
    <w:rsid w:val="00213BF2"/>
    <w:rsid w:val="00213EC3"/>
    <w:rsid w:val="00213F60"/>
    <w:rsid w:val="002170F0"/>
    <w:rsid w:val="002221AC"/>
    <w:rsid w:val="00222423"/>
    <w:rsid w:val="00223384"/>
    <w:rsid w:val="0022432A"/>
    <w:rsid w:val="00224C19"/>
    <w:rsid w:val="0022625F"/>
    <w:rsid w:val="00226F74"/>
    <w:rsid w:val="002272C9"/>
    <w:rsid w:val="00230252"/>
    <w:rsid w:val="002348FD"/>
    <w:rsid w:val="00235F95"/>
    <w:rsid w:val="00236EC4"/>
    <w:rsid w:val="00237C23"/>
    <w:rsid w:val="00240211"/>
    <w:rsid w:val="00244477"/>
    <w:rsid w:val="00250900"/>
    <w:rsid w:val="0025235B"/>
    <w:rsid w:val="00252F85"/>
    <w:rsid w:val="00254D97"/>
    <w:rsid w:val="00256A49"/>
    <w:rsid w:val="00260011"/>
    <w:rsid w:val="00260193"/>
    <w:rsid w:val="00261DDF"/>
    <w:rsid w:val="00264ACB"/>
    <w:rsid w:val="002671D1"/>
    <w:rsid w:val="00267740"/>
    <w:rsid w:val="002709DB"/>
    <w:rsid w:val="002726BA"/>
    <w:rsid w:val="00276446"/>
    <w:rsid w:val="00277760"/>
    <w:rsid w:val="002779B3"/>
    <w:rsid w:val="00286108"/>
    <w:rsid w:val="002901BB"/>
    <w:rsid w:val="0029188F"/>
    <w:rsid w:val="00292E84"/>
    <w:rsid w:val="00292E9B"/>
    <w:rsid w:val="00293C5B"/>
    <w:rsid w:val="00293D18"/>
    <w:rsid w:val="00296DE3"/>
    <w:rsid w:val="002973B3"/>
    <w:rsid w:val="00297D1F"/>
    <w:rsid w:val="002A0041"/>
    <w:rsid w:val="002A0AAF"/>
    <w:rsid w:val="002A26B1"/>
    <w:rsid w:val="002A4D28"/>
    <w:rsid w:val="002A525D"/>
    <w:rsid w:val="002A52D2"/>
    <w:rsid w:val="002A65C7"/>
    <w:rsid w:val="002A7327"/>
    <w:rsid w:val="002A7E1B"/>
    <w:rsid w:val="002B0695"/>
    <w:rsid w:val="002B189C"/>
    <w:rsid w:val="002B1DF4"/>
    <w:rsid w:val="002B3662"/>
    <w:rsid w:val="002B47BD"/>
    <w:rsid w:val="002B5E0F"/>
    <w:rsid w:val="002B6022"/>
    <w:rsid w:val="002C05FA"/>
    <w:rsid w:val="002C0B87"/>
    <w:rsid w:val="002C1E96"/>
    <w:rsid w:val="002C26DA"/>
    <w:rsid w:val="002C2CF4"/>
    <w:rsid w:val="002C3649"/>
    <w:rsid w:val="002C3897"/>
    <w:rsid w:val="002C39F7"/>
    <w:rsid w:val="002C3C5A"/>
    <w:rsid w:val="002C4535"/>
    <w:rsid w:val="002D0A30"/>
    <w:rsid w:val="002D1814"/>
    <w:rsid w:val="002D29EA"/>
    <w:rsid w:val="002D459F"/>
    <w:rsid w:val="002D6FA8"/>
    <w:rsid w:val="002D774E"/>
    <w:rsid w:val="002D7EC8"/>
    <w:rsid w:val="002E092D"/>
    <w:rsid w:val="002E0CB6"/>
    <w:rsid w:val="002E12FC"/>
    <w:rsid w:val="002E18B8"/>
    <w:rsid w:val="002E4853"/>
    <w:rsid w:val="002E7915"/>
    <w:rsid w:val="002E7DEF"/>
    <w:rsid w:val="002F1835"/>
    <w:rsid w:val="002F1A67"/>
    <w:rsid w:val="002F48C9"/>
    <w:rsid w:val="002F60D4"/>
    <w:rsid w:val="002F6A4D"/>
    <w:rsid w:val="00301477"/>
    <w:rsid w:val="003014D5"/>
    <w:rsid w:val="00302999"/>
    <w:rsid w:val="0030345A"/>
    <w:rsid w:val="00304213"/>
    <w:rsid w:val="00304DD0"/>
    <w:rsid w:val="00305198"/>
    <w:rsid w:val="00305285"/>
    <w:rsid w:val="003112EE"/>
    <w:rsid w:val="00311F28"/>
    <w:rsid w:val="003122A3"/>
    <w:rsid w:val="0031297F"/>
    <w:rsid w:val="00315248"/>
    <w:rsid w:val="00315C3A"/>
    <w:rsid w:val="00315EE9"/>
    <w:rsid w:val="0031676B"/>
    <w:rsid w:val="00316D19"/>
    <w:rsid w:val="0031751C"/>
    <w:rsid w:val="00323709"/>
    <w:rsid w:val="00323965"/>
    <w:rsid w:val="00323C56"/>
    <w:rsid w:val="00324045"/>
    <w:rsid w:val="00327358"/>
    <w:rsid w:val="003306D7"/>
    <w:rsid w:val="003317CF"/>
    <w:rsid w:val="0033472E"/>
    <w:rsid w:val="00334C3B"/>
    <w:rsid w:val="00335C38"/>
    <w:rsid w:val="00342702"/>
    <w:rsid w:val="00342A0F"/>
    <w:rsid w:val="00342A1A"/>
    <w:rsid w:val="00343ED2"/>
    <w:rsid w:val="00345643"/>
    <w:rsid w:val="0035005E"/>
    <w:rsid w:val="00350E45"/>
    <w:rsid w:val="003511CE"/>
    <w:rsid w:val="0035150C"/>
    <w:rsid w:val="003523A7"/>
    <w:rsid w:val="003530BE"/>
    <w:rsid w:val="00353131"/>
    <w:rsid w:val="00354534"/>
    <w:rsid w:val="00355AD9"/>
    <w:rsid w:val="00356B44"/>
    <w:rsid w:val="003648D7"/>
    <w:rsid w:val="00366518"/>
    <w:rsid w:val="00366DD7"/>
    <w:rsid w:val="003678C1"/>
    <w:rsid w:val="00374894"/>
    <w:rsid w:val="00375D5A"/>
    <w:rsid w:val="003778E3"/>
    <w:rsid w:val="00380A63"/>
    <w:rsid w:val="00381160"/>
    <w:rsid w:val="003823C9"/>
    <w:rsid w:val="0038336D"/>
    <w:rsid w:val="00384BAB"/>
    <w:rsid w:val="0038683E"/>
    <w:rsid w:val="00391203"/>
    <w:rsid w:val="00392DBA"/>
    <w:rsid w:val="0039463A"/>
    <w:rsid w:val="00395D3E"/>
    <w:rsid w:val="003A0678"/>
    <w:rsid w:val="003A209B"/>
    <w:rsid w:val="003A778C"/>
    <w:rsid w:val="003B134B"/>
    <w:rsid w:val="003B27C3"/>
    <w:rsid w:val="003B3411"/>
    <w:rsid w:val="003B59FE"/>
    <w:rsid w:val="003B6B0C"/>
    <w:rsid w:val="003B6CCE"/>
    <w:rsid w:val="003B7DC8"/>
    <w:rsid w:val="003C3C71"/>
    <w:rsid w:val="003C53BF"/>
    <w:rsid w:val="003C5D49"/>
    <w:rsid w:val="003C63EE"/>
    <w:rsid w:val="003C6A7E"/>
    <w:rsid w:val="003C75BB"/>
    <w:rsid w:val="003C7CCA"/>
    <w:rsid w:val="003D06C3"/>
    <w:rsid w:val="003D1218"/>
    <w:rsid w:val="003D214C"/>
    <w:rsid w:val="003D3F98"/>
    <w:rsid w:val="003D4C75"/>
    <w:rsid w:val="003D5144"/>
    <w:rsid w:val="003D5ED6"/>
    <w:rsid w:val="003D6ECA"/>
    <w:rsid w:val="003E0E2F"/>
    <w:rsid w:val="003E1E97"/>
    <w:rsid w:val="003E5499"/>
    <w:rsid w:val="003E64A0"/>
    <w:rsid w:val="003E7A52"/>
    <w:rsid w:val="003F1FD0"/>
    <w:rsid w:val="003F33B1"/>
    <w:rsid w:val="003F3EBE"/>
    <w:rsid w:val="003F5767"/>
    <w:rsid w:val="003F65C9"/>
    <w:rsid w:val="003F7E00"/>
    <w:rsid w:val="00400068"/>
    <w:rsid w:val="00402C47"/>
    <w:rsid w:val="00404177"/>
    <w:rsid w:val="00404F4D"/>
    <w:rsid w:val="004068CA"/>
    <w:rsid w:val="004069D1"/>
    <w:rsid w:val="00407315"/>
    <w:rsid w:val="00410BB9"/>
    <w:rsid w:val="00410C01"/>
    <w:rsid w:val="00410EEA"/>
    <w:rsid w:val="004125C8"/>
    <w:rsid w:val="0041291E"/>
    <w:rsid w:val="00414CD3"/>
    <w:rsid w:val="004173FD"/>
    <w:rsid w:val="0041742D"/>
    <w:rsid w:val="00417724"/>
    <w:rsid w:val="00422B66"/>
    <w:rsid w:val="00422C61"/>
    <w:rsid w:val="00425645"/>
    <w:rsid w:val="004276BF"/>
    <w:rsid w:val="00427753"/>
    <w:rsid w:val="00431A6F"/>
    <w:rsid w:val="00432EF1"/>
    <w:rsid w:val="004338FD"/>
    <w:rsid w:val="00433DD4"/>
    <w:rsid w:val="00433EAB"/>
    <w:rsid w:val="0043514F"/>
    <w:rsid w:val="004378B7"/>
    <w:rsid w:val="00437DFE"/>
    <w:rsid w:val="00441141"/>
    <w:rsid w:val="00442FFA"/>
    <w:rsid w:val="004432B2"/>
    <w:rsid w:val="00443578"/>
    <w:rsid w:val="004440AF"/>
    <w:rsid w:val="00444963"/>
    <w:rsid w:val="00447F5D"/>
    <w:rsid w:val="0045495A"/>
    <w:rsid w:val="004550F0"/>
    <w:rsid w:val="004554BA"/>
    <w:rsid w:val="00465265"/>
    <w:rsid w:val="00466BED"/>
    <w:rsid w:val="0047229E"/>
    <w:rsid w:val="00474861"/>
    <w:rsid w:val="00476246"/>
    <w:rsid w:val="00480553"/>
    <w:rsid w:val="00480DD1"/>
    <w:rsid w:val="00482A6E"/>
    <w:rsid w:val="00483412"/>
    <w:rsid w:val="004843B2"/>
    <w:rsid w:val="00485C04"/>
    <w:rsid w:val="00485F48"/>
    <w:rsid w:val="00486890"/>
    <w:rsid w:val="00487AF1"/>
    <w:rsid w:val="00487D0C"/>
    <w:rsid w:val="00490B94"/>
    <w:rsid w:val="0049240D"/>
    <w:rsid w:val="004941D3"/>
    <w:rsid w:val="004A3654"/>
    <w:rsid w:val="004A50DB"/>
    <w:rsid w:val="004A77F8"/>
    <w:rsid w:val="004B13E9"/>
    <w:rsid w:val="004B3775"/>
    <w:rsid w:val="004B5C88"/>
    <w:rsid w:val="004B7588"/>
    <w:rsid w:val="004B7606"/>
    <w:rsid w:val="004C2E9A"/>
    <w:rsid w:val="004C335D"/>
    <w:rsid w:val="004C3E2F"/>
    <w:rsid w:val="004C4BF7"/>
    <w:rsid w:val="004C4EF9"/>
    <w:rsid w:val="004C7974"/>
    <w:rsid w:val="004C7EAD"/>
    <w:rsid w:val="004D19A4"/>
    <w:rsid w:val="004D2CFE"/>
    <w:rsid w:val="004D30A4"/>
    <w:rsid w:val="004D3D0A"/>
    <w:rsid w:val="004D49D3"/>
    <w:rsid w:val="004D4A6C"/>
    <w:rsid w:val="004D4C8B"/>
    <w:rsid w:val="004D5872"/>
    <w:rsid w:val="004D680F"/>
    <w:rsid w:val="004D6B48"/>
    <w:rsid w:val="004D7B78"/>
    <w:rsid w:val="004E29DA"/>
    <w:rsid w:val="004E2DC8"/>
    <w:rsid w:val="004E3959"/>
    <w:rsid w:val="004E6925"/>
    <w:rsid w:val="004E6E8A"/>
    <w:rsid w:val="004F15B6"/>
    <w:rsid w:val="004F1FDA"/>
    <w:rsid w:val="004F250B"/>
    <w:rsid w:val="004F2728"/>
    <w:rsid w:val="004F32AB"/>
    <w:rsid w:val="004F4748"/>
    <w:rsid w:val="004F487A"/>
    <w:rsid w:val="004F4E8A"/>
    <w:rsid w:val="004F646C"/>
    <w:rsid w:val="004F66E4"/>
    <w:rsid w:val="004F6CCB"/>
    <w:rsid w:val="004F74B4"/>
    <w:rsid w:val="00501EF1"/>
    <w:rsid w:val="00505026"/>
    <w:rsid w:val="0050571D"/>
    <w:rsid w:val="005066FA"/>
    <w:rsid w:val="00507562"/>
    <w:rsid w:val="005078C7"/>
    <w:rsid w:val="00514819"/>
    <w:rsid w:val="00515168"/>
    <w:rsid w:val="005157A9"/>
    <w:rsid w:val="005169DD"/>
    <w:rsid w:val="00521916"/>
    <w:rsid w:val="005220EA"/>
    <w:rsid w:val="00522B00"/>
    <w:rsid w:val="00522F11"/>
    <w:rsid w:val="005248C1"/>
    <w:rsid w:val="0052503B"/>
    <w:rsid w:val="00525424"/>
    <w:rsid w:val="00527839"/>
    <w:rsid w:val="005308D5"/>
    <w:rsid w:val="00530E51"/>
    <w:rsid w:val="00530EC3"/>
    <w:rsid w:val="0053160B"/>
    <w:rsid w:val="00533854"/>
    <w:rsid w:val="00536785"/>
    <w:rsid w:val="00537A2F"/>
    <w:rsid w:val="0054024C"/>
    <w:rsid w:val="0054234B"/>
    <w:rsid w:val="0054305B"/>
    <w:rsid w:val="005434C0"/>
    <w:rsid w:val="00543E98"/>
    <w:rsid w:val="005452E7"/>
    <w:rsid w:val="00546C0F"/>
    <w:rsid w:val="00547B3A"/>
    <w:rsid w:val="00551893"/>
    <w:rsid w:val="00552891"/>
    <w:rsid w:val="00553991"/>
    <w:rsid w:val="0055461E"/>
    <w:rsid w:val="00554B2E"/>
    <w:rsid w:val="00554F50"/>
    <w:rsid w:val="00555232"/>
    <w:rsid w:val="005557C8"/>
    <w:rsid w:val="005558AD"/>
    <w:rsid w:val="00555CCE"/>
    <w:rsid w:val="00556E11"/>
    <w:rsid w:val="00556F2E"/>
    <w:rsid w:val="00560CE9"/>
    <w:rsid w:val="005626C1"/>
    <w:rsid w:val="005632FA"/>
    <w:rsid w:val="005634F8"/>
    <w:rsid w:val="005640FF"/>
    <w:rsid w:val="005653F7"/>
    <w:rsid w:val="00565598"/>
    <w:rsid w:val="00567795"/>
    <w:rsid w:val="0057018D"/>
    <w:rsid w:val="0057154D"/>
    <w:rsid w:val="005727E9"/>
    <w:rsid w:val="005728D9"/>
    <w:rsid w:val="00573157"/>
    <w:rsid w:val="005736DE"/>
    <w:rsid w:val="005737DD"/>
    <w:rsid w:val="00574B0B"/>
    <w:rsid w:val="005757C1"/>
    <w:rsid w:val="00576BE4"/>
    <w:rsid w:val="00577088"/>
    <w:rsid w:val="005800A1"/>
    <w:rsid w:val="00583B89"/>
    <w:rsid w:val="00583C8B"/>
    <w:rsid w:val="00584288"/>
    <w:rsid w:val="00586321"/>
    <w:rsid w:val="00586749"/>
    <w:rsid w:val="00587A7E"/>
    <w:rsid w:val="00587AEE"/>
    <w:rsid w:val="00587EDF"/>
    <w:rsid w:val="00590A5B"/>
    <w:rsid w:val="005924D4"/>
    <w:rsid w:val="005931A1"/>
    <w:rsid w:val="00593E1F"/>
    <w:rsid w:val="00595B73"/>
    <w:rsid w:val="00596741"/>
    <w:rsid w:val="00597E71"/>
    <w:rsid w:val="005A04DB"/>
    <w:rsid w:val="005A17DA"/>
    <w:rsid w:val="005A48F5"/>
    <w:rsid w:val="005A5D83"/>
    <w:rsid w:val="005A6792"/>
    <w:rsid w:val="005A6F7D"/>
    <w:rsid w:val="005B2A17"/>
    <w:rsid w:val="005B3446"/>
    <w:rsid w:val="005B5608"/>
    <w:rsid w:val="005B6E72"/>
    <w:rsid w:val="005B749C"/>
    <w:rsid w:val="005B7F22"/>
    <w:rsid w:val="005C00CA"/>
    <w:rsid w:val="005C0B33"/>
    <w:rsid w:val="005D1D9F"/>
    <w:rsid w:val="005D24A3"/>
    <w:rsid w:val="005D4E13"/>
    <w:rsid w:val="005D64C5"/>
    <w:rsid w:val="005E12FE"/>
    <w:rsid w:val="005E179C"/>
    <w:rsid w:val="005E5C0F"/>
    <w:rsid w:val="005F1857"/>
    <w:rsid w:val="005F31EB"/>
    <w:rsid w:val="005F531A"/>
    <w:rsid w:val="005F6189"/>
    <w:rsid w:val="005F6BA8"/>
    <w:rsid w:val="005F7AAD"/>
    <w:rsid w:val="005F7CB8"/>
    <w:rsid w:val="00600583"/>
    <w:rsid w:val="0060066E"/>
    <w:rsid w:val="00601731"/>
    <w:rsid w:val="00601B4F"/>
    <w:rsid w:val="00601EBB"/>
    <w:rsid w:val="00603364"/>
    <w:rsid w:val="00603B99"/>
    <w:rsid w:val="00604137"/>
    <w:rsid w:val="006115F0"/>
    <w:rsid w:val="00613492"/>
    <w:rsid w:val="00613F23"/>
    <w:rsid w:val="00614ABE"/>
    <w:rsid w:val="00617215"/>
    <w:rsid w:val="006178C1"/>
    <w:rsid w:val="00617C9B"/>
    <w:rsid w:val="00620357"/>
    <w:rsid w:val="006204EF"/>
    <w:rsid w:val="00620588"/>
    <w:rsid w:val="00621EBA"/>
    <w:rsid w:val="00625951"/>
    <w:rsid w:val="00631EB2"/>
    <w:rsid w:val="006323A4"/>
    <w:rsid w:val="006323BF"/>
    <w:rsid w:val="006411BE"/>
    <w:rsid w:val="0064232D"/>
    <w:rsid w:val="00643917"/>
    <w:rsid w:val="00651D26"/>
    <w:rsid w:val="00651D95"/>
    <w:rsid w:val="0065586E"/>
    <w:rsid w:val="0065680C"/>
    <w:rsid w:val="00656AB3"/>
    <w:rsid w:val="0065718D"/>
    <w:rsid w:val="00662EA3"/>
    <w:rsid w:val="00662F7B"/>
    <w:rsid w:val="006632D6"/>
    <w:rsid w:val="006632F8"/>
    <w:rsid w:val="00663F26"/>
    <w:rsid w:val="006643CD"/>
    <w:rsid w:val="00665A8C"/>
    <w:rsid w:val="00671C52"/>
    <w:rsid w:val="00671D2D"/>
    <w:rsid w:val="00674881"/>
    <w:rsid w:val="00675815"/>
    <w:rsid w:val="00676435"/>
    <w:rsid w:val="00682C35"/>
    <w:rsid w:val="00682FA3"/>
    <w:rsid w:val="006841D5"/>
    <w:rsid w:val="00684B4C"/>
    <w:rsid w:val="00685C09"/>
    <w:rsid w:val="00686619"/>
    <w:rsid w:val="0069014A"/>
    <w:rsid w:val="0069051A"/>
    <w:rsid w:val="00692CF5"/>
    <w:rsid w:val="0069327F"/>
    <w:rsid w:val="00693A84"/>
    <w:rsid w:val="006952EB"/>
    <w:rsid w:val="0069541B"/>
    <w:rsid w:val="006A0836"/>
    <w:rsid w:val="006A1A52"/>
    <w:rsid w:val="006A253F"/>
    <w:rsid w:val="006A2CDD"/>
    <w:rsid w:val="006A519A"/>
    <w:rsid w:val="006B05BB"/>
    <w:rsid w:val="006B0943"/>
    <w:rsid w:val="006B0BDD"/>
    <w:rsid w:val="006B337E"/>
    <w:rsid w:val="006B3991"/>
    <w:rsid w:val="006B3D3E"/>
    <w:rsid w:val="006B48C1"/>
    <w:rsid w:val="006B5614"/>
    <w:rsid w:val="006B6EA6"/>
    <w:rsid w:val="006B6ED8"/>
    <w:rsid w:val="006B711F"/>
    <w:rsid w:val="006B71EA"/>
    <w:rsid w:val="006B76D5"/>
    <w:rsid w:val="006C39C5"/>
    <w:rsid w:val="006C446E"/>
    <w:rsid w:val="006C49D5"/>
    <w:rsid w:val="006C5850"/>
    <w:rsid w:val="006C7315"/>
    <w:rsid w:val="006C7E82"/>
    <w:rsid w:val="006D09B9"/>
    <w:rsid w:val="006D2B48"/>
    <w:rsid w:val="006D368A"/>
    <w:rsid w:val="006D3A9E"/>
    <w:rsid w:val="006D4F97"/>
    <w:rsid w:val="006D5798"/>
    <w:rsid w:val="006D6530"/>
    <w:rsid w:val="006E0D9B"/>
    <w:rsid w:val="006E1C52"/>
    <w:rsid w:val="006E3A84"/>
    <w:rsid w:val="006E3C5A"/>
    <w:rsid w:val="006E52BF"/>
    <w:rsid w:val="006E69D5"/>
    <w:rsid w:val="006E6E57"/>
    <w:rsid w:val="006F07AF"/>
    <w:rsid w:val="006F10C9"/>
    <w:rsid w:val="006F15CA"/>
    <w:rsid w:val="006F4A6C"/>
    <w:rsid w:val="006F4EB5"/>
    <w:rsid w:val="006F6981"/>
    <w:rsid w:val="006F6BBD"/>
    <w:rsid w:val="006F73C0"/>
    <w:rsid w:val="007016E4"/>
    <w:rsid w:val="007018C5"/>
    <w:rsid w:val="00702C19"/>
    <w:rsid w:val="00702FD9"/>
    <w:rsid w:val="00704B53"/>
    <w:rsid w:val="00705405"/>
    <w:rsid w:val="0070624A"/>
    <w:rsid w:val="0071194D"/>
    <w:rsid w:val="0071242F"/>
    <w:rsid w:val="0071521B"/>
    <w:rsid w:val="0071608D"/>
    <w:rsid w:val="00716A33"/>
    <w:rsid w:val="00716BE2"/>
    <w:rsid w:val="00717425"/>
    <w:rsid w:val="00717DA3"/>
    <w:rsid w:val="0072226D"/>
    <w:rsid w:val="00723EB8"/>
    <w:rsid w:val="007322B3"/>
    <w:rsid w:val="007325C2"/>
    <w:rsid w:val="00733E8F"/>
    <w:rsid w:val="00737456"/>
    <w:rsid w:val="0074037B"/>
    <w:rsid w:val="007409DB"/>
    <w:rsid w:val="007419A2"/>
    <w:rsid w:val="0074334D"/>
    <w:rsid w:val="00743AB1"/>
    <w:rsid w:val="00743B3D"/>
    <w:rsid w:val="00743D29"/>
    <w:rsid w:val="007442DA"/>
    <w:rsid w:val="007507EE"/>
    <w:rsid w:val="00752271"/>
    <w:rsid w:val="007549C4"/>
    <w:rsid w:val="00756D39"/>
    <w:rsid w:val="007573DD"/>
    <w:rsid w:val="0075752A"/>
    <w:rsid w:val="00760062"/>
    <w:rsid w:val="0076229A"/>
    <w:rsid w:val="007623CE"/>
    <w:rsid w:val="00762A71"/>
    <w:rsid w:val="00767031"/>
    <w:rsid w:val="0077082A"/>
    <w:rsid w:val="00770BBB"/>
    <w:rsid w:val="00770F86"/>
    <w:rsid w:val="0077241A"/>
    <w:rsid w:val="00773E0B"/>
    <w:rsid w:val="00775193"/>
    <w:rsid w:val="00775587"/>
    <w:rsid w:val="0077682F"/>
    <w:rsid w:val="00777C6A"/>
    <w:rsid w:val="00777FB1"/>
    <w:rsid w:val="00783D24"/>
    <w:rsid w:val="00787AC8"/>
    <w:rsid w:val="007900E9"/>
    <w:rsid w:val="0079092E"/>
    <w:rsid w:val="0079112A"/>
    <w:rsid w:val="007912FB"/>
    <w:rsid w:val="007917FC"/>
    <w:rsid w:val="0079275D"/>
    <w:rsid w:val="00792ACC"/>
    <w:rsid w:val="00793AE5"/>
    <w:rsid w:val="00793DAE"/>
    <w:rsid w:val="00795CBE"/>
    <w:rsid w:val="00796D57"/>
    <w:rsid w:val="007A00C6"/>
    <w:rsid w:val="007A30DB"/>
    <w:rsid w:val="007A32A9"/>
    <w:rsid w:val="007A55AA"/>
    <w:rsid w:val="007A5604"/>
    <w:rsid w:val="007A5DF1"/>
    <w:rsid w:val="007B00B1"/>
    <w:rsid w:val="007B1350"/>
    <w:rsid w:val="007B1970"/>
    <w:rsid w:val="007B2EE9"/>
    <w:rsid w:val="007B4502"/>
    <w:rsid w:val="007B4EE6"/>
    <w:rsid w:val="007B54CC"/>
    <w:rsid w:val="007B7011"/>
    <w:rsid w:val="007C08EA"/>
    <w:rsid w:val="007C1734"/>
    <w:rsid w:val="007C1E8D"/>
    <w:rsid w:val="007C2234"/>
    <w:rsid w:val="007C2E1B"/>
    <w:rsid w:val="007C3283"/>
    <w:rsid w:val="007C47DA"/>
    <w:rsid w:val="007C587B"/>
    <w:rsid w:val="007D008F"/>
    <w:rsid w:val="007D0AEE"/>
    <w:rsid w:val="007D1EDA"/>
    <w:rsid w:val="007D3D84"/>
    <w:rsid w:val="007D4858"/>
    <w:rsid w:val="007D5C8D"/>
    <w:rsid w:val="007E2179"/>
    <w:rsid w:val="007E263D"/>
    <w:rsid w:val="007E4095"/>
    <w:rsid w:val="007E48A4"/>
    <w:rsid w:val="007E4ACC"/>
    <w:rsid w:val="007E5EB3"/>
    <w:rsid w:val="007E6397"/>
    <w:rsid w:val="007F3F95"/>
    <w:rsid w:val="007F4960"/>
    <w:rsid w:val="007F4E38"/>
    <w:rsid w:val="007F5EEA"/>
    <w:rsid w:val="007F6578"/>
    <w:rsid w:val="007F65C4"/>
    <w:rsid w:val="007F7FE7"/>
    <w:rsid w:val="00801584"/>
    <w:rsid w:val="00801BBA"/>
    <w:rsid w:val="00801D94"/>
    <w:rsid w:val="0080204C"/>
    <w:rsid w:val="00805049"/>
    <w:rsid w:val="0080672B"/>
    <w:rsid w:val="008068CF"/>
    <w:rsid w:val="008068DE"/>
    <w:rsid w:val="0080698C"/>
    <w:rsid w:val="00806A19"/>
    <w:rsid w:val="00807F2B"/>
    <w:rsid w:val="00811162"/>
    <w:rsid w:val="00811C5C"/>
    <w:rsid w:val="00812E9C"/>
    <w:rsid w:val="00814253"/>
    <w:rsid w:val="00814AE1"/>
    <w:rsid w:val="0081722C"/>
    <w:rsid w:val="008177E7"/>
    <w:rsid w:val="00821DBA"/>
    <w:rsid w:val="0082329C"/>
    <w:rsid w:val="00824460"/>
    <w:rsid w:val="008261F0"/>
    <w:rsid w:val="00827B1A"/>
    <w:rsid w:val="0083088D"/>
    <w:rsid w:val="00830D81"/>
    <w:rsid w:val="00834DDA"/>
    <w:rsid w:val="00836091"/>
    <w:rsid w:val="008369D0"/>
    <w:rsid w:val="00842021"/>
    <w:rsid w:val="0084220F"/>
    <w:rsid w:val="008432FB"/>
    <w:rsid w:val="00843662"/>
    <w:rsid w:val="00844168"/>
    <w:rsid w:val="00844840"/>
    <w:rsid w:val="00847D31"/>
    <w:rsid w:val="00852A7C"/>
    <w:rsid w:val="00853630"/>
    <w:rsid w:val="00856690"/>
    <w:rsid w:val="008566B3"/>
    <w:rsid w:val="0085723A"/>
    <w:rsid w:val="00857621"/>
    <w:rsid w:val="00857992"/>
    <w:rsid w:val="00860E39"/>
    <w:rsid w:val="00864EA2"/>
    <w:rsid w:val="00865A09"/>
    <w:rsid w:val="0087077B"/>
    <w:rsid w:val="0087091B"/>
    <w:rsid w:val="00873747"/>
    <w:rsid w:val="008738F0"/>
    <w:rsid w:val="00880577"/>
    <w:rsid w:val="00880BEB"/>
    <w:rsid w:val="00881AA2"/>
    <w:rsid w:val="00882C9B"/>
    <w:rsid w:val="008840C3"/>
    <w:rsid w:val="008845BC"/>
    <w:rsid w:val="0089099C"/>
    <w:rsid w:val="0089308C"/>
    <w:rsid w:val="00893CE3"/>
    <w:rsid w:val="00894E77"/>
    <w:rsid w:val="0089583E"/>
    <w:rsid w:val="00895949"/>
    <w:rsid w:val="008969F6"/>
    <w:rsid w:val="00897E9D"/>
    <w:rsid w:val="008A0B2B"/>
    <w:rsid w:val="008A3A34"/>
    <w:rsid w:val="008A5BFE"/>
    <w:rsid w:val="008A6933"/>
    <w:rsid w:val="008A78FC"/>
    <w:rsid w:val="008B010C"/>
    <w:rsid w:val="008B0F09"/>
    <w:rsid w:val="008B1B99"/>
    <w:rsid w:val="008B2264"/>
    <w:rsid w:val="008B36EF"/>
    <w:rsid w:val="008B519F"/>
    <w:rsid w:val="008B7065"/>
    <w:rsid w:val="008B7C5E"/>
    <w:rsid w:val="008B7D05"/>
    <w:rsid w:val="008C0F94"/>
    <w:rsid w:val="008C1A5D"/>
    <w:rsid w:val="008C2241"/>
    <w:rsid w:val="008C2422"/>
    <w:rsid w:val="008C3411"/>
    <w:rsid w:val="008C3BE5"/>
    <w:rsid w:val="008C4338"/>
    <w:rsid w:val="008C55DA"/>
    <w:rsid w:val="008C7042"/>
    <w:rsid w:val="008C736F"/>
    <w:rsid w:val="008D26AA"/>
    <w:rsid w:val="008D341D"/>
    <w:rsid w:val="008D3694"/>
    <w:rsid w:val="008D6694"/>
    <w:rsid w:val="008D6BC7"/>
    <w:rsid w:val="008E088E"/>
    <w:rsid w:val="008E19A1"/>
    <w:rsid w:val="008E2246"/>
    <w:rsid w:val="008E400A"/>
    <w:rsid w:val="008E4830"/>
    <w:rsid w:val="008E48C8"/>
    <w:rsid w:val="008F0A77"/>
    <w:rsid w:val="008F2CD7"/>
    <w:rsid w:val="008F627D"/>
    <w:rsid w:val="0090013F"/>
    <w:rsid w:val="0090131B"/>
    <w:rsid w:val="0090237D"/>
    <w:rsid w:val="00902AD1"/>
    <w:rsid w:val="00904C99"/>
    <w:rsid w:val="00906205"/>
    <w:rsid w:val="00906F3A"/>
    <w:rsid w:val="009103C3"/>
    <w:rsid w:val="00911CD6"/>
    <w:rsid w:val="00911F00"/>
    <w:rsid w:val="00913B72"/>
    <w:rsid w:val="00913C0D"/>
    <w:rsid w:val="00914635"/>
    <w:rsid w:val="00916CDA"/>
    <w:rsid w:val="00917483"/>
    <w:rsid w:val="00917B81"/>
    <w:rsid w:val="00923A28"/>
    <w:rsid w:val="0092410B"/>
    <w:rsid w:val="00925F3C"/>
    <w:rsid w:val="009266AE"/>
    <w:rsid w:val="0093371A"/>
    <w:rsid w:val="009344A9"/>
    <w:rsid w:val="00935229"/>
    <w:rsid w:val="00935CB8"/>
    <w:rsid w:val="00936D17"/>
    <w:rsid w:val="00941B44"/>
    <w:rsid w:val="009432A9"/>
    <w:rsid w:val="00943755"/>
    <w:rsid w:val="00944FDE"/>
    <w:rsid w:val="00945627"/>
    <w:rsid w:val="00945EAE"/>
    <w:rsid w:val="00946D2D"/>
    <w:rsid w:val="00947484"/>
    <w:rsid w:val="00947CA1"/>
    <w:rsid w:val="00950AD7"/>
    <w:rsid w:val="00950E15"/>
    <w:rsid w:val="00953A38"/>
    <w:rsid w:val="00953A77"/>
    <w:rsid w:val="00953BAD"/>
    <w:rsid w:val="00954865"/>
    <w:rsid w:val="00955CC1"/>
    <w:rsid w:val="0096047B"/>
    <w:rsid w:val="00960534"/>
    <w:rsid w:val="009634DF"/>
    <w:rsid w:val="0096367F"/>
    <w:rsid w:val="009640F4"/>
    <w:rsid w:val="009642C4"/>
    <w:rsid w:val="00972983"/>
    <w:rsid w:val="0097688F"/>
    <w:rsid w:val="00976C80"/>
    <w:rsid w:val="0097789E"/>
    <w:rsid w:val="00977F5D"/>
    <w:rsid w:val="009829C0"/>
    <w:rsid w:val="00983F38"/>
    <w:rsid w:val="009842D2"/>
    <w:rsid w:val="00987F46"/>
    <w:rsid w:val="009948E5"/>
    <w:rsid w:val="009966F0"/>
    <w:rsid w:val="009978A3"/>
    <w:rsid w:val="009A0DE6"/>
    <w:rsid w:val="009A23F4"/>
    <w:rsid w:val="009A6724"/>
    <w:rsid w:val="009A7996"/>
    <w:rsid w:val="009B08D1"/>
    <w:rsid w:val="009B1FD0"/>
    <w:rsid w:val="009B22E7"/>
    <w:rsid w:val="009B4591"/>
    <w:rsid w:val="009B4C46"/>
    <w:rsid w:val="009B6DD1"/>
    <w:rsid w:val="009B77E2"/>
    <w:rsid w:val="009C045F"/>
    <w:rsid w:val="009C0DBB"/>
    <w:rsid w:val="009C19BB"/>
    <w:rsid w:val="009C2EAE"/>
    <w:rsid w:val="009C4F25"/>
    <w:rsid w:val="009C530A"/>
    <w:rsid w:val="009D44F0"/>
    <w:rsid w:val="009D54B5"/>
    <w:rsid w:val="009E0B18"/>
    <w:rsid w:val="009E164D"/>
    <w:rsid w:val="009E3762"/>
    <w:rsid w:val="009E5143"/>
    <w:rsid w:val="009E5400"/>
    <w:rsid w:val="009F0F68"/>
    <w:rsid w:val="009F0F6E"/>
    <w:rsid w:val="009F2755"/>
    <w:rsid w:val="009F306B"/>
    <w:rsid w:val="009F46B7"/>
    <w:rsid w:val="009F5D76"/>
    <w:rsid w:val="009F6701"/>
    <w:rsid w:val="00A01425"/>
    <w:rsid w:val="00A01976"/>
    <w:rsid w:val="00A0303A"/>
    <w:rsid w:val="00A05572"/>
    <w:rsid w:val="00A06698"/>
    <w:rsid w:val="00A101A4"/>
    <w:rsid w:val="00A10D24"/>
    <w:rsid w:val="00A1284C"/>
    <w:rsid w:val="00A14314"/>
    <w:rsid w:val="00A1712E"/>
    <w:rsid w:val="00A17E22"/>
    <w:rsid w:val="00A20D25"/>
    <w:rsid w:val="00A21CE5"/>
    <w:rsid w:val="00A242E6"/>
    <w:rsid w:val="00A30C1F"/>
    <w:rsid w:val="00A33581"/>
    <w:rsid w:val="00A35B04"/>
    <w:rsid w:val="00A36ECF"/>
    <w:rsid w:val="00A37311"/>
    <w:rsid w:val="00A3758A"/>
    <w:rsid w:val="00A37CF3"/>
    <w:rsid w:val="00A41094"/>
    <w:rsid w:val="00A43ABD"/>
    <w:rsid w:val="00A523B2"/>
    <w:rsid w:val="00A543C5"/>
    <w:rsid w:val="00A559C5"/>
    <w:rsid w:val="00A5757C"/>
    <w:rsid w:val="00A5784A"/>
    <w:rsid w:val="00A60C35"/>
    <w:rsid w:val="00A62440"/>
    <w:rsid w:val="00A6258C"/>
    <w:rsid w:val="00A626EA"/>
    <w:rsid w:val="00A63336"/>
    <w:rsid w:val="00A63D0F"/>
    <w:rsid w:val="00A64BFC"/>
    <w:rsid w:val="00A653EE"/>
    <w:rsid w:val="00A6734B"/>
    <w:rsid w:val="00A715DB"/>
    <w:rsid w:val="00A717C4"/>
    <w:rsid w:val="00A71B98"/>
    <w:rsid w:val="00A72062"/>
    <w:rsid w:val="00A73805"/>
    <w:rsid w:val="00A73DA9"/>
    <w:rsid w:val="00A748C0"/>
    <w:rsid w:val="00A75164"/>
    <w:rsid w:val="00A765F7"/>
    <w:rsid w:val="00A77D7E"/>
    <w:rsid w:val="00A80838"/>
    <w:rsid w:val="00A819C6"/>
    <w:rsid w:val="00A81BFD"/>
    <w:rsid w:val="00A842EC"/>
    <w:rsid w:val="00A87877"/>
    <w:rsid w:val="00A90623"/>
    <w:rsid w:val="00A927EE"/>
    <w:rsid w:val="00A93460"/>
    <w:rsid w:val="00A94C6A"/>
    <w:rsid w:val="00A95D90"/>
    <w:rsid w:val="00A95F04"/>
    <w:rsid w:val="00AA03B7"/>
    <w:rsid w:val="00AA3E45"/>
    <w:rsid w:val="00AA4436"/>
    <w:rsid w:val="00AA535F"/>
    <w:rsid w:val="00AA5AA9"/>
    <w:rsid w:val="00AA6B24"/>
    <w:rsid w:val="00AB0283"/>
    <w:rsid w:val="00AB3709"/>
    <w:rsid w:val="00AB3B11"/>
    <w:rsid w:val="00AB6046"/>
    <w:rsid w:val="00AB65C1"/>
    <w:rsid w:val="00AB7A2A"/>
    <w:rsid w:val="00AC0769"/>
    <w:rsid w:val="00AC09E6"/>
    <w:rsid w:val="00AC28B1"/>
    <w:rsid w:val="00AC2BE6"/>
    <w:rsid w:val="00AC30C0"/>
    <w:rsid w:val="00AC37F5"/>
    <w:rsid w:val="00AC4A53"/>
    <w:rsid w:val="00AC4D20"/>
    <w:rsid w:val="00AC5AE5"/>
    <w:rsid w:val="00AC5B58"/>
    <w:rsid w:val="00AC65A2"/>
    <w:rsid w:val="00AC791E"/>
    <w:rsid w:val="00AD0A6B"/>
    <w:rsid w:val="00AD324E"/>
    <w:rsid w:val="00AE2776"/>
    <w:rsid w:val="00AE3281"/>
    <w:rsid w:val="00AE3A1A"/>
    <w:rsid w:val="00AE5780"/>
    <w:rsid w:val="00AE7DAE"/>
    <w:rsid w:val="00AF063E"/>
    <w:rsid w:val="00AF0FE6"/>
    <w:rsid w:val="00AF111C"/>
    <w:rsid w:val="00AF25E8"/>
    <w:rsid w:val="00AF3F2A"/>
    <w:rsid w:val="00AF480F"/>
    <w:rsid w:val="00AF4C6E"/>
    <w:rsid w:val="00AF65A9"/>
    <w:rsid w:val="00AF77FE"/>
    <w:rsid w:val="00B00C5C"/>
    <w:rsid w:val="00B020BB"/>
    <w:rsid w:val="00B02CE1"/>
    <w:rsid w:val="00B02D09"/>
    <w:rsid w:val="00B06ADA"/>
    <w:rsid w:val="00B10063"/>
    <w:rsid w:val="00B11774"/>
    <w:rsid w:val="00B12259"/>
    <w:rsid w:val="00B129AF"/>
    <w:rsid w:val="00B13BC3"/>
    <w:rsid w:val="00B20936"/>
    <w:rsid w:val="00B2286A"/>
    <w:rsid w:val="00B228D1"/>
    <w:rsid w:val="00B23E75"/>
    <w:rsid w:val="00B24FE7"/>
    <w:rsid w:val="00B26336"/>
    <w:rsid w:val="00B26A8A"/>
    <w:rsid w:val="00B30226"/>
    <w:rsid w:val="00B30B96"/>
    <w:rsid w:val="00B31D74"/>
    <w:rsid w:val="00B3452B"/>
    <w:rsid w:val="00B357F9"/>
    <w:rsid w:val="00B365AA"/>
    <w:rsid w:val="00B432DC"/>
    <w:rsid w:val="00B44FCC"/>
    <w:rsid w:val="00B46D80"/>
    <w:rsid w:val="00B51D63"/>
    <w:rsid w:val="00B5312C"/>
    <w:rsid w:val="00B53C8F"/>
    <w:rsid w:val="00B552DB"/>
    <w:rsid w:val="00B614F6"/>
    <w:rsid w:val="00B66265"/>
    <w:rsid w:val="00B669A0"/>
    <w:rsid w:val="00B67667"/>
    <w:rsid w:val="00B738ED"/>
    <w:rsid w:val="00B73960"/>
    <w:rsid w:val="00B73B86"/>
    <w:rsid w:val="00B73E65"/>
    <w:rsid w:val="00B73EFB"/>
    <w:rsid w:val="00B757DA"/>
    <w:rsid w:val="00B76AAE"/>
    <w:rsid w:val="00B76D81"/>
    <w:rsid w:val="00B80533"/>
    <w:rsid w:val="00B81CCE"/>
    <w:rsid w:val="00B83212"/>
    <w:rsid w:val="00B84AF3"/>
    <w:rsid w:val="00B91533"/>
    <w:rsid w:val="00B91F18"/>
    <w:rsid w:val="00B924A1"/>
    <w:rsid w:val="00B94697"/>
    <w:rsid w:val="00B94B63"/>
    <w:rsid w:val="00B975AC"/>
    <w:rsid w:val="00B97FC7"/>
    <w:rsid w:val="00BA385E"/>
    <w:rsid w:val="00BA389C"/>
    <w:rsid w:val="00BA44C5"/>
    <w:rsid w:val="00BA540F"/>
    <w:rsid w:val="00BB055A"/>
    <w:rsid w:val="00BB1467"/>
    <w:rsid w:val="00BB5B08"/>
    <w:rsid w:val="00BB6619"/>
    <w:rsid w:val="00BB6BE2"/>
    <w:rsid w:val="00BC03B0"/>
    <w:rsid w:val="00BC08A9"/>
    <w:rsid w:val="00BC0C44"/>
    <w:rsid w:val="00BC14E9"/>
    <w:rsid w:val="00BC1EF6"/>
    <w:rsid w:val="00BC342F"/>
    <w:rsid w:val="00BC45E6"/>
    <w:rsid w:val="00BC558B"/>
    <w:rsid w:val="00BC692B"/>
    <w:rsid w:val="00BD200F"/>
    <w:rsid w:val="00BD20CE"/>
    <w:rsid w:val="00BD2B19"/>
    <w:rsid w:val="00BD390A"/>
    <w:rsid w:val="00BD3A25"/>
    <w:rsid w:val="00BD4578"/>
    <w:rsid w:val="00BD5F96"/>
    <w:rsid w:val="00BE0BD2"/>
    <w:rsid w:val="00BE1C00"/>
    <w:rsid w:val="00BE5435"/>
    <w:rsid w:val="00BE6F95"/>
    <w:rsid w:val="00BF092B"/>
    <w:rsid w:val="00BF0AEB"/>
    <w:rsid w:val="00BF0D14"/>
    <w:rsid w:val="00BF248C"/>
    <w:rsid w:val="00BF36EE"/>
    <w:rsid w:val="00BF4FF1"/>
    <w:rsid w:val="00BF51D8"/>
    <w:rsid w:val="00BF531E"/>
    <w:rsid w:val="00C0254C"/>
    <w:rsid w:val="00C02B63"/>
    <w:rsid w:val="00C0373B"/>
    <w:rsid w:val="00C03BE6"/>
    <w:rsid w:val="00C060BD"/>
    <w:rsid w:val="00C06712"/>
    <w:rsid w:val="00C07B7B"/>
    <w:rsid w:val="00C118BD"/>
    <w:rsid w:val="00C11FD7"/>
    <w:rsid w:val="00C1233C"/>
    <w:rsid w:val="00C1372D"/>
    <w:rsid w:val="00C13C64"/>
    <w:rsid w:val="00C16AE5"/>
    <w:rsid w:val="00C1702C"/>
    <w:rsid w:val="00C174F2"/>
    <w:rsid w:val="00C17898"/>
    <w:rsid w:val="00C21B8A"/>
    <w:rsid w:val="00C21C05"/>
    <w:rsid w:val="00C24A5F"/>
    <w:rsid w:val="00C2507A"/>
    <w:rsid w:val="00C304C9"/>
    <w:rsid w:val="00C30A18"/>
    <w:rsid w:val="00C31BE0"/>
    <w:rsid w:val="00C3533C"/>
    <w:rsid w:val="00C35B31"/>
    <w:rsid w:val="00C36D4F"/>
    <w:rsid w:val="00C3728C"/>
    <w:rsid w:val="00C37590"/>
    <w:rsid w:val="00C37C92"/>
    <w:rsid w:val="00C37D44"/>
    <w:rsid w:val="00C416D6"/>
    <w:rsid w:val="00C45552"/>
    <w:rsid w:val="00C46211"/>
    <w:rsid w:val="00C46760"/>
    <w:rsid w:val="00C46E3E"/>
    <w:rsid w:val="00C50699"/>
    <w:rsid w:val="00C52481"/>
    <w:rsid w:val="00C5248E"/>
    <w:rsid w:val="00C553F1"/>
    <w:rsid w:val="00C57470"/>
    <w:rsid w:val="00C652B1"/>
    <w:rsid w:val="00C66562"/>
    <w:rsid w:val="00C679BF"/>
    <w:rsid w:val="00C710FF"/>
    <w:rsid w:val="00C73EFD"/>
    <w:rsid w:val="00C743FB"/>
    <w:rsid w:val="00C77B54"/>
    <w:rsid w:val="00C80C62"/>
    <w:rsid w:val="00C83587"/>
    <w:rsid w:val="00C83FDA"/>
    <w:rsid w:val="00C853C0"/>
    <w:rsid w:val="00C9121F"/>
    <w:rsid w:val="00C91A5B"/>
    <w:rsid w:val="00C9268C"/>
    <w:rsid w:val="00C9291E"/>
    <w:rsid w:val="00C96BC9"/>
    <w:rsid w:val="00C97441"/>
    <w:rsid w:val="00CA0554"/>
    <w:rsid w:val="00CA199C"/>
    <w:rsid w:val="00CA53BD"/>
    <w:rsid w:val="00CA63D3"/>
    <w:rsid w:val="00CB1938"/>
    <w:rsid w:val="00CB1C40"/>
    <w:rsid w:val="00CB345C"/>
    <w:rsid w:val="00CB49B9"/>
    <w:rsid w:val="00CB6D22"/>
    <w:rsid w:val="00CB7E4F"/>
    <w:rsid w:val="00CC23F1"/>
    <w:rsid w:val="00CC2534"/>
    <w:rsid w:val="00CC3132"/>
    <w:rsid w:val="00CC47A5"/>
    <w:rsid w:val="00CC4C86"/>
    <w:rsid w:val="00CC545C"/>
    <w:rsid w:val="00CC57C1"/>
    <w:rsid w:val="00CC5F2F"/>
    <w:rsid w:val="00CC642F"/>
    <w:rsid w:val="00CC7879"/>
    <w:rsid w:val="00CC7A8E"/>
    <w:rsid w:val="00CD12C9"/>
    <w:rsid w:val="00CD3075"/>
    <w:rsid w:val="00CD5704"/>
    <w:rsid w:val="00CD7BAB"/>
    <w:rsid w:val="00CE046C"/>
    <w:rsid w:val="00CE0961"/>
    <w:rsid w:val="00CE1B0E"/>
    <w:rsid w:val="00CE20CF"/>
    <w:rsid w:val="00CE5691"/>
    <w:rsid w:val="00CE7E10"/>
    <w:rsid w:val="00CF0239"/>
    <w:rsid w:val="00CF2CDC"/>
    <w:rsid w:val="00CF4773"/>
    <w:rsid w:val="00CF4AE4"/>
    <w:rsid w:val="00CF55C6"/>
    <w:rsid w:val="00CF566C"/>
    <w:rsid w:val="00CF5AB7"/>
    <w:rsid w:val="00CF5C70"/>
    <w:rsid w:val="00CF61FC"/>
    <w:rsid w:val="00D01867"/>
    <w:rsid w:val="00D02330"/>
    <w:rsid w:val="00D02DE8"/>
    <w:rsid w:val="00D04E18"/>
    <w:rsid w:val="00D0526F"/>
    <w:rsid w:val="00D06AB5"/>
    <w:rsid w:val="00D072FB"/>
    <w:rsid w:val="00D121FA"/>
    <w:rsid w:val="00D13B0D"/>
    <w:rsid w:val="00D21D30"/>
    <w:rsid w:val="00D250E7"/>
    <w:rsid w:val="00D25D05"/>
    <w:rsid w:val="00D26F26"/>
    <w:rsid w:val="00D273C1"/>
    <w:rsid w:val="00D27861"/>
    <w:rsid w:val="00D30DF5"/>
    <w:rsid w:val="00D360C1"/>
    <w:rsid w:val="00D372B4"/>
    <w:rsid w:val="00D377C2"/>
    <w:rsid w:val="00D37904"/>
    <w:rsid w:val="00D41DEF"/>
    <w:rsid w:val="00D4200F"/>
    <w:rsid w:val="00D427E0"/>
    <w:rsid w:val="00D431FA"/>
    <w:rsid w:val="00D4326A"/>
    <w:rsid w:val="00D43576"/>
    <w:rsid w:val="00D437B4"/>
    <w:rsid w:val="00D43D38"/>
    <w:rsid w:val="00D45B49"/>
    <w:rsid w:val="00D46D3B"/>
    <w:rsid w:val="00D47A4D"/>
    <w:rsid w:val="00D47AAF"/>
    <w:rsid w:val="00D5100D"/>
    <w:rsid w:val="00D52289"/>
    <w:rsid w:val="00D52651"/>
    <w:rsid w:val="00D52C9F"/>
    <w:rsid w:val="00D5399B"/>
    <w:rsid w:val="00D53FDD"/>
    <w:rsid w:val="00D54A76"/>
    <w:rsid w:val="00D54AD4"/>
    <w:rsid w:val="00D55A01"/>
    <w:rsid w:val="00D56165"/>
    <w:rsid w:val="00D567EB"/>
    <w:rsid w:val="00D607FB"/>
    <w:rsid w:val="00D60DFE"/>
    <w:rsid w:val="00D61B3D"/>
    <w:rsid w:val="00D62E94"/>
    <w:rsid w:val="00D63C14"/>
    <w:rsid w:val="00D66383"/>
    <w:rsid w:val="00D7018B"/>
    <w:rsid w:val="00D710C5"/>
    <w:rsid w:val="00D71539"/>
    <w:rsid w:val="00D73BE8"/>
    <w:rsid w:val="00D7537C"/>
    <w:rsid w:val="00D76202"/>
    <w:rsid w:val="00D827CE"/>
    <w:rsid w:val="00D83439"/>
    <w:rsid w:val="00D84C2A"/>
    <w:rsid w:val="00D85770"/>
    <w:rsid w:val="00D859AA"/>
    <w:rsid w:val="00D90AFB"/>
    <w:rsid w:val="00D90B75"/>
    <w:rsid w:val="00D95642"/>
    <w:rsid w:val="00D95E69"/>
    <w:rsid w:val="00D96EFD"/>
    <w:rsid w:val="00D97AFB"/>
    <w:rsid w:val="00DA0691"/>
    <w:rsid w:val="00DA1A96"/>
    <w:rsid w:val="00DA291F"/>
    <w:rsid w:val="00DA3088"/>
    <w:rsid w:val="00DA5E3F"/>
    <w:rsid w:val="00DA78A1"/>
    <w:rsid w:val="00DB164D"/>
    <w:rsid w:val="00DB3214"/>
    <w:rsid w:val="00DB434B"/>
    <w:rsid w:val="00DB5F41"/>
    <w:rsid w:val="00DB61CB"/>
    <w:rsid w:val="00DB6A39"/>
    <w:rsid w:val="00DC0436"/>
    <w:rsid w:val="00DC22C3"/>
    <w:rsid w:val="00DC3BF3"/>
    <w:rsid w:val="00DC42C0"/>
    <w:rsid w:val="00DD14DE"/>
    <w:rsid w:val="00DD212E"/>
    <w:rsid w:val="00DD27B2"/>
    <w:rsid w:val="00DD2DFE"/>
    <w:rsid w:val="00DD3062"/>
    <w:rsid w:val="00DD44DF"/>
    <w:rsid w:val="00DE041B"/>
    <w:rsid w:val="00DE2D08"/>
    <w:rsid w:val="00DE6AB1"/>
    <w:rsid w:val="00DF023C"/>
    <w:rsid w:val="00DF0EF9"/>
    <w:rsid w:val="00DF3AC0"/>
    <w:rsid w:val="00DF3B05"/>
    <w:rsid w:val="00DF5AC3"/>
    <w:rsid w:val="00DF7104"/>
    <w:rsid w:val="00DF76B9"/>
    <w:rsid w:val="00E000A7"/>
    <w:rsid w:val="00E01E73"/>
    <w:rsid w:val="00E028CB"/>
    <w:rsid w:val="00E046F0"/>
    <w:rsid w:val="00E0493A"/>
    <w:rsid w:val="00E04E5E"/>
    <w:rsid w:val="00E069BF"/>
    <w:rsid w:val="00E12C86"/>
    <w:rsid w:val="00E130CD"/>
    <w:rsid w:val="00E13813"/>
    <w:rsid w:val="00E14A12"/>
    <w:rsid w:val="00E14F75"/>
    <w:rsid w:val="00E1654B"/>
    <w:rsid w:val="00E1775A"/>
    <w:rsid w:val="00E24E13"/>
    <w:rsid w:val="00E250A1"/>
    <w:rsid w:val="00E25547"/>
    <w:rsid w:val="00E25EF2"/>
    <w:rsid w:val="00E31285"/>
    <w:rsid w:val="00E33DF1"/>
    <w:rsid w:val="00E3472B"/>
    <w:rsid w:val="00E34B98"/>
    <w:rsid w:val="00E36C27"/>
    <w:rsid w:val="00E40214"/>
    <w:rsid w:val="00E404B7"/>
    <w:rsid w:val="00E4166C"/>
    <w:rsid w:val="00E41DEC"/>
    <w:rsid w:val="00E442F5"/>
    <w:rsid w:val="00E4656F"/>
    <w:rsid w:val="00E5051F"/>
    <w:rsid w:val="00E54CA3"/>
    <w:rsid w:val="00E54DE5"/>
    <w:rsid w:val="00E55951"/>
    <w:rsid w:val="00E56CFB"/>
    <w:rsid w:val="00E60160"/>
    <w:rsid w:val="00E609B9"/>
    <w:rsid w:val="00E62BA6"/>
    <w:rsid w:val="00E65B52"/>
    <w:rsid w:val="00E66350"/>
    <w:rsid w:val="00E67EF5"/>
    <w:rsid w:val="00E74378"/>
    <w:rsid w:val="00E74DC1"/>
    <w:rsid w:val="00E756C1"/>
    <w:rsid w:val="00E759A0"/>
    <w:rsid w:val="00E77FEF"/>
    <w:rsid w:val="00E80F31"/>
    <w:rsid w:val="00E814AB"/>
    <w:rsid w:val="00E828B7"/>
    <w:rsid w:val="00E828E6"/>
    <w:rsid w:val="00E83C11"/>
    <w:rsid w:val="00E83ED1"/>
    <w:rsid w:val="00E8489D"/>
    <w:rsid w:val="00E84E07"/>
    <w:rsid w:val="00E84F36"/>
    <w:rsid w:val="00E85998"/>
    <w:rsid w:val="00E8622D"/>
    <w:rsid w:val="00E86640"/>
    <w:rsid w:val="00E86C50"/>
    <w:rsid w:val="00E9149B"/>
    <w:rsid w:val="00E96186"/>
    <w:rsid w:val="00E96BFA"/>
    <w:rsid w:val="00E97506"/>
    <w:rsid w:val="00EA033C"/>
    <w:rsid w:val="00EA0BDF"/>
    <w:rsid w:val="00EA1A55"/>
    <w:rsid w:val="00EA4045"/>
    <w:rsid w:val="00EA5639"/>
    <w:rsid w:val="00EA63F6"/>
    <w:rsid w:val="00EA6517"/>
    <w:rsid w:val="00EA6C9D"/>
    <w:rsid w:val="00EA7AF8"/>
    <w:rsid w:val="00EB0A3A"/>
    <w:rsid w:val="00EB0C1C"/>
    <w:rsid w:val="00EB1A5E"/>
    <w:rsid w:val="00EB29D9"/>
    <w:rsid w:val="00EB3347"/>
    <w:rsid w:val="00EB3352"/>
    <w:rsid w:val="00EB3501"/>
    <w:rsid w:val="00EB36DE"/>
    <w:rsid w:val="00EB383E"/>
    <w:rsid w:val="00EB4700"/>
    <w:rsid w:val="00EB5697"/>
    <w:rsid w:val="00EB56B5"/>
    <w:rsid w:val="00EB60D2"/>
    <w:rsid w:val="00EC0612"/>
    <w:rsid w:val="00EC22CC"/>
    <w:rsid w:val="00EC2755"/>
    <w:rsid w:val="00EC31FA"/>
    <w:rsid w:val="00EC34CE"/>
    <w:rsid w:val="00EC3D63"/>
    <w:rsid w:val="00EC4F0F"/>
    <w:rsid w:val="00EC56AB"/>
    <w:rsid w:val="00EC6753"/>
    <w:rsid w:val="00EC6DD9"/>
    <w:rsid w:val="00EC750D"/>
    <w:rsid w:val="00ED22B3"/>
    <w:rsid w:val="00ED3428"/>
    <w:rsid w:val="00ED42E5"/>
    <w:rsid w:val="00ED4A2C"/>
    <w:rsid w:val="00ED5D4D"/>
    <w:rsid w:val="00ED5D59"/>
    <w:rsid w:val="00ED5E73"/>
    <w:rsid w:val="00ED5FC8"/>
    <w:rsid w:val="00ED77B7"/>
    <w:rsid w:val="00EE00B9"/>
    <w:rsid w:val="00EE2096"/>
    <w:rsid w:val="00EE3626"/>
    <w:rsid w:val="00EE3A96"/>
    <w:rsid w:val="00EE4662"/>
    <w:rsid w:val="00EE4ABE"/>
    <w:rsid w:val="00EE4BB9"/>
    <w:rsid w:val="00EE4D75"/>
    <w:rsid w:val="00EE4FF5"/>
    <w:rsid w:val="00EE69D5"/>
    <w:rsid w:val="00EE7ADA"/>
    <w:rsid w:val="00EE7D6E"/>
    <w:rsid w:val="00EF013F"/>
    <w:rsid w:val="00EF08F8"/>
    <w:rsid w:val="00EF0B14"/>
    <w:rsid w:val="00EF19E5"/>
    <w:rsid w:val="00EF3DA9"/>
    <w:rsid w:val="00EF4C01"/>
    <w:rsid w:val="00EF5634"/>
    <w:rsid w:val="00EF785C"/>
    <w:rsid w:val="00F002A8"/>
    <w:rsid w:val="00F00C4C"/>
    <w:rsid w:val="00F021DA"/>
    <w:rsid w:val="00F021DC"/>
    <w:rsid w:val="00F028F4"/>
    <w:rsid w:val="00F05E57"/>
    <w:rsid w:val="00F06F71"/>
    <w:rsid w:val="00F073C6"/>
    <w:rsid w:val="00F119B8"/>
    <w:rsid w:val="00F127FD"/>
    <w:rsid w:val="00F12FE3"/>
    <w:rsid w:val="00F13903"/>
    <w:rsid w:val="00F13947"/>
    <w:rsid w:val="00F15260"/>
    <w:rsid w:val="00F1559B"/>
    <w:rsid w:val="00F1572E"/>
    <w:rsid w:val="00F16318"/>
    <w:rsid w:val="00F164A1"/>
    <w:rsid w:val="00F17264"/>
    <w:rsid w:val="00F20300"/>
    <w:rsid w:val="00F21A18"/>
    <w:rsid w:val="00F22596"/>
    <w:rsid w:val="00F22902"/>
    <w:rsid w:val="00F23391"/>
    <w:rsid w:val="00F307B4"/>
    <w:rsid w:val="00F32466"/>
    <w:rsid w:val="00F3530B"/>
    <w:rsid w:val="00F36DEF"/>
    <w:rsid w:val="00F41553"/>
    <w:rsid w:val="00F417EA"/>
    <w:rsid w:val="00F460C1"/>
    <w:rsid w:val="00F50048"/>
    <w:rsid w:val="00F51012"/>
    <w:rsid w:val="00F518EE"/>
    <w:rsid w:val="00F51AB5"/>
    <w:rsid w:val="00F51F2E"/>
    <w:rsid w:val="00F54146"/>
    <w:rsid w:val="00F54C2D"/>
    <w:rsid w:val="00F55CA9"/>
    <w:rsid w:val="00F56CF8"/>
    <w:rsid w:val="00F5791A"/>
    <w:rsid w:val="00F57BDF"/>
    <w:rsid w:val="00F600F3"/>
    <w:rsid w:val="00F60744"/>
    <w:rsid w:val="00F611C4"/>
    <w:rsid w:val="00F61C3C"/>
    <w:rsid w:val="00F62DE5"/>
    <w:rsid w:val="00F632B0"/>
    <w:rsid w:val="00F643E3"/>
    <w:rsid w:val="00F67944"/>
    <w:rsid w:val="00F67A93"/>
    <w:rsid w:val="00F71FF8"/>
    <w:rsid w:val="00F72205"/>
    <w:rsid w:val="00F72221"/>
    <w:rsid w:val="00F72D38"/>
    <w:rsid w:val="00F75449"/>
    <w:rsid w:val="00F75EDC"/>
    <w:rsid w:val="00F77439"/>
    <w:rsid w:val="00F81D80"/>
    <w:rsid w:val="00F85F35"/>
    <w:rsid w:val="00F86670"/>
    <w:rsid w:val="00F91A5E"/>
    <w:rsid w:val="00F91F1A"/>
    <w:rsid w:val="00F934A8"/>
    <w:rsid w:val="00F934CF"/>
    <w:rsid w:val="00F94E60"/>
    <w:rsid w:val="00F957F6"/>
    <w:rsid w:val="00FA45DA"/>
    <w:rsid w:val="00FA4A96"/>
    <w:rsid w:val="00FA5D2C"/>
    <w:rsid w:val="00FA63D5"/>
    <w:rsid w:val="00FB3EA6"/>
    <w:rsid w:val="00FB440C"/>
    <w:rsid w:val="00FB714B"/>
    <w:rsid w:val="00FB73A4"/>
    <w:rsid w:val="00FB7DE2"/>
    <w:rsid w:val="00FC0253"/>
    <w:rsid w:val="00FC27B3"/>
    <w:rsid w:val="00FC291F"/>
    <w:rsid w:val="00FC2A65"/>
    <w:rsid w:val="00FC6A49"/>
    <w:rsid w:val="00FD0CE4"/>
    <w:rsid w:val="00FD1BA6"/>
    <w:rsid w:val="00FD3B93"/>
    <w:rsid w:val="00FD53C7"/>
    <w:rsid w:val="00FD718C"/>
    <w:rsid w:val="00FE0D51"/>
    <w:rsid w:val="00FE486D"/>
    <w:rsid w:val="00FE70E4"/>
    <w:rsid w:val="00FE7837"/>
    <w:rsid w:val="00FF4858"/>
    <w:rsid w:val="00FF63E3"/>
    <w:rsid w:val="010512A7"/>
    <w:rsid w:val="01100610"/>
    <w:rsid w:val="01184BAE"/>
    <w:rsid w:val="012E069A"/>
    <w:rsid w:val="01304512"/>
    <w:rsid w:val="015326A8"/>
    <w:rsid w:val="0189766D"/>
    <w:rsid w:val="019C1C7D"/>
    <w:rsid w:val="019E38D2"/>
    <w:rsid w:val="01A769A7"/>
    <w:rsid w:val="01B5229D"/>
    <w:rsid w:val="01BD14EA"/>
    <w:rsid w:val="01D31819"/>
    <w:rsid w:val="01EC76CD"/>
    <w:rsid w:val="01FA179D"/>
    <w:rsid w:val="02082E6A"/>
    <w:rsid w:val="020E6915"/>
    <w:rsid w:val="02127402"/>
    <w:rsid w:val="021A4CEF"/>
    <w:rsid w:val="021D6D38"/>
    <w:rsid w:val="0220614C"/>
    <w:rsid w:val="023D64A7"/>
    <w:rsid w:val="02510491"/>
    <w:rsid w:val="02547895"/>
    <w:rsid w:val="02602E3F"/>
    <w:rsid w:val="02612D42"/>
    <w:rsid w:val="026B7DC0"/>
    <w:rsid w:val="029B0CEE"/>
    <w:rsid w:val="02A1591D"/>
    <w:rsid w:val="02AA216B"/>
    <w:rsid w:val="02AF7A59"/>
    <w:rsid w:val="02B83D02"/>
    <w:rsid w:val="02E349E1"/>
    <w:rsid w:val="03013E15"/>
    <w:rsid w:val="03180AAA"/>
    <w:rsid w:val="03454DBE"/>
    <w:rsid w:val="0364655D"/>
    <w:rsid w:val="037D53C3"/>
    <w:rsid w:val="039720AE"/>
    <w:rsid w:val="03975CCF"/>
    <w:rsid w:val="03A82BFC"/>
    <w:rsid w:val="03BF2AA3"/>
    <w:rsid w:val="03DF3D2C"/>
    <w:rsid w:val="04110661"/>
    <w:rsid w:val="04205655"/>
    <w:rsid w:val="04244E08"/>
    <w:rsid w:val="042A3F55"/>
    <w:rsid w:val="043E162D"/>
    <w:rsid w:val="04457881"/>
    <w:rsid w:val="048E057E"/>
    <w:rsid w:val="04B61874"/>
    <w:rsid w:val="04B66A95"/>
    <w:rsid w:val="04CA01D8"/>
    <w:rsid w:val="04EF436D"/>
    <w:rsid w:val="04F01C95"/>
    <w:rsid w:val="04F9509E"/>
    <w:rsid w:val="05041B96"/>
    <w:rsid w:val="05060529"/>
    <w:rsid w:val="052056D2"/>
    <w:rsid w:val="05252905"/>
    <w:rsid w:val="057769A0"/>
    <w:rsid w:val="057D7179"/>
    <w:rsid w:val="058A29B9"/>
    <w:rsid w:val="05B44930"/>
    <w:rsid w:val="05BB056C"/>
    <w:rsid w:val="05D63905"/>
    <w:rsid w:val="05DD57DF"/>
    <w:rsid w:val="05E36902"/>
    <w:rsid w:val="05E57771"/>
    <w:rsid w:val="05E80F11"/>
    <w:rsid w:val="06023BF2"/>
    <w:rsid w:val="0604616B"/>
    <w:rsid w:val="0610749D"/>
    <w:rsid w:val="062B39C2"/>
    <w:rsid w:val="0633537C"/>
    <w:rsid w:val="06407474"/>
    <w:rsid w:val="064A676D"/>
    <w:rsid w:val="06524683"/>
    <w:rsid w:val="065936C1"/>
    <w:rsid w:val="065B5A9B"/>
    <w:rsid w:val="06703080"/>
    <w:rsid w:val="06B25749"/>
    <w:rsid w:val="06BD71D3"/>
    <w:rsid w:val="06C64409"/>
    <w:rsid w:val="06CC2F56"/>
    <w:rsid w:val="06D275A3"/>
    <w:rsid w:val="06DD1878"/>
    <w:rsid w:val="06F041F3"/>
    <w:rsid w:val="06F600AF"/>
    <w:rsid w:val="07271F56"/>
    <w:rsid w:val="07347D67"/>
    <w:rsid w:val="074A2E4E"/>
    <w:rsid w:val="07546769"/>
    <w:rsid w:val="076F2A83"/>
    <w:rsid w:val="078E2B8F"/>
    <w:rsid w:val="07D24BF6"/>
    <w:rsid w:val="07D479D0"/>
    <w:rsid w:val="07D50E6C"/>
    <w:rsid w:val="07E060CD"/>
    <w:rsid w:val="083E22CB"/>
    <w:rsid w:val="0862345B"/>
    <w:rsid w:val="086340CC"/>
    <w:rsid w:val="087C1CC5"/>
    <w:rsid w:val="08852621"/>
    <w:rsid w:val="08864E81"/>
    <w:rsid w:val="088F09AD"/>
    <w:rsid w:val="08A878FA"/>
    <w:rsid w:val="08C942E4"/>
    <w:rsid w:val="08D9645B"/>
    <w:rsid w:val="08EF4525"/>
    <w:rsid w:val="09252369"/>
    <w:rsid w:val="092E4AD4"/>
    <w:rsid w:val="0936317E"/>
    <w:rsid w:val="0979061B"/>
    <w:rsid w:val="097B699E"/>
    <w:rsid w:val="099348A6"/>
    <w:rsid w:val="099D3029"/>
    <w:rsid w:val="09A1593C"/>
    <w:rsid w:val="09B77150"/>
    <w:rsid w:val="09CD6DC2"/>
    <w:rsid w:val="09E6784D"/>
    <w:rsid w:val="09EA0EA2"/>
    <w:rsid w:val="09F13F1A"/>
    <w:rsid w:val="0A08114A"/>
    <w:rsid w:val="0A20055A"/>
    <w:rsid w:val="0A3A43E6"/>
    <w:rsid w:val="0A3F61CF"/>
    <w:rsid w:val="0A481AEE"/>
    <w:rsid w:val="0A486559"/>
    <w:rsid w:val="0A8513B3"/>
    <w:rsid w:val="0AA059E1"/>
    <w:rsid w:val="0AA07D4D"/>
    <w:rsid w:val="0AAA3B3D"/>
    <w:rsid w:val="0AC1605D"/>
    <w:rsid w:val="0AD81E24"/>
    <w:rsid w:val="0AE873ED"/>
    <w:rsid w:val="0AEB7E43"/>
    <w:rsid w:val="0B2643EE"/>
    <w:rsid w:val="0B3B636E"/>
    <w:rsid w:val="0B3C76F6"/>
    <w:rsid w:val="0BA07238"/>
    <w:rsid w:val="0BAC4CAA"/>
    <w:rsid w:val="0BAD507C"/>
    <w:rsid w:val="0BAF6A9C"/>
    <w:rsid w:val="0BB22457"/>
    <w:rsid w:val="0BDC45E6"/>
    <w:rsid w:val="0BEC342A"/>
    <w:rsid w:val="0BF339B1"/>
    <w:rsid w:val="0C040CE7"/>
    <w:rsid w:val="0C177D8B"/>
    <w:rsid w:val="0C1B53BB"/>
    <w:rsid w:val="0C2805E3"/>
    <w:rsid w:val="0C4750C5"/>
    <w:rsid w:val="0C4A6637"/>
    <w:rsid w:val="0C4C43CD"/>
    <w:rsid w:val="0C4D2523"/>
    <w:rsid w:val="0C822FDA"/>
    <w:rsid w:val="0C845710"/>
    <w:rsid w:val="0C87596E"/>
    <w:rsid w:val="0C8E1200"/>
    <w:rsid w:val="0C9076B8"/>
    <w:rsid w:val="0CAE23A6"/>
    <w:rsid w:val="0CAF5AC4"/>
    <w:rsid w:val="0CCA4DE5"/>
    <w:rsid w:val="0CD46F4E"/>
    <w:rsid w:val="0CFD4B8B"/>
    <w:rsid w:val="0D2F679C"/>
    <w:rsid w:val="0D5462E0"/>
    <w:rsid w:val="0D645198"/>
    <w:rsid w:val="0D673BB2"/>
    <w:rsid w:val="0D784EAD"/>
    <w:rsid w:val="0D7B14BD"/>
    <w:rsid w:val="0D8448F2"/>
    <w:rsid w:val="0D9D11A2"/>
    <w:rsid w:val="0DDC2B58"/>
    <w:rsid w:val="0DF50238"/>
    <w:rsid w:val="0DF93385"/>
    <w:rsid w:val="0E200187"/>
    <w:rsid w:val="0E2261F7"/>
    <w:rsid w:val="0E241D48"/>
    <w:rsid w:val="0E323D5B"/>
    <w:rsid w:val="0E4F0F4C"/>
    <w:rsid w:val="0E515434"/>
    <w:rsid w:val="0E5650DF"/>
    <w:rsid w:val="0E5E6344"/>
    <w:rsid w:val="0E6E08EC"/>
    <w:rsid w:val="0E7D475F"/>
    <w:rsid w:val="0EC120CF"/>
    <w:rsid w:val="0ECF68C5"/>
    <w:rsid w:val="0EE74BEB"/>
    <w:rsid w:val="0F1A4BB6"/>
    <w:rsid w:val="0F2E69D4"/>
    <w:rsid w:val="0F4D36F3"/>
    <w:rsid w:val="0F5124F8"/>
    <w:rsid w:val="0F5B21BA"/>
    <w:rsid w:val="0F721976"/>
    <w:rsid w:val="0F8C644A"/>
    <w:rsid w:val="0F9007AC"/>
    <w:rsid w:val="0FB62D94"/>
    <w:rsid w:val="100059B4"/>
    <w:rsid w:val="10106890"/>
    <w:rsid w:val="101F755C"/>
    <w:rsid w:val="102C780B"/>
    <w:rsid w:val="102F4827"/>
    <w:rsid w:val="10361C3A"/>
    <w:rsid w:val="104B0AB7"/>
    <w:rsid w:val="107051F2"/>
    <w:rsid w:val="10A65208"/>
    <w:rsid w:val="10E36521"/>
    <w:rsid w:val="10EE3CD6"/>
    <w:rsid w:val="110D65BE"/>
    <w:rsid w:val="111313BF"/>
    <w:rsid w:val="113A1217"/>
    <w:rsid w:val="116C57B2"/>
    <w:rsid w:val="117F5CFE"/>
    <w:rsid w:val="118445FB"/>
    <w:rsid w:val="11884479"/>
    <w:rsid w:val="11A5157B"/>
    <w:rsid w:val="11B92119"/>
    <w:rsid w:val="11D040F0"/>
    <w:rsid w:val="11D36F2E"/>
    <w:rsid w:val="11D4553C"/>
    <w:rsid w:val="12026FCF"/>
    <w:rsid w:val="122307E8"/>
    <w:rsid w:val="12403AD3"/>
    <w:rsid w:val="12560DA6"/>
    <w:rsid w:val="12730947"/>
    <w:rsid w:val="127721E0"/>
    <w:rsid w:val="12801C82"/>
    <w:rsid w:val="128F0769"/>
    <w:rsid w:val="12964CC0"/>
    <w:rsid w:val="12BF3048"/>
    <w:rsid w:val="12DA2A61"/>
    <w:rsid w:val="130871F1"/>
    <w:rsid w:val="13100EB7"/>
    <w:rsid w:val="132C5279"/>
    <w:rsid w:val="1343194E"/>
    <w:rsid w:val="135055A4"/>
    <w:rsid w:val="136D2619"/>
    <w:rsid w:val="136F03F2"/>
    <w:rsid w:val="13D1731F"/>
    <w:rsid w:val="13EE3F6E"/>
    <w:rsid w:val="13F83404"/>
    <w:rsid w:val="14000542"/>
    <w:rsid w:val="14107B44"/>
    <w:rsid w:val="14302474"/>
    <w:rsid w:val="14346062"/>
    <w:rsid w:val="14471493"/>
    <w:rsid w:val="145E4937"/>
    <w:rsid w:val="14650827"/>
    <w:rsid w:val="14666A79"/>
    <w:rsid w:val="147C5BD9"/>
    <w:rsid w:val="149E37C5"/>
    <w:rsid w:val="14B138F6"/>
    <w:rsid w:val="14C03AAD"/>
    <w:rsid w:val="14CD5812"/>
    <w:rsid w:val="14D703FD"/>
    <w:rsid w:val="14D87252"/>
    <w:rsid w:val="14E854A0"/>
    <w:rsid w:val="14EA1053"/>
    <w:rsid w:val="14EA446C"/>
    <w:rsid w:val="14F009F6"/>
    <w:rsid w:val="14F6542A"/>
    <w:rsid w:val="1513241D"/>
    <w:rsid w:val="151A3F37"/>
    <w:rsid w:val="15216575"/>
    <w:rsid w:val="152E7375"/>
    <w:rsid w:val="15426003"/>
    <w:rsid w:val="15466FBF"/>
    <w:rsid w:val="155061B3"/>
    <w:rsid w:val="15561757"/>
    <w:rsid w:val="15622553"/>
    <w:rsid w:val="15937435"/>
    <w:rsid w:val="15A119EA"/>
    <w:rsid w:val="15A35558"/>
    <w:rsid w:val="15D949C3"/>
    <w:rsid w:val="15DF6A27"/>
    <w:rsid w:val="15F9060F"/>
    <w:rsid w:val="160A3D32"/>
    <w:rsid w:val="16536920"/>
    <w:rsid w:val="16606CDF"/>
    <w:rsid w:val="1698142D"/>
    <w:rsid w:val="16BB4C0D"/>
    <w:rsid w:val="16BC63A0"/>
    <w:rsid w:val="16CC3C87"/>
    <w:rsid w:val="16D941F6"/>
    <w:rsid w:val="16DB742D"/>
    <w:rsid w:val="16DC7688"/>
    <w:rsid w:val="16E358F3"/>
    <w:rsid w:val="16FE4538"/>
    <w:rsid w:val="17007961"/>
    <w:rsid w:val="171D5D7C"/>
    <w:rsid w:val="172C3732"/>
    <w:rsid w:val="172F4329"/>
    <w:rsid w:val="1739266C"/>
    <w:rsid w:val="1748720E"/>
    <w:rsid w:val="178A7FB4"/>
    <w:rsid w:val="17901BBC"/>
    <w:rsid w:val="179056D3"/>
    <w:rsid w:val="17947016"/>
    <w:rsid w:val="179C6D73"/>
    <w:rsid w:val="17AE528F"/>
    <w:rsid w:val="17B37F0E"/>
    <w:rsid w:val="17D67862"/>
    <w:rsid w:val="17D77C98"/>
    <w:rsid w:val="17E9206D"/>
    <w:rsid w:val="17F83438"/>
    <w:rsid w:val="180B151B"/>
    <w:rsid w:val="180D7249"/>
    <w:rsid w:val="18315384"/>
    <w:rsid w:val="183A42EF"/>
    <w:rsid w:val="183C3F46"/>
    <w:rsid w:val="18687AE0"/>
    <w:rsid w:val="186E0364"/>
    <w:rsid w:val="187126C8"/>
    <w:rsid w:val="18814782"/>
    <w:rsid w:val="18877C16"/>
    <w:rsid w:val="18892CC4"/>
    <w:rsid w:val="188B69BA"/>
    <w:rsid w:val="18A83A79"/>
    <w:rsid w:val="18AF5035"/>
    <w:rsid w:val="18DA474F"/>
    <w:rsid w:val="18E16009"/>
    <w:rsid w:val="18FA3F73"/>
    <w:rsid w:val="18FD704C"/>
    <w:rsid w:val="18FF4B92"/>
    <w:rsid w:val="191A2E31"/>
    <w:rsid w:val="19272F0D"/>
    <w:rsid w:val="192B0DCC"/>
    <w:rsid w:val="19403A3C"/>
    <w:rsid w:val="19494F7E"/>
    <w:rsid w:val="19722274"/>
    <w:rsid w:val="19784193"/>
    <w:rsid w:val="197909F0"/>
    <w:rsid w:val="1991195C"/>
    <w:rsid w:val="19AC7595"/>
    <w:rsid w:val="19B90DD5"/>
    <w:rsid w:val="19BB4189"/>
    <w:rsid w:val="19C67168"/>
    <w:rsid w:val="19C841E0"/>
    <w:rsid w:val="19CB072E"/>
    <w:rsid w:val="19CD3AE6"/>
    <w:rsid w:val="19EA1A56"/>
    <w:rsid w:val="19F40A8E"/>
    <w:rsid w:val="1A111F54"/>
    <w:rsid w:val="1A552EC0"/>
    <w:rsid w:val="1A6A1A10"/>
    <w:rsid w:val="1A851AD2"/>
    <w:rsid w:val="1A9E0487"/>
    <w:rsid w:val="1AC316FA"/>
    <w:rsid w:val="1B096ACD"/>
    <w:rsid w:val="1B3B23EC"/>
    <w:rsid w:val="1B40480B"/>
    <w:rsid w:val="1B670811"/>
    <w:rsid w:val="1B9F6460"/>
    <w:rsid w:val="1BC15DA0"/>
    <w:rsid w:val="1BC70F72"/>
    <w:rsid w:val="1BC909EF"/>
    <w:rsid w:val="1BCA3EB1"/>
    <w:rsid w:val="1BD6179C"/>
    <w:rsid w:val="1BFD1F2D"/>
    <w:rsid w:val="1BFD2653"/>
    <w:rsid w:val="1C0A522D"/>
    <w:rsid w:val="1C280BC1"/>
    <w:rsid w:val="1C423B6D"/>
    <w:rsid w:val="1C7E300E"/>
    <w:rsid w:val="1C902277"/>
    <w:rsid w:val="1CA15653"/>
    <w:rsid w:val="1CAA5510"/>
    <w:rsid w:val="1CF36A41"/>
    <w:rsid w:val="1D237025"/>
    <w:rsid w:val="1D3C3339"/>
    <w:rsid w:val="1D3F1B6A"/>
    <w:rsid w:val="1D775634"/>
    <w:rsid w:val="1D822F77"/>
    <w:rsid w:val="1D8D5097"/>
    <w:rsid w:val="1DA4588F"/>
    <w:rsid w:val="1DB157CB"/>
    <w:rsid w:val="1DC75A20"/>
    <w:rsid w:val="1DE42973"/>
    <w:rsid w:val="1DE958CA"/>
    <w:rsid w:val="1DF868C2"/>
    <w:rsid w:val="1E006CD9"/>
    <w:rsid w:val="1E063AD5"/>
    <w:rsid w:val="1E07066F"/>
    <w:rsid w:val="1E4D1916"/>
    <w:rsid w:val="1E607411"/>
    <w:rsid w:val="1E742ED7"/>
    <w:rsid w:val="1EA61B44"/>
    <w:rsid w:val="1EA82965"/>
    <w:rsid w:val="1F0C62E9"/>
    <w:rsid w:val="1F0E4849"/>
    <w:rsid w:val="1F114B41"/>
    <w:rsid w:val="1F123A1D"/>
    <w:rsid w:val="1F1267DE"/>
    <w:rsid w:val="1F4042C9"/>
    <w:rsid w:val="1F500AFF"/>
    <w:rsid w:val="1F760B3F"/>
    <w:rsid w:val="1F817866"/>
    <w:rsid w:val="1FBE5315"/>
    <w:rsid w:val="1FC436FE"/>
    <w:rsid w:val="1FCE08E4"/>
    <w:rsid w:val="1FFC1A3F"/>
    <w:rsid w:val="20141531"/>
    <w:rsid w:val="20466F42"/>
    <w:rsid w:val="20535186"/>
    <w:rsid w:val="205C57F7"/>
    <w:rsid w:val="2066255A"/>
    <w:rsid w:val="207138A3"/>
    <w:rsid w:val="20987299"/>
    <w:rsid w:val="209C78DD"/>
    <w:rsid w:val="209F6DEA"/>
    <w:rsid w:val="20AC4CBF"/>
    <w:rsid w:val="20AE53B6"/>
    <w:rsid w:val="20D329B8"/>
    <w:rsid w:val="20D97C6D"/>
    <w:rsid w:val="20DA56F3"/>
    <w:rsid w:val="20EF005C"/>
    <w:rsid w:val="20F4080E"/>
    <w:rsid w:val="20FF17A0"/>
    <w:rsid w:val="2101740A"/>
    <w:rsid w:val="21137494"/>
    <w:rsid w:val="21165750"/>
    <w:rsid w:val="214811E9"/>
    <w:rsid w:val="2165241B"/>
    <w:rsid w:val="21690861"/>
    <w:rsid w:val="217F7518"/>
    <w:rsid w:val="218F1915"/>
    <w:rsid w:val="21970EED"/>
    <w:rsid w:val="219F10DB"/>
    <w:rsid w:val="21A37F8C"/>
    <w:rsid w:val="21A443E5"/>
    <w:rsid w:val="21AA00D3"/>
    <w:rsid w:val="21C210D5"/>
    <w:rsid w:val="21D033C8"/>
    <w:rsid w:val="21DD2665"/>
    <w:rsid w:val="21EE5DE5"/>
    <w:rsid w:val="2207577E"/>
    <w:rsid w:val="220C652D"/>
    <w:rsid w:val="22430708"/>
    <w:rsid w:val="226C0762"/>
    <w:rsid w:val="22724242"/>
    <w:rsid w:val="22740A42"/>
    <w:rsid w:val="227C5B3D"/>
    <w:rsid w:val="228E78DD"/>
    <w:rsid w:val="229B3A2F"/>
    <w:rsid w:val="22B81458"/>
    <w:rsid w:val="22C61338"/>
    <w:rsid w:val="22E25AF9"/>
    <w:rsid w:val="232C1100"/>
    <w:rsid w:val="2362287C"/>
    <w:rsid w:val="237C663F"/>
    <w:rsid w:val="237C76BF"/>
    <w:rsid w:val="238C1C47"/>
    <w:rsid w:val="238F2454"/>
    <w:rsid w:val="23B6438E"/>
    <w:rsid w:val="23E4210E"/>
    <w:rsid w:val="23ED4F69"/>
    <w:rsid w:val="24091A36"/>
    <w:rsid w:val="24190806"/>
    <w:rsid w:val="24512A4D"/>
    <w:rsid w:val="24557A85"/>
    <w:rsid w:val="24615998"/>
    <w:rsid w:val="24AA1F2A"/>
    <w:rsid w:val="24C93B1A"/>
    <w:rsid w:val="24ED7E40"/>
    <w:rsid w:val="250A3AFE"/>
    <w:rsid w:val="25180428"/>
    <w:rsid w:val="25195F39"/>
    <w:rsid w:val="251B4A33"/>
    <w:rsid w:val="25224150"/>
    <w:rsid w:val="25257FB6"/>
    <w:rsid w:val="254506C1"/>
    <w:rsid w:val="25690C79"/>
    <w:rsid w:val="256F6E80"/>
    <w:rsid w:val="25734832"/>
    <w:rsid w:val="258050B9"/>
    <w:rsid w:val="25875679"/>
    <w:rsid w:val="258B4B61"/>
    <w:rsid w:val="25C418C5"/>
    <w:rsid w:val="25E37FAB"/>
    <w:rsid w:val="25E63B9A"/>
    <w:rsid w:val="25FD734B"/>
    <w:rsid w:val="26046174"/>
    <w:rsid w:val="260B3AD8"/>
    <w:rsid w:val="261203ED"/>
    <w:rsid w:val="26246CCA"/>
    <w:rsid w:val="26303349"/>
    <w:rsid w:val="26345F30"/>
    <w:rsid w:val="26507249"/>
    <w:rsid w:val="265429C1"/>
    <w:rsid w:val="26715258"/>
    <w:rsid w:val="26BB5B45"/>
    <w:rsid w:val="26EC5F52"/>
    <w:rsid w:val="26FC0525"/>
    <w:rsid w:val="27445968"/>
    <w:rsid w:val="274C0C6E"/>
    <w:rsid w:val="27551AEB"/>
    <w:rsid w:val="27564DF6"/>
    <w:rsid w:val="2756599B"/>
    <w:rsid w:val="27666AEF"/>
    <w:rsid w:val="276C5E6E"/>
    <w:rsid w:val="278109A6"/>
    <w:rsid w:val="278D2591"/>
    <w:rsid w:val="279323A0"/>
    <w:rsid w:val="27C15A24"/>
    <w:rsid w:val="27C15B54"/>
    <w:rsid w:val="27C535B5"/>
    <w:rsid w:val="27CC1A33"/>
    <w:rsid w:val="27CD2580"/>
    <w:rsid w:val="27D30339"/>
    <w:rsid w:val="27DF10CB"/>
    <w:rsid w:val="27E45D4F"/>
    <w:rsid w:val="27E9500B"/>
    <w:rsid w:val="27F714CC"/>
    <w:rsid w:val="280F4D26"/>
    <w:rsid w:val="282F01D3"/>
    <w:rsid w:val="28370D6A"/>
    <w:rsid w:val="28392F05"/>
    <w:rsid w:val="283948E6"/>
    <w:rsid w:val="28425B18"/>
    <w:rsid w:val="28441B0C"/>
    <w:rsid w:val="284712A7"/>
    <w:rsid w:val="2853186A"/>
    <w:rsid w:val="285C47C6"/>
    <w:rsid w:val="287D00EB"/>
    <w:rsid w:val="28845A96"/>
    <w:rsid w:val="288A629B"/>
    <w:rsid w:val="28D46E41"/>
    <w:rsid w:val="29134080"/>
    <w:rsid w:val="29175682"/>
    <w:rsid w:val="29615373"/>
    <w:rsid w:val="296E0BD5"/>
    <w:rsid w:val="297D2DF1"/>
    <w:rsid w:val="297D699B"/>
    <w:rsid w:val="29816066"/>
    <w:rsid w:val="29AD74E8"/>
    <w:rsid w:val="29B06E13"/>
    <w:rsid w:val="29BE2505"/>
    <w:rsid w:val="29C65A2D"/>
    <w:rsid w:val="29E7317D"/>
    <w:rsid w:val="29EA7FC4"/>
    <w:rsid w:val="29F566E3"/>
    <w:rsid w:val="2A162670"/>
    <w:rsid w:val="2A1D4A6C"/>
    <w:rsid w:val="2A2C7EB3"/>
    <w:rsid w:val="2A4E5C8F"/>
    <w:rsid w:val="2A582709"/>
    <w:rsid w:val="2A685283"/>
    <w:rsid w:val="2A781715"/>
    <w:rsid w:val="2A9E2BE1"/>
    <w:rsid w:val="2AA65103"/>
    <w:rsid w:val="2AAC6C35"/>
    <w:rsid w:val="2AB17099"/>
    <w:rsid w:val="2ACA204E"/>
    <w:rsid w:val="2AD70BC0"/>
    <w:rsid w:val="2AFC699C"/>
    <w:rsid w:val="2B087414"/>
    <w:rsid w:val="2B0D72A8"/>
    <w:rsid w:val="2B1B1D29"/>
    <w:rsid w:val="2B9F3C64"/>
    <w:rsid w:val="2BA25044"/>
    <w:rsid w:val="2BF37140"/>
    <w:rsid w:val="2C2166A1"/>
    <w:rsid w:val="2C5F17FA"/>
    <w:rsid w:val="2CBB1607"/>
    <w:rsid w:val="2CC57011"/>
    <w:rsid w:val="2CCA3638"/>
    <w:rsid w:val="2CDA1C20"/>
    <w:rsid w:val="2CE40B07"/>
    <w:rsid w:val="2CFF4E4E"/>
    <w:rsid w:val="2D076B6E"/>
    <w:rsid w:val="2D0C1D83"/>
    <w:rsid w:val="2D1449A5"/>
    <w:rsid w:val="2D1F2F17"/>
    <w:rsid w:val="2D273AED"/>
    <w:rsid w:val="2D8153F5"/>
    <w:rsid w:val="2DA04652"/>
    <w:rsid w:val="2DA9460B"/>
    <w:rsid w:val="2DB343A7"/>
    <w:rsid w:val="2DB80D8B"/>
    <w:rsid w:val="2DCE70E0"/>
    <w:rsid w:val="2DE3527B"/>
    <w:rsid w:val="2E0D202D"/>
    <w:rsid w:val="2E697165"/>
    <w:rsid w:val="2E874647"/>
    <w:rsid w:val="2E9E4FE4"/>
    <w:rsid w:val="2EA35BD6"/>
    <w:rsid w:val="2EA80E0B"/>
    <w:rsid w:val="2EB304D5"/>
    <w:rsid w:val="2EC80719"/>
    <w:rsid w:val="2F007045"/>
    <w:rsid w:val="2F1F6887"/>
    <w:rsid w:val="2F3960DD"/>
    <w:rsid w:val="2F420F31"/>
    <w:rsid w:val="2F490E9F"/>
    <w:rsid w:val="2F6F1B38"/>
    <w:rsid w:val="2F8C5E85"/>
    <w:rsid w:val="2F8D69C8"/>
    <w:rsid w:val="2F9D6550"/>
    <w:rsid w:val="2FA91B4A"/>
    <w:rsid w:val="2FF11CEA"/>
    <w:rsid w:val="2FFB2ABF"/>
    <w:rsid w:val="2FFE5641"/>
    <w:rsid w:val="300070D6"/>
    <w:rsid w:val="3009133D"/>
    <w:rsid w:val="300C12BF"/>
    <w:rsid w:val="3048059A"/>
    <w:rsid w:val="308D1BAA"/>
    <w:rsid w:val="309314D8"/>
    <w:rsid w:val="30984E1E"/>
    <w:rsid w:val="30AB3E57"/>
    <w:rsid w:val="30AB7290"/>
    <w:rsid w:val="30B8712E"/>
    <w:rsid w:val="30D82B5F"/>
    <w:rsid w:val="30F44D8B"/>
    <w:rsid w:val="310F19FD"/>
    <w:rsid w:val="31274378"/>
    <w:rsid w:val="313C2759"/>
    <w:rsid w:val="313F2319"/>
    <w:rsid w:val="314C15C0"/>
    <w:rsid w:val="314D789E"/>
    <w:rsid w:val="31511047"/>
    <w:rsid w:val="31935834"/>
    <w:rsid w:val="31AD762C"/>
    <w:rsid w:val="31CD5323"/>
    <w:rsid w:val="31D243F8"/>
    <w:rsid w:val="31D53BA8"/>
    <w:rsid w:val="31DB5449"/>
    <w:rsid w:val="31DF1574"/>
    <w:rsid w:val="31EA5BF3"/>
    <w:rsid w:val="322622C8"/>
    <w:rsid w:val="32391AC4"/>
    <w:rsid w:val="326A10EB"/>
    <w:rsid w:val="3285298F"/>
    <w:rsid w:val="32BB4AF5"/>
    <w:rsid w:val="32D1265A"/>
    <w:rsid w:val="32D574F2"/>
    <w:rsid w:val="32EF5E0C"/>
    <w:rsid w:val="32F02C80"/>
    <w:rsid w:val="32FD48AE"/>
    <w:rsid w:val="33011C8E"/>
    <w:rsid w:val="3301228D"/>
    <w:rsid w:val="331010FC"/>
    <w:rsid w:val="3326173E"/>
    <w:rsid w:val="33343D5B"/>
    <w:rsid w:val="33384CAA"/>
    <w:rsid w:val="334E0DB1"/>
    <w:rsid w:val="3350020A"/>
    <w:rsid w:val="33B43C7B"/>
    <w:rsid w:val="33C05B4F"/>
    <w:rsid w:val="33D43E6F"/>
    <w:rsid w:val="33E8738E"/>
    <w:rsid w:val="33F03E4E"/>
    <w:rsid w:val="33F37491"/>
    <w:rsid w:val="342C63BD"/>
    <w:rsid w:val="3441777E"/>
    <w:rsid w:val="347B3C36"/>
    <w:rsid w:val="34816558"/>
    <w:rsid w:val="349724A4"/>
    <w:rsid w:val="34A95DBC"/>
    <w:rsid w:val="34AD5445"/>
    <w:rsid w:val="34B139C8"/>
    <w:rsid w:val="34CD7582"/>
    <w:rsid w:val="34CE5520"/>
    <w:rsid w:val="34D036AC"/>
    <w:rsid w:val="34E4153D"/>
    <w:rsid w:val="35007F0C"/>
    <w:rsid w:val="350D3233"/>
    <w:rsid w:val="35447404"/>
    <w:rsid w:val="35547B7A"/>
    <w:rsid w:val="35566555"/>
    <w:rsid w:val="35604452"/>
    <w:rsid w:val="35694E3E"/>
    <w:rsid w:val="359352C6"/>
    <w:rsid w:val="35986A61"/>
    <w:rsid w:val="35A05E35"/>
    <w:rsid w:val="35D41E83"/>
    <w:rsid w:val="35EB1A38"/>
    <w:rsid w:val="35EF3F5B"/>
    <w:rsid w:val="35EF7D28"/>
    <w:rsid w:val="3610036B"/>
    <w:rsid w:val="362E1CFF"/>
    <w:rsid w:val="364B4E86"/>
    <w:rsid w:val="364E148D"/>
    <w:rsid w:val="36565527"/>
    <w:rsid w:val="368918CB"/>
    <w:rsid w:val="368C6597"/>
    <w:rsid w:val="36B95FAE"/>
    <w:rsid w:val="371F4349"/>
    <w:rsid w:val="37333EAD"/>
    <w:rsid w:val="373F3B7D"/>
    <w:rsid w:val="374707FA"/>
    <w:rsid w:val="375B71AC"/>
    <w:rsid w:val="37614E63"/>
    <w:rsid w:val="37747352"/>
    <w:rsid w:val="378C61B3"/>
    <w:rsid w:val="379101A8"/>
    <w:rsid w:val="37A43A48"/>
    <w:rsid w:val="37A65CF5"/>
    <w:rsid w:val="37A86E3D"/>
    <w:rsid w:val="37B63F2D"/>
    <w:rsid w:val="37CD32FB"/>
    <w:rsid w:val="37D86EFB"/>
    <w:rsid w:val="37FB7764"/>
    <w:rsid w:val="38096601"/>
    <w:rsid w:val="38196DB2"/>
    <w:rsid w:val="38231B1C"/>
    <w:rsid w:val="38285AB6"/>
    <w:rsid w:val="38532C2C"/>
    <w:rsid w:val="38C573B6"/>
    <w:rsid w:val="38D23C01"/>
    <w:rsid w:val="38E504A7"/>
    <w:rsid w:val="38EA1B01"/>
    <w:rsid w:val="391C7FFC"/>
    <w:rsid w:val="394706FA"/>
    <w:rsid w:val="3949448D"/>
    <w:rsid w:val="394A2CDB"/>
    <w:rsid w:val="3957542A"/>
    <w:rsid w:val="397A697C"/>
    <w:rsid w:val="399664D9"/>
    <w:rsid w:val="39A30458"/>
    <w:rsid w:val="39B40C60"/>
    <w:rsid w:val="39F74CA5"/>
    <w:rsid w:val="3A0F0806"/>
    <w:rsid w:val="3A176719"/>
    <w:rsid w:val="3A4857BC"/>
    <w:rsid w:val="3A500A35"/>
    <w:rsid w:val="3A512FF9"/>
    <w:rsid w:val="3A827F4C"/>
    <w:rsid w:val="3A9139BD"/>
    <w:rsid w:val="3ACA0B14"/>
    <w:rsid w:val="3ADD462F"/>
    <w:rsid w:val="3AE5263C"/>
    <w:rsid w:val="3B4117DC"/>
    <w:rsid w:val="3B472141"/>
    <w:rsid w:val="3B74656B"/>
    <w:rsid w:val="3B747A9B"/>
    <w:rsid w:val="3B7B5959"/>
    <w:rsid w:val="3BA852A7"/>
    <w:rsid w:val="3BB12DA2"/>
    <w:rsid w:val="3C044DB4"/>
    <w:rsid w:val="3C150ABF"/>
    <w:rsid w:val="3C274729"/>
    <w:rsid w:val="3C397B67"/>
    <w:rsid w:val="3C440181"/>
    <w:rsid w:val="3C6034B9"/>
    <w:rsid w:val="3C717340"/>
    <w:rsid w:val="3C9D02F5"/>
    <w:rsid w:val="3CFF611A"/>
    <w:rsid w:val="3D3C2178"/>
    <w:rsid w:val="3D5C4E19"/>
    <w:rsid w:val="3D756104"/>
    <w:rsid w:val="3D7C2AB2"/>
    <w:rsid w:val="3D9C53F6"/>
    <w:rsid w:val="3DA43961"/>
    <w:rsid w:val="3DA97858"/>
    <w:rsid w:val="3DB962D2"/>
    <w:rsid w:val="3DC034E2"/>
    <w:rsid w:val="3DC86917"/>
    <w:rsid w:val="3DE970BE"/>
    <w:rsid w:val="3DF23421"/>
    <w:rsid w:val="3DF25204"/>
    <w:rsid w:val="3E0243BD"/>
    <w:rsid w:val="3E083D6D"/>
    <w:rsid w:val="3E100FB9"/>
    <w:rsid w:val="3E285739"/>
    <w:rsid w:val="3E50711D"/>
    <w:rsid w:val="3E64157E"/>
    <w:rsid w:val="3E70534B"/>
    <w:rsid w:val="3E717094"/>
    <w:rsid w:val="3E9F0ECA"/>
    <w:rsid w:val="3EAF5000"/>
    <w:rsid w:val="3EC16691"/>
    <w:rsid w:val="3EEE0070"/>
    <w:rsid w:val="3F03071B"/>
    <w:rsid w:val="3F033530"/>
    <w:rsid w:val="3F21197F"/>
    <w:rsid w:val="3F296A3F"/>
    <w:rsid w:val="3F2E5119"/>
    <w:rsid w:val="3F413D12"/>
    <w:rsid w:val="3F554941"/>
    <w:rsid w:val="3F5707C7"/>
    <w:rsid w:val="3F5B308E"/>
    <w:rsid w:val="3F647173"/>
    <w:rsid w:val="3F763E76"/>
    <w:rsid w:val="3F7942CB"/>
    <w:rsid w:val="3F896EDE"/>
    <w:rsid w:val="3F931208"/>
    <w:rsid w:val="3FAC2841"/>
    <w:rsid w:val="3FB945B3"/>
    <w:rsid w:val="3FBD09C5"/>
    <w:rsid w:val="3FE35D9C"/>
    <w:rsid w:val="3FE41C9C"/>
    <w:rsid w:val="3FEE7AD7"/>
    <w:rsid w:val="3FFE1CFE"/>
    <w:rsid w:val="400235B2"/>
    <w:rsid w:val="40053808"/>
    <w:rsid w:val="40711A1A"/>
    <w:rsid w:val="40737EDD"/>
    <w:rsid w:val="408E3D30"/>
    <w:rsid w:val="408F6D29"/>
    <w:rsid w:val="40BC0217"/>
    <w:rsid w:val="40C533A7"/>
    <w:rsid w:val="40DC0F82"/>
    <w:rsid w:val="40F50AD9"/>
    <w:rsid w:val="41000ECB"/>
    <w:rsid w:val="41137385"/>
    <w:rsid w:val="41300E7E"/>
    <w:rsid w:val="418239F4"/>
    <w:rsid w:val="41D74644"/>
    <w:rsid w:val="420D3467"/>
    <w:rsid w:val="421271B0"/>
    <w:rsid w:val="421504AF"/>
    <w:rsid w:val="422F6537"/>
    <w:rsid w:val="423277A9"/>
    <w:rsid w:val="42414FB9"/>
    <w:rsid w:val="4249302F"/>
    <w:rsid w:val="424C36DE"/>
    <w:rsid w:val="424F5E23"/>
    <w:rsid w:val="42646963"/>
    <w:rsid w:val="426A00E4"/>
    <w:rsid w:val="427373ED"/>
    <w:rsid w:val="42AE54AE"/>
    <w:rsid w:val="42BB587A"/>
    <w:rsid w:val="42C23FE0"/>
    <w:rsid w:val="42D918E2"/>
    <w:rsid w:val="42F2021C"/>
    <w:rsid w:val="430B2753"/>
    <w:rsid w:val="43382021"/>
    <w:rsid w:val="43681265"/>
    <w:rsid w:val="43732C43"/>
    <w:rsid w:val="437B395B"/>
    <w:rsid w:val="437C154A"/>
    <w:rsid w:val="43A703F3"/>
    <w:rsid w:val="43B01DE5"/>
    <w:rsid w:val="43B15C4A"/>
    <w:rsid w:val="43B774B8"/>
    <w:rsid w:val="43C36128"/>
    <w:rsid w:val="43C709A8"/>
    <w:rsid w:val="43C9403B"/>
    <w:rsid w:val="43E13F47"/>
    <w:rsid w:val="43ED184B"/>
    <w:rsid w:val="4401668A"/>
    <w:rsid w:val="44315BA1"/>
    <w:rsid w:val="44640B64"/>
    <w:rsid w:val="44743532"/>
    <w:rsid w:val="447A6133"/>
    <w:rsid w:val="447A7B2F"/>
    <w:rsid w:val="449B3678"/>
    <w:rsid w:val="44B1469C"/>
    <w:rsid w:val="44D3562A"/>
    <w:rsid w:val="44D508FD"/>
    <w:rsid w:val="44F06861"/>
    <w:rsid w:val="452461BA"/>
    <w:rsid w:val="45307DEF"/>
    <w:rsid w:val="45DA5801"/>
    <w:rsid w:val="45E05E16"/>
    <w:rsid w:val="45EA49CD"/>
    <w:rsid w:val="45F776A0"/>
    <w:rsid w:val="45FC7D6C"/>
    <w:rsid w:val="460133A7"/>
    <w:rsid w:val="461A5BF6"/>
    <w:rsid w:val="463C4C89"/>
    <w:rsid w:val="465045B7"/>
    <w:rsid w:val="467E1FF3"/>
    <w:rsid w:val="468E2BE0"/>
    <w:rsid w:val="46A73E61"/>
    <w:rsid w:val="46D37CEF"/>
    <w:rsid w:val="46DE6755"/>
    <w:rsid w:val="46EB337E"/>
    <w:rsid w:val="472304CF"/>
    <w:rsid w:val="47322860"/>
    <w:rsid w:val="47541CB1"/>
    <w:rsid w:val="475B3EFA"/>
    <w:rsid w:val="475B416A"/>
    <w:rsid w:val="478713EE"/>
    <w:rsid w:val="4794542E"/>
    <w:rsid w:val="47A40169"/>
    <w:rsid w:val="47B55D83"/>
    <w:rsid w:val="47C5312F"/>
    <w:rsid w:val="47DC6B21"/>
    <w:rsid w:val="48032B26"/>
    <w:rsid w:val="4816176A"/>
    <w:rsid w:val="48270F83"/>
    <w:rsid w:val="483E5985"/>
    <w:rsid w:val="483E6904"/>
    <w:rsid w:val="485B3E6C"/>
    <w:rsid w:val="48897D74"/>
    <w:rsid w:val="48BE1A0B"/>
    <w:rsid w:val="48CB5FED"/>
    <w:rsid w:val="48F31ACF"/>
    <w:rsid w:val="48F64FC7"/>
    <w:rsid w:val="49115AF7"/>
    <w:rsid w:val="491316DB"/>
    <w:rsid w:val="493727E6"/>
    <w:rsid w:val="495B030E"/>
    <w:rsid w:val="49750228"/>
    <w:rsid w:val="49752CAD"/>
    <w:rsid w:val="498B1847"/>
    <w:rsid w:val="499F06C7"/>
    <w:rsid w:val="49B06206"/>
    <w:rsid w:val="49B82468"/>
    <w:rsid w:val="49BB1FE3"/>
    <w:rsid w:val="49C3040B"/>
    <w:rsid w:val="49C7091A"/>
    <w:rsid w:val="49CA1E6C"/>
    <w:rsid w:val="49CB7822"/>
    <w:rsid w:val="4A0317F5"/>
    <w:rsid w:val="4A0B3F35"/>
    <w:rsid w:val="4A1B06D4"/>
    <w:rsid w:val="4A462043"/>
    <w:rsid w:val="4A51223F"/>
    <w:rsid w:val="4A60069D"/>
    <w:rsid w:val="4A66546E"/>
    <w:rsid w:val="4A6D3EE8"/>
    <w:rsid w:val="4A6E5E0E"/>
    <w:rsid w:val="4A7E623D"/>
    <w:rsid w:val="4A8E7386"/>
    <w:rsid w:val="4A930914"/>
    <w:rsid w:val="4A940817"/>
    <w:rsid w:val="4ABD05F4"/>
    <w:rsid w:val="4AC23772"/>
    <w:rsid w:val="4AD240B4"/>
    <w:rsid w:val="4ADE3FDD"/>
    <w:rsid w:val="4AE45909"/>
    <w:rsid w:val="4AE63FBA"/>
    <w:rsid w:val="4AFE2EDB"/>
    <w:rsid w:val="4B075292"/>
    <w:rsid w:val="4B2043A9"/>
    <w:rsid w:val="4B3C7963"/>
    <w:rsid w:val="4B681C62"/>
    <w:rsid w:val="4B6D0CDC"/>
    <w:rsid w:val="4B7E16F5"/>
    <w:rsid w:val="4B837167"/>
    <w:rsid w:val="4B9D5F1C"/>
    <w:rsid w:val="4B9F677A"/>
    <w:rsid w:val="4BC63EA3"/>
    <w:rsid w:val="4BCA7ED0"/>
    <w:rsid w:val="4BD16A05"/>
    <w:rsid w:val="4BEE137B"/>
    <w:rsid w:val="4C0B6E60"/>
    <w:rsid w:val="4C10362E"/>
    <w:rsid w:val="4C111BB6"/>
    <w:rsid w:val="4C1C3677"/>
    <w:rsid w:val="4C207F2B"/>
    <w:rsid w:val="4C294A0A"/>
    <w:rsid w:val="4C3A7989"/>
    <w:rsid w:val="4C487793"/>
    <w:rsid w:val="4C574DF7"/>
    <w:rsid w:val="4C7443B3"/>
    <w:rsid w:val="4CA523F8"/>
    <w:rsid w:val="4CA52734"/>
    <w:rsid w:val="4CAB292F"/>
    <w:rsid w:val="4CC2458B"/>
    <w:rsid w:val="4CD6774F"/>
    <w:rsid w:val="4CE070E4"/>
    <w:rsid w:val="4CED69E9"/>
    <w:rsid w:val="4D08435D"/>
    <w:rsid w:val="4D406047"/>
    <w:rsid w:val="4D4545B7"/>
    <w:rsid w:val="4D4E0699"/>
    <w:rsid w:val="4DB021BC"/>
    <w:rsid w:val="4DB41282"/>
    <w:rsid w:val="4DCC1FFE"/>
    <w:rsid w:val="4DD42BA3"/>
    <w:rsid w:val="4DD67089"/>
    <w:rsid w:val="4DE51887"/>
    <w:rsid w:val="4DEE283A"/>
    <w:rsid w:val="4DFE6CA4"/>
    <w:rsid w:val="4E126BA7"/>
    <w:rsid w:val="4E270488"/>
    <w:rsid w:val="4E2C0BF6"/>
    <w:rsid w:val="4E3B51AA"/>
    <w:rsid w:val="4E556436"/>
    <w:rsid w:val="4E603278"/>
    <w:rsid w:val="4E827F60"/>
    <w:rsid w:val="4EA44366"/>
    <w:rsid w:val="4EAB0BC0"/>
    <w:rsid w:val="4EBF3E51"/>
    <w:rsid w:val="4EDA2D08"/>
    <w:rsid w:val="4F775992"/>
    <w:rsid w:val="4F8B1D66"/>
    <w:rsid w:val="4F916DA1"/>
    <w:rsid w:val="4F9411D0"/>
    <w:rsid w:val="4FC358CA"/>
    <w:rsid w:val="4FC70DA3"/>
    <w:rsid w:val="4FD90A4E"/>
    <w:rsid w:val="4FDC2335"/>
    <w:rsid w:val="4FE911B3"/>
    <w:rsid w:val="50061F93"/>
    <w:rsid w:val="500F1AAB"/>
    <w:rsid w:val="501E15DA"/>
    <w:rsid w:val="503632CA"/>
    <w:rsid w:val="50560BE1"/>
    <w:rsid w:val="50666404"/>
    <w:rsid w:val="50676472"/>
    <w:rsid w:val="5079320C"/>
    <w:rsid w:val="5086534B"/>
    <w:rsid w:val="508E70F8"/>
    <w:rsid w:val="50BE195E"/>
    <w:rsid w:val="50CD4FA8"/>
    <w:rsid w:val="50F60264"/>
    <w:rsid w:val="50F97005"/>
    <w:rsid w:val="511F4DFF"/>
    <w:rsid w:val="51222530"/>
    <w:rsid w:val="513706EE"/>
    <w:rsid w:val="51533FB6"/>
    <w:rsid w:val="516E50AA"/>
    <w:rsid w:val="51724828"/>
    <w:rsid w:val="518312D7"/>
    <w:rsid w:val="51CE63F9"/>
    <w:rsid w:val="51DF703E"/>
    <w:rsid w:val="51E62E6F"/>
    <w:rsid w:val="51EA45E4"/>
    <w:rsid w:val="520844D4"/>
    <w:rsid w:val="52181D46"/>
    <w:rsid w:val="52342E35"/>
    <w:rsid w:val="525447F9"/>
    <w:rsid w:val="526200FE"/>
    <w:rsid w:val="527500EC"/>
    <w:rsid w:val="52772596"/>
    <w:rsid w:val="529D538D"/>
    <w:rsid w:val="52A11C15"/>
    <w:rsid w:val="52A176C4"/>
    <w:rsid w:val="52A50D6F"/>
    <w:rsid w:val="52BC4767"/>
    <w:rsid w:val="52BD34EB"/>
    <w:rsid w:val="52C84571"/>
    <w:rsid w:val="52DD666D"/>
    <w:rsid w:val="52E41EC2"/>
    <w:rsid w:val="53097EE7"/>
    <w:rsid w:val="53166C8F"/>
    <w:rsid w:val="53415F94"/>
    <w:rsid w:val="5349361F"/>
    <w:rsid w:val="535B2310"/>
    <w:rsid w:val="535C52F6"/>
    <w:rsid w:val="537F091F"/>
    <w:rsid w:val="5395160A"/>
    <w:rsid w:val="539F3B63"/>
    <w:rsid w:val="53A35623"/>
    <w:rsid w:val="53AC3109"/>
    <w:rsid w:val="53C126BE"/>
    <w:rsid w:val="53C23890"/>
    <w:rsid w:val="53C71018"/>
    <w:rsid w:val="53CA11E0"/>
    <w:rsid w:val="53D3480C"/>
    <w:rsid w:val="53F67604"/>
    <w:rsid w:val="53F745B0"/>
    <w:rsid w:val="54092351"/>
    <w:rsid w:val="541D4430"/>
    <w:rsid w:val="54566A8A"/>
    <w:rsid w:val="54620BBF"/>
    <w:rsid w:val="54706029"/>
    <w:rsid w:val="548936DA"/>
    <w:rsid w:val="54895AF9"/>
    <w:rsid w:val="549C6824"/>
    <w:rsid w:val="549C692A"/>
    <w:rsid w:val="549D099F"/>
    <w:rsid w:val="54A17589"/>
    <w:rsid w:val="54C16865"/>
    <w:rsid w:val="54D214D5"/>
    <w:rsid w:val="552F1146"/>
    <w:rsid w:val="553859C4"/>
    <w:rsid w:val="553C5F1F"/>
    <w:rsid w:val="55454171"/>
    <w:rsid w:val="55537DCC"/>
    <w:rsid w:val="557133A4"/>
    <w:rsid w:val="557D4B26"/>
    <w:rsid w:val="557E30C2"/>
    <w:rsid w:val="55821175"/>
    <w:rsid w:val="558B1942"/>
    <w:rsid w:val="55B173BC"/>
    <w:rsid w:val="55CC1E6A"/>
    <w:rsid w:val="55D72102"/>
    <w:rsid w:val="55D9619E"/>
    <w:rsid w:val="55F97E4A"/>
    <w:rsid w:val="56055C0B"/>
    <w:rsid w:val="560E16AB"/>
    <w:rsid w:val="56345C71"/>
    <w:rsid w:val="564203ED"/>
    <w:rsid w:val="56551E64"/>
    <w:rsid w:val="56586201"/>
    <w:rsid w:val="565F5F3F"/>
    <w:rsid w:val="56850A7A"/>
    <w:rsid w:val="56A90BF2"/>
    <w:rsid w:val="56B24246"/>
    <w:rsid w:val="56D32F28"/>
    <w:rsid w:val="56E90231"/>
    <w:rsid w:val="56F30463"/>
    <w:rsid w:val="570C18D2"/>
    <w:rsid w:val="574616D6"/>
    <w:rsid w:val="57896284"/>
    <w:rsid w:val="57A80A3C"/>
    <w:rsid w:val="57B04FEE"/>
    <w:rsid w:val="57CD632D"/>
    <w:rsid w:val="57D26F20"/>
    <w:rsid w:val="57F927E0"/>
    <w:rsid w:val="57FA68E2"/>
    <w:rsid w:val="57FD28C7"/>
    <w:rsid w:val="580B2BE5"/>
    <w:rsid w:val="580E262B"/>
    <w:rsid w:val="58103356"/>
    <w:rsid w:val="58132051"/>
    <w:rsid w:val="582564FC"/>
    <w:rsid w:val="584C21AB"/>
    <w:rsid w:val="584D332E"/>
    <w:rsid w:val="585D50C7"/>
    <w:rsid w:val="586A0203"/>
    <w:rsid w:val="587F70CC"/>
    <w:rsid w:val="588E4B77"/>
    <w:rsid w:val="58A323D1"/>
    <w:rsid w:val="58BA1AE6"/>
    <w:rsid w:val="58D71784"/>
    <w:rsid w:val="58F009A5"/>
    <w:rsid w:val="590F55BD"/>
    <w:rsid w:val="593050CA"/>
    <w:rsid w:val="596B2E6B"/>
    <w:rsid w:val="596E4A30"/>
    <w:rsid w:val="597F38E7"/>
    <w:rsid w:val="599B5058"/>
    <w:rsid w:val="59BC5750"/>
    <w:rsid w:val="59C4374D"/>
    <w:rsid w:val="59D505B6"/>
    <w:rsid w:val="5A0B26DE"/>
    <w:rsid w:val="5A0D24B4"/>
    <w:rsid w:val="5A136B0A"/>
    <w:rsid w:val="5A162777"/>
    <w:rsid w:val="5A1C5347"/>
    <w:rsid w:val="5A256667"/>
    <w:rsid w:val="5A461B63"/>
    <w:rsid w:val="5A465168"/>
    <w:rsid w:val="5A5D6736"/>
    <w:rsid w:val="5A660E21"/>
    <w:rsid w:val="5A72276A"/>
    <w:rsid w:val="5A7F0BDF"/>
    <w:rsid w:val="5A8B5AFD"/>
    <w:rsid w:val="5AC7179F"/>
    <w:rsid w:val="5AD45780"/>
    <w:rsid w:val="5ADA6E74"/>
    <w:rsid w:val="5ADE4B70"/>
    <w:rsid w:val="5B042D2B"/>
    <w:rsid w:val="5B230A26"/>
    <w:rsid w:val="5B6914D5"/>
    <w:rsid w:val="5B6F301C"/>
    <w:rsid w:val="5B8F6DD1"/>
    <w:rsid w:val="5B970B45"/>
    <w:rsid w:val="5B9C5674"/>
    <w:rsid w:val="5BA52621"/>
    <w:rsid w:val="5BBB1D8B"/>
    <w:rsid w:val="5BBB47E5"/>
    <w:rsid w:val="5C034014"/>
    <w:rsid w:val="5C154571"/>
    <w:rsid w:val="5C2A6D57"/>
    <w:rsid w:val="5C6F55B2"/>
    <w:rsid w:val="5C766670"/>
    <w:rsid w:val="5C7E1D3E"/>
    <w:rsid w:val="5CAC7A48"/>
    <w:rsid w:val="5CCE61A9"/>
    <w:rsid w:val="5D1907A2"/>
    <w:rsid w:val="5D1C3D9D"/>
    <w:rsid w:val="5D664B1A"/>
    <w:rsid w:val="5D720BDE"/>
    <w:rsid w:val="5D753586"/>
    <w:rsid w:val="5D8A6C82"/>
    <w:rsid w:val="5D936E82"/>
    <w:rsid w:val="5D957A07"/>
    <w:rsid w:val="5DBA4309"/>
    <w:rsid w:val="5DCA3C1F"/>
    <w:rsid w:val="5DE21E6D"/>
    <w:rsid w:val="5DEC3898"/>
    <w:rsid w:val="5DEF4AE7"/>
    <w:rsid w:val="5DFB48AC"/>
    <w:rsid w:val="5DFD7020"/>
    <w:rsid w:val="5E166542"/>
    <w:rsid w:val="5E1F0435"/>
    <w:rsid w:val="5E323198"/>
    <w:rsid w:val="5E393FE4"/>
    <w:rsid w:val="5E5E240E"/>
    <w:rsid w:val="5E8C5D7B"/>
    <w:rsid w:val="5EB52E06"/>
    <w:rsid w:val="5EB54329"/>
    <w:rsid w:val="5EB73547"/>
    <w:rsid w:val="5EBE4643"/>
    <w:rsid w:val="5F0759AA"/>
    <w:rsid w:val="5F143037"/>
    <w:rsid w:val="5F2938A1"/>
    <w:rsid w:val="5F2D302E"/>
    <w:rsid w:val="5F3524E0"/>
    <w:rsid w:val="5F6D1893"/>
    <w:rsid w:val="5F752B52"/>
    <w:rsid w:val="5F8B2F06"/>
    <w:rsid w:val="5FB2116A"/>
    <w:rsid w:val="5FC06BE8"/>
    <w:rsid w:val="5FCF5085"/>
    <w:rsid w:val="5FE94FAD"/>
    <w:rsid w:val="5FFD58FA"/>
    <w:rsid w:val="5FFE124B"/>
    <w:rsid w:val="600D49B4"/>
    <w:rsid w:val="601F23B7"/>
    <w:rsid w:val="604618A1"/>
    <w:rsid w:val="60721F9E"/>
    <w:rsid w:val="607F008D"/>
    <w:rsid w:val="60B73AEC"/>
    <w:rsid w:val="60DA1755"/>
    <w:rsid w:val="60F937E1"/>
    <w:rsid w:val="60FA5773"/>
    <w:rsid w:val="60FD0FD6"/>
    <w:rsid w:val="610D09BE"/>
    <w:rsid w:val="611122CD"/>
    <w:rsid w:val="61270E60"/>
    <w:rsid w:val="613842F6"/>
    <w:rsid w:val="6139037A"/>
    <w:rsid w:val="613E07B4"/>
    <w:rsid w:val="61567947"/>
    <w:rsid w:val="61571A98"/>
    <w:rsid w:val="615F67BA"/>
    <w:rsid w:val="616D10D4"/>
    <w:rsid w:val="61834531"/>
    <w:rsid w:val="619D2D5A"/>
    <w:rsid w:val="61B00646"/>
    <w:rsid w:val="61D933A3"/>
    <w:rsid w:val="61E66AFA"/>
    <w:rsid w:val="61F262D2"/>
    <w:rsid w:val="62027FC5"/>
    <w:rsid w:val="6219519B"/>
    <w:rsid w:val="622354E3"/>
    <w:rsid w:val="623620F9"/>
    <w:rsid w:val="62406716"/>
    <w:rsid w:val="62816A29"/>
    <w:rsid w:val="62876D69"/>
    <w:rsid w:val="62C4038C"/>
    <w:rsid w:val="62ED05F6"/>
    <w:rsid w:val="62F60369"/>
    <w:rsid w:val="62FF0E42"/>
    <w:rsid w:val="630956E4"/>
    <w:rsid w:val="630D5BC2"/>
    <w:rsid w:val="630E5F5B"/>
    <w:rsid w:val="631F51F2"/>
    <w:rsid w:val="63201F4D"/>
    <w:rsid w:val="632476E2"/>
    <w:rsid w:val="6333458C"/>
    <w:rsid w:val="63452DC2"/>
    <w:rsid w:val="635655B2"/>
    <w:rsid w:val="63686C3A"/>
    <w:rsid w:val="638B7DC1"/>
    <w:rsid w:val="639E5963"/>
    <w:rsid w:val="63BB74AE"/>
    <w:rsid w:val="63BD1E7C"/>
    <w:rsid w:val="63D54A26"/>
    <w:rsid w:val="64044D0A"/>
    <w:rsid w:val="64055B73"/>
    <w:rsid w:val="64242C47"/>
    <w:rsid w:val="64632895"/>
    <w:rsid w:val="64657D2E"/>
    <w:rsid w:val="648249EB"/>
    <w:rsid w:val="649238DF"/>
    <w:rsid w:val="64BB3B0F"/>
    <w:rsid w:val="64C45A63"/>
    <w:rsid w:val="64C71FF5"/>
    <w:rsid w:val="64CC7BE6"/>
    <w:rsid w:val="64D24740"/>
    <w:rsid w:val="64E138A9"/>
    <w:rsid w:val="64F45F91"/>
    <w:rsid w:val="65060E9D"/>
    <w:rsid w:val="650E1980"/>
    <w:rsid w:val="651C5D66"/>
    <w:rsid w:val="654E1EA6"/>
    <w:rsid w:val="65612AAE"/>
    <w:rsid w:val="65680599"/>
    <w:rsid w:val="657438F5"/>
    <w:rsid w:val="658E59A9"/>
    <w:rsid w:val="659A08AC"/>
    <w:rsid w:val="65A12439"/>
    <w:rsid w:val="65BC4DFD"/>
    <w:rsid w:val="65E942CD"/>
    <w:rsid w:val="65F57F84"/>
    <w:rsid w:val="65FF4E08"/>
    <w:rsid w:val="660F55BE"/>
    <w:rsid w:val="66192355"/>
    <w:rsid w:val="66332C83"/>
    <w:rsid w:val="66420BA2"/>
    <w:rsid w:val="66442DCD"/>
    <w:rsid w:val="66861D2A"/>
    <w:rsid w:val="6694012D"/>
    <w:rsid w:val="66A305BE"/>
    <w:rsid w:val="66A52E92"/>
    <w:rsid w:val="66AA2428"/>
    <w:rsid w:val="66FF42B4"/>
    <w:rsid w:val="670565F6"/>
    <w:rsid w:val="67095ADA"/>
    <w:rsid w:val="670D32DB"/>
    <w:rsid w:val="67166AA5"/>
    <w:rsid w:val="67173DF3"/>
    <w:rsid w:val="675B1297"/>
    <w:rsid w:val="67610013"/>
    <w:rsid w:val="677B710F"/>
    <w:rsid w:val="6783308F"/>
    <w:rsid w:val="678971FF"/>
    <w:rsid w:val="679E25B7"/>
    <w:rsid w:val="67CC0081"/>
    <w:rsid w:val="67EF44EE"/>
    <w:rsid w:val="67FE2963"/>
    <w:rsid w:val="68091A93"/>
    <w:rsid w:val="680A1179"/>
    <w:rsid w:val="684A1200"/>
    <w:rsid w:val="68815AE8"/>
    <w:rsid w:val="68964115"/>
    <w:rsid w:val="68D41947"/>
    <w:rsid w:val="68D7240C"/>
    <w:rsid w:val="68D8477F"/>
    <w:rsid w:val="68F21445"/>
    <w:rsid w:val="68F976AE"/>
    <w:rsid w:val="69041112"/>
    <w:rsid w:val="69050530"/>
    <w:rsid w:val="695D6E61"/>
    <w:rsid w:val="69873F6B"/>
    <w:rsid w:val="698B0E0C"/>
    <w:rsid w:val="698E4992"/>
    <w:rsid w:val="69B5598E"/>
    <w:rsid w:val="69CA026B"/>
    <w:rsid w:val="69FE72B5"/>
    <w:rsid w:val="6A160E78"/>
    <w:rsid w:val="6A173BAB"/>
    <w:rsid w:val="6A293619"/>
    <w:rsid w:val="6A8963B2"/>
    <w:rsid w:val="6A897D6A"/>
    <w:rsid w:val="6AB67FD9"/>
    <w:rsid w:val="6AF54436"/>
    <w:rsid w:val="6B0F2112"/>
    <w:rsid w:val="6B117371"/>
    <w:rsid w:val="6B1E124D"/>
    <w:rsid w:val="6B2119A2"/>
    <w:rsid w:val="6B360C84"/>
    <w:rsid w:val="6B3A7D71"/>
    <w:rsid w:val="6B41279D"/>
    <w:rsid w:val="6B4864AF"/>
    <w:rsid w:val="6B8F60F4"/>
    <w:rsid w:val="6BA06E8D"/>
    <w:rsid w:val="6BAA351B"/>
    <w:rsid w:val="6BD6345D"/>
    <w:rsid w:val="6BFC0DA9"/>
    <w:rsid w:val="6C026E42"/>
    <w:rsid w:val="6C173B7D"/>
    <w:rsid w:val="6C1C2A2C"/>
    <w:rsid w:val="6C2E35E9"/>
    <w:rsid w:val="6C576E63"/>
    <w:rsid w:val="6C590071"/>
    <w:rsid w:val="6C5C009E"/>
    <w:rsid w:val="6C944EB2"/>
    <w:rsid w:val="6C9707AF"/>
    <w:rsid w:val="6CB11F0A"/>
    <w:rsid w:val="6CE13BD4"/>
    <w:rsid w:val="6D0A2668"/>
    <w:rsid w:val="6D2978CC"/>
    <w:rsid w:val="6D3A5B92"/>
    <w:rsid w:val="6D4E4583"/>
    <w:rsid w:val="6D507572"/>
    <w:rsid w:val="6D626171"/>
    <w:rsid w:val="6D68677A"/>
    <w:rsid w:val="6D74314C"/>
    <w:rsid w:val="6DA05F01"/>
    <w:rsid w:val="6DCE6F35"/>
    <w:rsid w:val="6DFC79A3"/>
    <w:rsid w:val="6E02379E"/>
    <w:rsid w:val="6E101169"/>
    <w:rsid w:val="6E283AD9"/>
    <w:rsid w:val="6E303B1E"/>
    <w:rsid w:val="6E3C675E"/>
    <w:rsid w:val="6E470D91"/>
    <w:rsid w:val="6E565152"/>
    <w:rsid w:val="6EA40964"/>
    <w:rsid w:val="6EA744EC"/>
    <w:rsid w:val="6EB375D2"/>
    <w:rsid w:val="6EEC1A7B"/>
    <w:rsid w:val="6EF55926"/>
    <w:rsid w:val="6F0B779C"/>
    <w:rsid w:val="6F2C7620"/>
    <w:rsid w:val="6F331008"/>
    <w:rsid w:val="6F9413ED"/>
    <w:rsid w:val="6FA32388"/>
    <w:rsid w:val="6FC067D6"/>
    <w:rsid w:val="6FE169A0"/>
    <w:rsid w:val="7033729C"/>
    <w:rsid w:val="70780300"/>
    <w:rsid w:val="708C5A9D"/>
    <w:rsid w:val="70997D7A"/>
    <w:rsid w:val="70C562B0"/>
    <w:rsid w:val="70D6163F"/>
    <w:rsid w:val="710B6C89"/>
    <w:rsid w:val="711B386B"/>
    <w:rsid w:val="711F66F6"/>
    <w:rsid w:val="715F544E"/>
    <w:rsid w:val="71681DEB"/>
    <w:rsid w:val="717C3489"/>
    <w:rsid w:val="71A714CA"/>
    <w:rsid w:val="71BB24AC"/>
    <w:rsid w:val="71BE5825"/>
    <w:rsid w:val="71C30C3D"/>
    <w:rsid w:val="71DA5603"/>
    <w:rsid w:val="71E97BF1"/>
    <w:rsid w:val="71EF1F0C"/>
    <w:rsid w:val="722E5F17"/>
    <w:rsid w:val="723149E9"/>
    <w:rsid w:val="72613770"/>
    <w:rsid w:val="72672A5D"/>
    <w:rsid w:val="72AF0C12"/>
    <w:rsid w:val="72B53322"/>
    <w:rsid w:val="72D626E2"/>
    <w:rsid w:val="72DF07A0"/>
    <w:rsid w:val="72E941AA"/>
    <w:rsid w:val="72ED3861"/>
    <w:rsid w:val="7344127F"/>
    <w:rsid w:val="734D3B15"/>
    <w:rsid w:val="73526EA0"/>
    <w:rsid w:val="7358157B"/>
    <w:rsid w:val="736D0F18"/>
    <w:rsid w:val="736D6880"/>
    <w:rsid w:val="73750BC4"/>
    <w:rsid w:val="739F09CE"/>
    <w:rsid w:val="73B266D7"/>
    <w:rsid w:val="73B315E3"/>
    <w:rsid w:val="73D01E82"/>
    <w:rsid w:val="73D77213"/>
    <w:rsid w:val="73F85061"/>
    <w:rsid w:val="741671C6"/>
    <w:rsid w:val="742D5DEB"/>
    <w:rsid w:val="74692C82"/>
    <w:rsid w:val="74743A46"/>
    <w:rsid w:val="747A6D66"/>
    <w:rsid w:val="749563C5"/>
    <w:rsid w:val="74E706F4"/>
    <w:rsid w:val="74EB4E27"/>
    <w:rsid w:val="751D6717"/>
    <w:rsid w:val="7525528B"/>
    <w:rsid w:val="752A3BF1"/>
    <w:rsid w:val="7538186E"/>
    <w:rsid w:val="75415960"/>
    <w:rsid w:val="754D17E7"/>
    <w:rsid w:val="754F15BA"/>
    <w:rsid w:val="75633A7F"/>
    <w:rsid w:val="757023C6"/>
    <w:rsid w:val="758D4DC0"/>
    <w:rsid w:val="75962E9A"/>
    <w:rsid w:val="75AC55BA"/>
    <w:rsid w:val="75BB7D5D"/>
    <w:rsid w:val="75C11CD7"/>
    <w:rsid w:val="75D57F8E"/>
    <w:rsid w:val="75D64453"/>
    <w:rsid w:val="75E24D88"/>
    <w:rsid w:val="760120F0"/>
    <w:rsid w:val="760B66BA"/>
    <w:rsid w:val="76171125"/>
    <w:rsid w:val="76293DAF"/>
    <w:rsid w:val="763F181B"/>
    <w:rsid w:val="7651543B"/>
    <w:rsid w:val="766023D3"/>
    <w:rsid w:val="7660295C"/>
    <w:rsid w:val="766D194E"/>
    <w:rsid w:val="76867ADA"/>
    <w:rsid w:val="76A759F4"/>
    <w:rsid w:val="76B61720"/>
    <w:rsid w:val="76B8241C"/>
    <w:rsid w:val="76C12AF5"/>
    <w:rsid w:val="76D20A85"/>
    <w:rsid w:val="76E845BF"/>
    <w:rsid w:val="770004A0"/>
    <w:rsid w:val="770534BF"/>
    <w:rsid w:val="77103407"/>
    <w:rsid w:val="771C3E6C"/>
    <w:rsid w:val="77287BE7"/>
    <w:rsid w:val="77495D99"/>
    <w:rsid w:val="77773458"/>
    <w:rsid w:val="7783039B"/>
    <w:rsid w:val="77855EFF"/>
    <w:rsid w:val="778A569F"/>
    <w:rsid w:val="77940743"/>
    <w:rsid w:val="77962247"/>
    <w:rsid w:val="77A50780"/>
    <w:rsid w:val="77B868AB"/>
    <w:rsid w:val="78024442"/>
    <w:rsid w:val="780A2C1F"/>
    <w:rsid w:val="78137D87"/>
    <w:rsid w:val="782852FC"/>
    <w:rsid w:val="78375766"/>
    <w:rsid w:val="786752FA"/>
    <w:rsid w:val="78725733"/>
    <w:rsid w:val="7880738F"/>
    <w:rsid w:val="78955A55"/>
    <w:rsid w:val="78BC7535"/>
    <w:rsid w:val="78C87040"/>
    <w:rsid w:val="78ED5726"/>
    <w:rsid w:val="78F0537C"/>
    <w:rsid w:val="78FD40D3"/>
    <w:rsid w:val="79015C58"/>
    <w:rsid w:val="790807BF"/>
    <w:rsid w:val="792A59A3"/>
    <w:rsid w:val="79322943"/>
    <w:rsid w:val="7937715F"/>
    <w:rsid w:val="794660DF"/>
    <w:rsid w:val="79493708"/>
    <w:rsid w:val="79505630"/>
    <w:rsid w:val="798631C7"/>
    <w:rsid w:val="79980713"/>
    <w:rsid w:val="79C27E25"/>
    <w:rsid w:val="79C77280"/>
    <w:rsid w:val="79CC3F7B"/>
    <w:rsid w:val="79DF7506"/>
    <w:rsid w:val="7A190DE2"/>
    <w:rsid w:val="7A334A51"/>
    <w:rsid w:val="7A4016F6"/>
    <w:rsid w:val="7A483717"/>
    <w:rsid w:val="7A5157BF"/>
    <w:rsid w:val="7A550B61"/>
    <w:rsid w:val="7A64740F"/>
    <w:rsid w:val="7A6714A3"/>
    <w:rsid w:val="7A694028"/>
    <w:rsid w:val="7A81014B"/>
    <w:rsid w:val="7A9D2089"/>
    <w:rsid w:val="7AA124AB"/>
    <w:rsid w:val="7AA43084"/>
    <w:rsid w:val="7AB75561"/>
    <w:rsid w:val="7AD86EC7"/>
    <w:rsid w:val="7ADF0CFA"/>
    <w:rsid w:val="7B07494B"/>
    <w:rsid w:val="7B3573C8"/>
    <w:rsid w:val="7B47482E"/>
    <w:rsid w:val="7B8E2ED1"/>
    <w:rsid w:val="7B9F24BD"/>
    <w:rsid w:val="7B9F2C05"/>
    <w:rsid w:val="7BA270FD"/>
    <w:rsid w:val="7BB30E9F"/>
    <w:rsid w:val="7BB9499E"/>
    <w:rsid w:val="7BE162BB"/>
    <w:rsid w:val="7C1F21CF"/>
    <w:rsid w:val="7C23325E"/>
    <w:rsid w:val="7C3136B3"/>
    <w:rsid w:val="7C375608"/>
    <w:rsid w:val="7C3C165B"/>
    <w:rsid w:val="7C7A2130"/>
    <w:rsid w:val="7C7C6EEA"/>
    <w:rsid w:val="7CAD1AB7"/>
    <w:rsid w:val="7CAE08E4"/>
    <w:rsid w:val="7CBB7092"/>
    <w:rsid w:val="7CC528B4"/>
    <w:rsid w:val="7D020A64"/>
    <w:rsid w:val="7D1B3DBE"/>
    <w:rsid w:val="7D1E0B9D"/>
    <w:rsid w:val="7D5375E9"/>
    <w:rsid w:val="7D6B7023"/>
    <w:rsid w:val="7D7241B7"/>
    <w:rsid w:val="7D7C02E7"/>
    <w:rsid w:val="7D8D70FB"/>
    <w:rsid w:val="7DAA59A8"/>
    <w:rsid w:val="7DB70EAF"/>
    <w:rsid w:val="7DD15B5A"/>
    <w:rsid w:val="7DF844BB"/>
    <w:rsid w:val="7DFC6965"/>
    <w:rsid w:val="7E0059F4"/>
    <w:rsid w:val="7E120FB8"/>
    <w:rsid w:val="7E186DA6"/>
    <w:rsid w:val="7E383A33"/>
    <w:rsid w:val="7E487A4C"/>
    <w:rsid w:val="7E7022C6"/>
    <w:rsid w:val="7E815E02"/>
    <w:rsid w:val="7E9A2B5F"/>
    <w:rsid w:val="7ECD561D"/>
    <w:rsid w:val="7F0C3E0A"/>
    <w:rsid w:val="7F3646AF"/>
    <w:rsid w:val="7F433FA0"/>
    <w:rsid w:val="7F4E36A1"/>
    <w:rsid w:val="7F5F72C6"/>
    <w:rsid w:val="7F8A6AEC"/>
    <w:rsid w:val="7F8E5E11"/>
    <w:rsid w:val="7FA861B0"/>
    <w:rsid w:val="7FB2337B"/>
    <w:rsid w:val="7FD379F4"/>
    <w:rsid w:val="7FF47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tabs>
        <w:tab w:val="left" w:pos="420"/>
      </w:tabs>
      <w:spacing w:line="360" w:lineRule="auto"/>
      <w:outlineLvl w:val="0"/>
    </w:pPr>
    <w:rPr>
      <w:rFonts w:ascii="宋体" w:hAnsi="宋体"/>
      <w:b/>
      <w:sz w:val="24"/>
    </w:rPr>
  </w:style>
  <w:style w:type="paragraph" w:styleId="3">
    <w:name w:val="heading 2"/>
    <w:basedOn w:val="1"/>
    <w:next w:val="1"/>
    <w:qFormat/>
    <w:uiPriority w:val="0"/>
    <w:pPr>
      <w:keepNext/>
      <w:keepLines/>
      <w:numPr>
        <w:ilvl w:val="1"/>
        <w:numId w:val="1"/>
      </w:numPr>
      <w:tabs>
        <w:tab w:val="left" w:pos="567"/>
      </w:tabs>
      <w:spacing w:line="360" w:lineRule="auto"/>
      <w:outlineLvl w:val="1"/>
    </w:pPr>
    <w:rPr>
      <w:rFonts w:ascii="Arial" w:hAnsi="Arial"/>
      <w:b/>
      <w:bCs/>
      <w:sz w:val="24"/>
      <w:szCs w:val="32"/>
    </w:rPr>
  </w:style>
  <w:style w:type="paragraph" w:styleId="4">
    <w:name w:val="heading 3"/>
    <w:basedOn w:val="1"/>
    <w:next w:val="1"/>
    <w:autoRedefine/>
    <w:qFormat/>
    <w:uiPriority w:val="0"/>
    <w:pPr>
      <w:keepNext/>
      <w:keepLines/>
      <w:numPr>
        <w:ilvl w:val="2"/>
        <w:numId w:val="1"/>
      </w:numPr>
      <w:tabs>
        <w:tab w:val="left" w:pos="709"/>
      </w:tabs>
      <w:spacing w:line="360" w:lineRule="auto"/>
      <w:outlineLvl w:val="2"/>
    </w:pPr>
    <w:rPr>
      <w:b/>
      <w:bCs/>
      <w:sz w:val="24"/>
      <w:szCs w:val="32"/>
    </w:rPr>
  </w:style>
  <w:style w:type="paragraph" w:styleId="5">
    <w:name w:val="heading 4"/>
    <w:basedOn w:val="1"/>
    <w:next w:val="1"/>
    <w:qFormat/>
    <w:uiPriority w:val="0"/>
    <w:pPr>
      <w:keepNext/>
      <w:keepLines/>
      <w:numPr>
        <w:ilvl w:val="3"/>
        <w:numId w:val="1"/>
      </w:numPr>
      <w:tabs>
        <w:tab w:val="left" w:pos="851"/>
      </w:tabs>
      <w:outlineLvl w:val="3"/>
    </w:pPr>
    <w:rPr>
      <w:rFonts w:ascii="Arial" w:hAnsi="Arial"/>
      <w:b/>
      <w:bCs/>
      <w:sz w:val="24"/>
      <w:szCs w:val="28"/>
    </w:rPr>
  </w:style>
  <w:style w:type="character" w:default="1" w:styleId="27">
    <w:name w:val="Default Paragraph Font"/>
    <w:semiHidden/>
    <w:uiPriority w:val="0"/>
  </w:style>
  <w:style w:type="table" w:default="1" w:styleId="25">
    <w:name w:val="Normal Table"/>
    <w:semiHidden/>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caption"/>
    <w:basedOn w:val="1"/>
    <w:next w:val="1"/>
    <w:qFormat/>
    <w:uiPriority w:val="0"/>
    <w:rPr>
      <w:rFonts w:ascii="Arial" w:hAnsi="Arial" w:eastAsia="黑体" w:cs="Arial"/>
      <w:sz w:val="20"/>
      <w:szCs w:val="20"/>
    </w:rPr>
  </w:style>
  <w:style w:type="paragraph" w:styleId="8">
    <w:name w:val="annotation text"/>
    <w:basedOn w:val="1"/>
    <w:link w:val="52"/>
    <w:autoRedefine/>
    <w:semiHidden/>
    <w:qFormat/>
    <w:uiPriority w:val="0"/>
    <w:pPr>
      <w:jc w:val="left"/>
    </w:pPr>
  </w:style>
  <w:style w:type="paragraph" w:styleId="9">
    <w:name w:val="Body Text"/>
    <w:basedOn w:val="1"/>
    <w:link w:val="32"/>
    <w:autoRedefine/>
    <w:qFormat/>
    <w:uiPriority w:val="0"/>
    <w:pPr>
      <w:spacing w:after="120"/>
    </w:pPr>
  </w:style>
  <w:style w:type="paragraph" w:styleId="10">
    <w:name w:val="Body Text Indent"/>
    <w:basedOn w:val="1"/>
    <w:next w:val="11"/>
    <w:link w:val="33"/>
    <w:autoRedefine/>
    <w:unhideWhenUsed/>
    <w:qFormat/>
    <w:uiPriority w:val="0"/>
    <w:pPr>
      <w:spacing w:after="120"/>
      <w:ind w:left="420" w:leftChars="200"/>
    </w:pPr>
  </w:style>
  <w:style w:type="paragraph" w:styleId="11">
    <w:name w:val="envelope return"/>
    <w:basedOn w:val="1"/>
    <w:autoRedefine/>
    <w:qFormat/>
    <w:uiPriority w:val="0"/>
    <w:pPr>
      <w:snapToGrid w:val="0"/>
    </w:pPr>
    <w:rPr>
      <w:rFonts w:ascii="Arial" w:hAnsi="Arial"/>
    </w:rPr>
  </w:style>
  <w:style w:type="paragraph" w:styleId="12">
    <w:name w:val="Block Text"/>
    <w:basedOn w:val="1"/>
    <w:autoRedefine/>
    <w:qFormat/>
    <w:uiPriority w:val="0"/>
    <w:pPr>
      <w:adjustRightInd w:val="0"/>
      <w:spacing w:line="312" w:lineRule="atLeast"/>
      <w:ind w:left="113" w:right="113"/>
      <w:textAlignment w:val="baseline"/>
    </w:pPr>
    <w:rPr>
      <w:kern w:val="0"/>
      <w:sz w:val="20"/>
      <w:szCs w:val="20"/>
    </w:rPr>
  </w:style>
  <w:style w:type="paragraph" w:styleId="13">
    <w:name w:val="Plain Text"/>
    <w:basedOn w:val="1"/>
    <w:link w:val="34"/>
    <w:autoRedefine/>
    <w:qFormat/>
    <w:uiPriority w:val="0"/>
    <w:rPr>
      <w:rFonts w:ascii="宋体" w:hAnsi="Courier New"/>
      <w:szCs w:val="20"/>
    </w:rPr>
  </w:style>
  <w:style w:type="paragraph" w:styleId="14">
    <w:name w:val="Date"/>
    <w:basedOn w:val="1"/>
    <w:next w:val="1"/>
    <w:uiPriority w:val="0"/>
    <w:pPr>
      <w:ind w:left="100" w:leftChars="2500"/>
    </w:pPr>
  </w:style>
  <w:style w:type="paragraph" w:styleId="15">
    <w:name w:val="Body Text Indent 2"/>
    <w:basedOn w:val="1"/>
    <w:autoRedefine/>
    <w:uiPriority w:val="0"/>
    <w:pPr>
      <w:spacing w:after="120" w:line="480" w:lineRule="auto"/>
      <w:ind w:left="420" w:leftChars="200"/>
    </w:pPr>
  </w:style>
  <w:style w:type="paragraph" w:styleId="16">
    <w:name w:val="Balloon Text"/>
    <w:basedOn w:val="1"/>
    <w:link w:val="54"/>
    <w:uiPriority w:val="0"/>
    <w:rPr>
      <w:sz w:val="18"/>
      <w:szCs w:val="18"/>
    </w:rPr>
  </w:style>
  <w:style w:type="paragraph" w:styleId="17">
    <w:name w:val="footer"/>
    <w:basedOn w:val="1"/>
    <w:uiPriority w:val="0"/>
    <w:pPr>
      <w:tabs>
        <w:tab w:val="center" w:pos="4153"/>
        <w:tab w:val="right" w:pos="8306"/>
      </w:tabs>
      <w:snapToGrid w:val="0"/>
      <w:jc w:val="left"/>
    </w:pPr>
    <w:rPr>
      <w:sz w:val="18"/>
      <w:szCs w:val="18"/>
    </w:rPr>
  </w:style>
  <w:style w:type="paragraph" w:styleId="1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semiHidden/>
    <w:uiPriority w:val="0"/>
  </w:style>
  <w:style w:type="paragraph" w:styleId="20">
    <w:name w:val="Body Text Indent 3"/>
    <w:basedOn w:val="1"/>
    <w:link w:val="35"/>
    <w:unhideWhenUsed/>
    <w:uiPriority w:val="0"/>
    <w:pPr>
      <w:spacing w:after="120"/>
      <w:ind w:left="420" w:leftChars="200"/>
    </w:pPr>
    <w:rPr>
      <w:sz w:val="16"/>
      <w:szCs w:val="16"/>
    </w:rPr>
  </w:style>
  <w:style w:type="paragraph" w:styleId="21">
    <w:name w:val="toc 2"/>
    <w:basedOn w:val="1"/>
    <w:next w:val="1"/>
    <w:semiHidden/>
    <w:uiPriority w:val="0"/>
    <w:pPr>
      <w:ind w:left="420" w:leftChars="200"/>
    </w:pPr>
  </w:style>
  <w:style w:type="paragraph" w:styleId="22">
    <w:name w:val="annotation subject"/>
    <w:basedOn w:val="8"/>
    <w:next w:val="8"/>
    <w:link w:val="53"/>
    <w:uiPriority w:val="0"/>
    <w:rPr>
      <w:b/>
      <w:bCs/>
    </w:rPr>
  </w:style>
  <w:style w:type="paragraph" w:styleId="23">
    <w:name w:val="Body Text First Indent"/>
    <w:basedOn w:val="9"/>
    <w:link w:val="36"/>
    <w:autoRedefine/>
    <w:qFormat/>
    <w:uiPriority w:val="0"/>
    <w:pPr>
      <w:ind w:firstLine="420" w:firstLineChars="100"/>
    </w:pPr>
    <w:rPr>
      <w:szCs w:val="20"/>
    </w:rPr>
  </w:style>
  <w:style w:type="paragraph" w:styleId="24">
    <w:name w:val="Body Text First Indent 2"/>
    <w:basedOn w:val="10"/>
    <w:qFormat/>
    <w:uiPriority w:val="0"/>
    <w:pPr>
      <w:ind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bCs/>
    </w:rPr>
  </w:style>
  <w:style w:type="character" w:styleId="29">
    <w:name w:val="page number"/>
    <w:basedOn w:val="27"/>
    <w:uiPriority w:val="0"/>
  </w:style>
  <w:style w:type="character" w:styleId="30">
    <w:name w:val="Hyperlink"/>
    <w:autoRedefine/>
    <w:qFormat/>
    <w:uiPriority w:val="0"/>
    <w:rPr>
      <w:color w:val="0000FF"/>
      <w:u w:val="single"/>
    </w:rPr>
  </w:style>
  <w:style w:type="character" w:styleId="31">
    <w:name w:val="annotation reference"/>
    <w:basedOn w:val="27"/>
    <w:uiPriority w:val="0"/>
    <w:rPr>
      <w:sz w:val="21"/>
      <w:szCs w:val="21"/>
    </w:rPr>
  </w:style>
  <w:style w:type="character" w:customStyle="1" w:styleId="32">
    <w:name w:val="正文文本 Char"/>
    <w:basedOn w:val="27"/>
    <w:link w:val="9"/>
    <w:uiPriority w:val="0"/>
    <w:rPr>
      <w:rFonts w:eastAsia="宋体"/>
      <w:kern w:val="2"/>
      <w:sz w:val="21"/>
      <w:szCs w:val="24"/>
      <w:lang w:val="en-US" w:eastAsia="zh-CN" w:bidi="ar-SA"/>
    </w:rPr>
  </w:style>
  <w:style w:type="character" w:customStyle="1" w:styleId="33">
    <w:name w:val="正文文本缩进 Char"/>
    <w:link w:val="10"/>
    <w:autoRedefine/>
    <w:qFormat/>
    <w:uiPriority w:val="0"/>
    <w:rPr>
      <w:rFonts w:eastAsia="宋体"/>
      <w:kern w:val="2"/>
      <w:sz w:val="21"/>
      <w:szCs w:val="24"/>
      <w:lang w:val="en-US" w:eastAsia="zh-CN" w:bidi="ar-SA"/>
    </w:rPr>
  </w:style>
  <w:style w:type="character" w:customStyle="1" w:styleId="34">
    <w:name w:val="纯文本 Char"/>
    <w:link w:val="13"/>
    <w:autoRedefine/>
    <w:locked/>
    <w:uiPriority w:val="0"/>
    <w:rPr>
      <w:rFonts w:ascii="宋体" w:hAnsi="Courier New" w:eastAsia="宋体"/>
      <w:kern w:val="2"/>
      <w:sz w:val="21"/>
      <w:lang w:val="en-US" w:eastAsia="zh-CN" w:bidi="ar-SA"/>
    </w:rPr>
  </w:style>
  <w:style w:type="character" w:customStyle="1" w:styleId="35">
    <w:name w:val="正文文本缩进 3 Char"/>
    <w:link w:val="20"/>
    <w:autoRedefine/>
    <w:qFormat/>
    <w:uiPriority w:val="0"/>
    <w:rPr>
      <w:rFonts w:eastAsia="宋体"/>
      <w:kern w:val="2"/>
      <w:sz w:val="16"/>
      <w:szCs w:val="16"/>
      <w:lang w:val="en-US" w:eastAsia="zh-CN" w:bidi="ar-SA"/>
    </w:rPr>
  </w:style>
  <w:style w:type="character" w:customStyle="1" w:styleId="36">
    <w:name w:val="正文首行缩进 Char"/>
    <w:basedOn w:val="32"/>
    <w:link w:val="23"/>
    <w:uiPriority w:val="0"/>
  </w:style>
  <w:style w:type="character" w:customStyle="1" w:styleId="37">
    <w:name w:val="fontstyle01"/>
    <w:basedOn w:val="27"/>
    <w:uiPriority w:val="0"/>
    <w:rPr>
      <w:rFonts w:hint="default" w:ascii="ArialMT" w:hAnsi="ArialMT"/>
      <w:color w:val="000000"/>
      <w:sz w:val="20"/>
      <w:szCs w:val="20"/>
    </w:rPr>
  </w:style>
  <w:style w:type="character" w:customStyle="1" w:styleId="38">
    <w:name w:val="style191"/>
    <w:uiPriority w:val="0"/>
    <w:rPr>
      <w:sz w:val="18"/>
      <w:szCs w:val="18"/>
    </w:rPr>
  </w:style>
  <w:style w:type="character" w:customStyle="1" w:styleId="39">
    <w:name w:val="fontstyle11"/>
    <w:basedOn w:val="27"/>
    <w:uiPriority w:val="0"/>
    <w:rPr>
      <w:rFonts w:hint="default" w:ascii="F1" w:hAnsi="F1"/>
      <w:color w:val="000000"/>
      <w:sz w:val="20"/>
      <w:szCs w:val="20"/>
    </w:rPr>
  </w:style>
  <w:style w:type="character" w:customStyle="1" w:styleId="40">
    <w:name w:val="apple-converted-space"/>
    <w:basedOn w:val="27"/>
    <w:uiPriority w:val="0"/>
  </w:style>
  <w:style w:type="paragraph" w:customStyle="1" w:styleId="41">
    <w:name w:val="Defaul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42">
    <w:name w:val="样式 题注 + 居中 首行缩进:  2 字符"/>
    <w:basedOn w:val="7"/>
    <w:uiPriority w:val="0"/>
    <w:pPr>
      <w:spacing w:line="360" w:lineRule="auto"/>
      <w:ind w:firstLine="400"/>
      <w:jc w:val="center"/>
    </w:pPr>
    <w:rPr>
      <w:rFonts w:ascii="宋体" w:hAnsi="宋体" w:eastAsia="宋体" w:cs="宋体"/>
      <w:sz w:val="24"/>
      <w:szCs w:val="24"/>
    </w:rPr>
  </w:style>
  <w:style w:type="paragraph" w:customStyle="1" w:styleId="43">
    <w:name w:val="_Style 2"/>
    <w:basedOn w:val="1"/>
    <w:uiPriority w:val="0"/>
    <w:pPr>
      <w:autoSpaceDE w:val="0"/>
      <w:autoSpaceDN w:val="0"/>
      <w:adjustRightInd w:val="0"/>
      <w:snapToGrid w:val="0"/>
      <w:spacing w:line="300" w:lineRule="auto"/>
      <w:ind w:firstLine="480" w:firstLineChars="200"/>
      <w:jc w:val="left"/>
    </w:pPr>
    <w:rPr>
      <w:rFonts w:ascii="宋体"/>
      <w:kern w:val="0"/>
      <w:szCs w:val="20"/>
    </w:rPr>
  </w:style>
  <w:style w:type="paragraph" w:customStyle="1" w:styleId="44">
    <w:name w:val=" Char Char Char Char Char Char Char Char Char Char"/>
    <w:basedOn w:val="1"/>
    <w:uiPriority w:val="0"/>
    <w:rPr>
      <w:rFonts w:ascii="Tahoma" w:hAnsi="Tahoma" w:eastAsia="楷体_GB2312"/>
      <w:spacing w:val="10"/>
      <w:sz w:val="24"/>
      <w:szCs w:val="20"/>
    </w:rPr>
  </w:style>
  <w:style w:type="paragraph" w:customStyle="1" w:styleId="45">
    <w:name w:val="首行缩进2字符正文"/>
    <w:basedOn w:val="1"/>
    <w:uiPriority w:val="0"/>
    <w:pPr>
      <w:spacing w:beforeLines="15" w:afterLines="15" w:line="300" w:lineRule="auto"/>
      <w:ind w:left="-82" w:leftChars="-34" w:firstLine="480" w:firstLineChars="200"/>
    </w:pPr>
    <w:rPr>
      <w:sz w:val="24"/>
    </w:rPr>
  </w:style>
  <w:style w:type="paragraph" w:customStyle="1" w:styleId="46">
    <w:name w:val="默认段落字体 Para Char"/>
    <w:basedOn w:val="1"/>
    <w:uiPriority w:val="0"/>
    <w:pPr>
      <w:jc w:val="left"/>
    </w:pPr>
    <w:rPr>
      <w:sz w:val="30"/>
    </w:rPr>
  </w:style>
  <w:style w:type="paragraph" w:customStyle="1" w:styleId="47">
    <w:name w:val="CM39"/>
    <w:basedOn w:val="41"/>
    <w:next w:val="41"/>
    <w:uiPriority w:val="0"/>
    <w:pPr>
      <w:spacing w:after="800"/>
    </w:pPr>
    <w:rPr>
      <w:rFonts w:cs="Times New Roman"/>
      <w:color w:val="auto"/>
    </w:rPr>
  </w:style>
  <w:style w:type="paragraph" w:customStyle="1" w:styleId="48">
    <w:name w:val="List Paragraph1"/>
    <w:basedOn w:val="1"/>
    <w:uiPriority w:val="0"/>
    <w:pPr>
      <w:ind w:firstLine="420" w:firstLineChars="200"/>
    </w:pPr>
    <w:rPr>
      <w:szCs w:val="21"/>
    </w:rPr>
  </w:style>
  <w:style w:type="paragraph" w:customStyle="1" w:styleId="49">
    <w:name w:val=" Char Char Char Char Char Char Char"/>
    <w:basedOn w:val="1"/>
    <w:uiPriority w:val="0"/>
    <w:pPr>
      <w:spacing w:line="360" w:lineRule="auto"/>
    </w:pPr>
    <w:rPr>
      <w:sz w:val="24"/>
    </w:rPr>
  </w:style>
  <w:style w:type="paragraph" w:customStyle="1" w:styleId="50">
    <w:name w:val="WB正文"/>
    <w:uiPriority w:val="0"/>
    <w:pPr>
      <w:spacing w:line="460" w:lineRule="exact"/>
      <w:ind w:firstLine="200" w:firstLineChars="200"/>
      <w:jc w:val="both"/>
    </w:pPr>
    <w:rPr>
      <w:rFonts w:ascii="Times New Roman" w:hAnsi="Times New Roman" w:eastAsia="宋体" w:cs="Times New Roman"/>
      <w:sz w:val="24"/>
      <w:szCs w:val="24"/>
      <w:lang w:val="en-US" w:eastAsia="zh-CN" w:bidi="ar-SA"/>
    </w:rPr>
  </w:style>
  <w:style w:type="paragraph" w:styleId="51">
    <w:name w:val="List Paragraph"/>
    <w:basedOn w:val="1"/>
    <w:qFormat/>
    <w:uiPriority w:val="0"/>
    <w:pPr>
      <w:ind w:firstLine="420" w:firstLineChars="200"/>
    </w:pPr>
  </w:style>
  <w:style w:type="character" w:customStyle="1" w:styleId="52">
    <w:name w:val="批注文字 Char"/>
    <w:basedOn w:val="27"/>
    <w:link w:val="8"/>
    <w:semiHidden/>
    <w:uiPriority w:val="0"/>
    <w:rPr>
      <w:kern w:val="2"/>
      <w:sz w:val="21"/>
      <w:szCs w:val="24"/>
    </w:rPr>
  </w:style>
  <w:style w:type="character" w:customStyle="1" w:styleId="53">
    <w:name w:val="批注主题 Char"/>
    <w:basedOn w:val="52"/>
    <w:link w:val="22"/>
    <w:uiPriority w:val="0"/>
  </w:style>
  <w:style w:type="character" w:customStyle="1" w:styleId="54">
    <w:name w:val="批注框文本 Char"/>
    <w:basedOn w:val="27"/>
    <w:link w:val="16"/>
    <w:uiPriority w:val="0"/>
    <w:rPr>
      <w:kern w:val="2"/>
      <w:sz w:val="18"/>
      <w:szCs w:val="18"/>
    </w:rPr>
  </w:style>
  <w:style w:type="paragraph" w:customStyle="1" w:styleId="55">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AD8F8C-A3B4-4E59-9398-50E54FF997A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1580</Words>
  <Characters>9009</Characters>
  <Lines>75</Lines>
  <Paragraphs>21</Paragraphs>
  <TotalTime>19</TotalTime>
  <ScaleCrop>false</ScaleCrop>
  <LinksUpToDate>false</LinksUpToDate>
  <CharactersWithSpaces>10568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2021-07-14T02:37:00Z</dcterms:created>
  <dc:creator>微软用户</dc:creator>
  <cp:lastModifiedBy>轩</cp:lastModifiedBy>
  <cp:lastPrinted>2021-07-14T02:37:00Z</cp:lastPrinted>
  <dcterms:modified xsi:type="dcterms:W3CDTF">2024-05-22T05:05:29Z</dcterms:modified>
  <dc:title>计量泵</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E2D7F39C19C54A93AD0688F13E1D0F12</vt:lpwstr>
  </property>
</Properties>
</file>