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w:t>
      </w:r>
      <w:bookmarkStart w:id="0" w:name="_GoBack"/>
      <w:bookmarkEnd w:id="0"/>
      <w:r>
        <w:rPr>
          <w:rFonts w:ascii="微软雅黑" w:eastAsia="微软雅黑" w:hint="eastAsia"/>
          <w:b/>
          <w:sz w:val="52"/>
          <w:szCs w:val="22"/>
          <w:u w:val="single"/>
          <w:lang w:eastAsia="zh-CN"/>
        </w:rPr>
        <w:t>海创石油化工有限公司</w:t>
      </w:r>
    </w:p>
    <w:p w:rsidR="00D7766D" w:rsidRPr="00CF5D87" w:rsidRDefault="00104D61">
      <w:pPr>
        <w:pStyle w:val="aa"/>
        <w:jc w:val="center"/>
        <w:rPr>
          <w:rFonts w:ascii="微软雅黑" w:eastAsia="微软雅黑"/>
          <w:b/>
          <w:sz w:val="48"/>
          <w:szCs w:val="22"/>
          <w:u w:val="single"/>
          <w:lang w:eastAsia="zh-CN"/>
        </w:rPr>
      </w:pPr>
      <w:r w:rsidRPr="00CF5D87">
        <w:rPr>
          <w:rFonts w:ascii="微软雅黑" w:eastAsia="微软雅黑" w:hint="eastAsia"/>
          <w:b/>
          <w:sz w:val="48"/>
          <w:szCs w:val="22"/>
          <w:u w:val="single"/>
          <w:lang w:eastAsia="zh-CN"/>
        </w:rPr>
        <w:t>化验检测团队</w:t>
      </w:r>
      <w:r w:rsidR="00CF5D87" w:rsidRPr="00CF5D87">
        <w:rPr>
          <w:rFonts w:ascii="微软雅黑" w:eastAsia="微软雅黑" w:hint="eastAsia"/>
          <w:b/>
          <w:sz w:val="48"/>
          <w:szCs w:val="22"/>
          <w:u w:val="single"/>
          <w:lang w:eastAsia="zh-CN"/>
        </w:rPr>
        <w:t>一批化验设备采购</w:t>
      </w:r>
      <w:r w:rsidR="00392040" w:rsidRPr="00CF5D87">
        <w:rPr>
          <w:rFonts w:ascii="微软雅黑" w:eastAsia="微软雅黑" w:hint="eastAsia"/>
          <w:b/>
          <w:sz w:val="48"/>
          <w:szCs w:val="22"/>
          <w:u w:val="single"/>
          <w:lang w:eastAsia="zh-CN"/>
        </w:rPr>
        <w:t>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CF5D87" w:rsidRPr="00CF5D87">
        <w:rPr>
          <w:color w:val="000000" w:themeColor="text1"/>
          <w:sz w:val="28"/>
          <w:szCs w:val="28"/>
        </w:rPr>
        <w:t>QG2402010001</w:t>
      </w:r>
      <w:r w:rsidR="00CF5D87">
        <w:rPr>
          <w:color w:val="000000" w:themeColor="text1"/>
          <w:sz w:val="28"/>
          <w:szCs w:val="28"/>
        </w:rPr>
        <w:t>-</w:t>
      </w:r>
      <w:r w:rsidR="00CF5D87" w:rsidRPr="00CF5D87">
        <w:rPr>
          <w:color w:val="000000" w:themeColor="text1"/>
          <w:sz w:val="28"/>
          <w:szCs w:val="28"/>
        </w:rPr>
        <w:t>QG2402010007</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CF5D87">
        <w:rPr>
          <w:rFonts w:ascii="微软雅黑" w:eastAsia="微软雅黑" w:hint="eastAsia"/>
          <w:b/>
          <w:color w:val="000000" w:themeColor="text1"/>
          <w:w w:val="95"/>
          <w:sz w:val="32"/>
          <w:lang w:eastAsia="zh-CN"/>
        </w:rPr>
        <w:t>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E314A1" w:rsidRDefault="00E314A1">
      <w:pPr>
        <w:tabs>
          <w:tab w:val="left" w:pos="709"/>
        </w:tabs>
        <w:spacing w:line="360" w:lineRule="auto"/>
        <w:ind w:firstLineChars="200" w:firstLine="480"/>
        <w:rPr>
          <w:sz w:val="24"/>
          <w:szCs w:val="24"/>
          <w:lang w:eastAsia="zh-CN"/>
        </w:rPr>
      </w:pPr>
      <w:r w:rsidRPr="00E314A1">
        <w:rPr>
          <w:rFonts w:hint="eastAsia"/>
          <w:sz w:val="24"/>
          <w:szCs w:val="24"/>
          <w:lang w:eastAsia="zh-CN"/>
        </w:rPr>
        <w:t>附件三：</w:t>
      </w:r>
      <w:r w:rsidR="00CF5D87" w:rsidRPr="00CF5D87">
        <w:rPr>
          <w:sz w:val="24"/>
          <w:szCs w:val="24"/>
          <w:lang w:eastAsia="zh-CN"/>
        </w:rPr>
        <w:t>2024年2月化验设备采购技术规格书</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104D61" w:rsidRPr="00104D61">
        <w:rPr>
          <w:rFonts w:hint="eastAsia"/>
          <w:b/>
          <w:bCs/>
          <w:sz w:val="32"/>
          <w:lang w:eastAsia="zh-CN"/>
        </w:rPr>
        <w:t>化验检测团队</w:t>
      </w:r>
      <w:r w:rsidR="009A57BA" w:rsidRPr="009A57BA">
        <w:rPr>
          <w:rFonts w:hint="eastAsia"/>
          <w:b/>
          <w:bCs/>
          <w:sz w:val="32"/>
          <w:lang w:eastAsia="zh-CN"/>
        </w:rPr>
        <w:t>一批化验设备采购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104D61" w:rsidRPr="00104D61">
        <w:rPr>
          <w:rFonts w:hint="eastAsia"/>
          <w:color w:val="000000" w:themeColor="text1"/>
          <w:u w:val="single"/>
          <w:lang w:eastAsia="zh-CN"/>
        </w:rPr>
        <w:t>化验检测团队</w:t>
      </w:r>
      <w:r w:rsidR="009A57BA">
        <w:rPr>
          <w:rFonts w:hint="eastAsia"/>
          <w:color w:val="000000" w:themeColor="text1"/>
          <w:u w:val="single"/>
          <w:lang w:eastAsia="zh-CN"/>
        </w:rPr>
        <w:t>一批化验设备采购</w:t>
      </w:r>
      <w:r w:rsidR="00392040">
        <w:rPr>
          <w:rFonts w:hint="eastAsia"/>
          <w:color w:val="000000" w:themeColor="text1"/>
          <w:u w:val="single"/>
          <w:lang w:eastAsia="zh-CN"/>
        </w:rPr>
        <w:t>项目</w:t>
      </w:r>
      <w:r>
        <w:rPr>
          <w:rFonts w:hint="eastAsia"/>
          <w:color w:val="000000" w:themeColor="text1"/>
          <w:u w:val="single"/>
          <w:lang w:eastAsia="zh-CN"/>
        </w:rPr>
        <w:t>（项目编号：</w:t>
      </w:r>
      <w:r w:rsidR="005968EC" w:rsidRPr="005968EC">
        <w:rPr>
          <w:color w:val="000000" w:themeColor="text1"/>
          <w:u w:val="single"/>
          <w:lang w:eastAsia="zh-CN"/>
        </w:rPr>
        <w:t>QG2402010001-QG2402010007</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w:t>
      </w:r>
      <w:r w:rsidR="00104D61" w:rsidRPr="00104D61">
        <w:rPr>
          <w:rFonts w:hint="eastAsia"/>
          <w:sz w:val="24"/>
          <w:szCs w:val="24"/>
          <w:lang w:eastAsia="zh-CN"/>
        </w:rPr>
        <w:t>化验检测团队</w:t>
      </w:r>
      <w:r w:rsidR="009A57BA">
        <w:rPr>
          <w:rFonts w:hint="eastAsia"/>
          <w:sz w:val="24"/>
          <w:szCs w:val="24"/>
          <w:lang w:eastAsia="zh-CN"/>
        </w:rPr>
        <w:t>一批化验设备采购</w:t>
      </w:r>
      <w:r w:rsidR="00BF3B56" w:rsidRPr="00BF3B56">
        <w:rPr>
          <w:rFonts w:hint="eastAsia"/>
          <w:sz w:val="24"/>
          <w:szCs w:val="24"/>
          <w:lang w:eastAsia="zh-CN"/>
        </w:rPr>
        <w:t>项目</w:t>
      </w:r>
    </w:p>
    <w:p w:rsidR="00BF3B56" w:rsidRPr="009A57BA" w:rsidRDefault="00986280" w:rsidP="009A57BA">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9A57BA">
        <w:rPr>
          <w:rFonts w:hint="eastAsia"/>
          <w:sz w:val="24"/>
          <w:szCs w:val="24"/>
          <w:lang w:eastAsia="zh-CN"/>
        </w:rPr>
        <w:t>本项目分为</w:t>
      </w:r>
      <w:r w:rsidR="009A57BA">
        <w:rPr>
          <w:sz w:val="24"/>
          <w:szCs w:val="24"/>
          <w:lang w:eastAsia="zh-CN"/>
        </w:rPr>
        <w:t>6</w:t>
      </w:r>
      <w:r w:rsidR="009A57BA">
        <w:rPr>
          <w:rFonts w:hint="eastAsia"/>
          <w:sz w:val="24"/>
          <w:szCs w:val="24"/>
          <w:lang w:eastAsia="zh-CN"/>
        </w:rPr>
        <w:t>个合同包。具体规格型号详见附件三《</w:t>
      </w:r>
      <w:r w:rsidR="009A57BA" w:rsidRPr="009A57BA">
        <w:rPr>
          <w:sz w:val="24"/>
          <w:szCs w:val="24"/>
          <w:lang w:eastAsia="zh-CN"/>
        </w:rPr>
        <w:t>2024年2月化验设备采购技术规格书</w:t>
      </w:r>
      <w:r w:rsidR="009A57BA">
        <w:rPr>
          <w:rFonts w:hint="eastAsia"/>
          <w:sz w:val="24"/>
          <w:szCs w:val="24"/>
          <w:lang w:eastAsia="zh-CN"/>
        </w:rPr>
        <w:t>》。</w:t>
      </w:r>
    </w:p>
    <w:p w:rsidR="009A57BA" w:rsidRDefault="009A57BA" w:rsidP="009A57BA">
      <w:pPr>
        <w:tabs>
          <w:tab w:val="left" w:pos="709"/>
        </w:tabs>
        <w:spacing w:line="360" w:lineRule="auto"/>
        <w:ind w:firstLineChars="200" w:firstLine="480"/>
        <w:rPr>
          <w:sz w:val="24"/>
          <w:szCs w:val="24"/>
          <w:lang w:eastAsia="zh-CN"/>
        </w:rPr>
      </w:pPr>
      <w:r>
        <w:rPr>
          <w:rFonts w:hint="eastAsia"/>
          <w:sz w:val="24"/>
          <w:szCs w:val="24"/>
          <w:lang w:eastAsia="zh-CN"/>
        </w:rPr>
        <w:t>包1：</w:t>
      </w:r>
      <w:r w:rsidRPr="009A57BA">
        <w:rPr>
          <w:rFonts w:hint="eastAsia"/>
          <w:sz w:val="24"/>
          <w:szCs w:val="24"/>
          <w:lang w:eastAsia="zh-CN"/>
        </w:rPr>
        <w:t>苯类产品蒸发残留量检测器</w:t>
      </w:r>
      <w:r>
        <w:rPr>
          <w:rFonts w:hint="eastAsia"/>
          <w:sz w:val="24"/>
          <w:szCs w:val="24"/>
          <w:lang w:eastAsia="zh-CN"/>
        </w:rPr>
        <w:t>1台（比选控制价：</w:t>
      </w:r>
      <w:r>
        <w:rPr>
          <w:sz w:val="24"/>
          <w:szCs w:val="24"/>
          <w:lang w:eastAsia="zh-CN"/>
        </w:rPr>
        <w:t>1</w:t>
      </w:r>
      <w:r>
        <w:rPr>
          <w:rFonts w:hint="eastAsia"/>
          <w:sz w:val="24"/>
          <w:szCs w:val="24"/>
          <w:lang w:eastAsia="zh-CN"/>
        </w:rPr>
        <w:t>万元（不含税））；</w:t>
      </w:r>
    </w:p>
    <w:p w:rsidR="009A57BA" w:rsidRDefault="009A57BA" w:rsidP="009A57BA">
      <w:pPr>
        <w:tabs>
          <w:tab w:val="left" w:pos="709"/>
        </w:tabs>
        <w:spacing w:line="360" w:lineRule="auto"/>
        <w:ind w:firstLineChars="200" w:firstLine="480"/>
        <w:rPr>
          <w:sz w:val="24"/>
          <w:szCs w:val="24"/>
          <w:lang w:eastAsia="zh-CN"/>
        </w:rPr>
      </w:pPr>
      <w:r>
        <w:rPr>
          <w:rFonts w:hint="eastAsia"/>
          <w:sz w:val="24"/>
          <w:szCs w:val="24"/>
          <w:lang w:eastAsia="zh-CN"/>
        </w:rPr>
        <w:t>包2：</w:t>
      </w:r>
      <w:r w:rsidRPr="009A57BA">
        <w:rPr>
          <w:rFonts w:hint="eastAsia"/>
          <w:sz w:val="24"/>
          <w:szCs w:val="24"/>
          <w:lang w:eastAsia="zh-CN"/>
        </w:rPr>
        <w:t>磁力搅拌加热器</w:t>
      </w:r>
      <w:r>
        <w:rPr>
          <w:rFonts w:hint="eastAsia"/>
          <w:sz w:val="24"/>
          <w:szCs w:val="24"/>
          <w:lang w:eastAsia="zh-CN"/>
        </w:rPr>
        <w:t>1台（比选控制价：</w:t>
      </w:r>
      <w:r>
        <w:rPr>
          <w:sz w:val="24"/>
          <w:szCs w:val="24"/>
          <w:lang w:eastAsia="zh-CN"/>
        </w:rPr>
        <w:t>1</w:t>
      </w:r>
      <w:r>
        <w:rPr>
          <w:rFonts w:hint="eastAsia"/>
          <w:sz w:val="24"/>
          <w:szCs w:val="24"/>
          <w:lang w:eastAsia="zh-CN"/>
        </w:rPr>
        <w:t>万元（不含税））；</w:t>
      </w:r>
    </w:p>
    <w:p w:rsidR="009A57BA" w:rsidRDefault="009A57BA" w:rsidP="009A57BA">
      <w:pPr>
        <w:tabs>
          <w:tab w:val="left" w:pos="709"/>
        </w:tabs>
        <w:spacing w:line="360" w:lineRule="auto"/>
        <w:ind w:firstLineChars="200" w:firstLine="480"/>
        <w:rPr>
          <w:sz w:val="24"/>
          <w:szCs w:val="24"/>
          <w:lang w:eastAsia="zh-CN"/>
        </w:rPr>
      </w:pPr>
      <w:r>
        <w:rPr>
          <w:rFonts w:hint="eastAsia"/>
          <w:sz w:val="24"/>
          <w:szCs w:val="24"/>
          <w:lang w:eastAsia="zh-CN"/>
        </w:rPr>
        <w:t>包3：</w:t>
      </w:r>
      <w:r w:rsidRPr="009A57BA">
        <w:rPr>
          <w:rFonts w:hint="eastAsia"/>
          <w:sz w:val="24"/>
          <w:szCs w:val="24"/>
          <w:lang w:eastAsia="zh-CN"/>
        </w:rPr>
        <w:t>快速炼厂气分析仪</w:t>
      </w:r>
      <w:r>
        <w:rPr>
          <w:rFonts w:hint="eastAsia"/>
          <w:sz w:val="24"/>
          <w:szCs w:val="24"/>
          <w:lang w:eastAsia="zh-CN"/>
        </w:rPr>
        <w:t>1台（比选控制价：5</w:t>
      </w:r>
      <w:r>
        <w:rPr>
          <w:sz w:val="24"/>
          <w:szCs w:val="24"/>
          <w:lang w:eastAsia="zh-CN"/>
        </w:rPr>
        <w:t>5</w:t>
      </w:r>
      <w:r>
        <w:rPr>
          <w:rFonts w:hint="eastAsia"/>
          <w:sz w:val="24"/>
          <w:szCs w:val="24"/>
          <w:lang w:eastAsia="zh-CN"/>
        </w:rPr>
        <w:t>万元（不含税））；</w:t>
      </w:r>
    </w:p>
    <w:p w:rsidR="009A57BA" w:rsidRDefault="009A57BA" w:rsidP="009A57BA">
      <w:pPr>
        <w:tabs>
          <w:tab w:val="left" w:pos="709"/>
        </w:tabs>
        <w:spacing w:line="360" w:lineRule="auto"/>
        <w:ind w:firstLineChars="200" w:firstLine="480"/>
        <w:rPr>
          <w:sz w:val="24"/>
          <w:szCs w:val="24"/>
          <w:lang w:eastAsia="zh-CN"/>
        </w:rPr>
      </w:pPr>
      <w:r>
        <w:rPr>
          <w:rFonts w:hint="eastAsia"/>
          <w:sz w:val="24"/>
          <w:szCs w:val="24"/>
          <w:lang w:eastAsia="zh-CN"/>
        </w:rPr>
        <w:t>包4：</w:t>
      </w:r>
      <w:r w:rsidRPr="009A57BA">
        <w:rPr>
          <w:rFonts w:hint="eastAsia"/>
          <w:sz w:val="24"/>
          <w:szCs w:val="24"/>
          <w:lang w:eastAsia="zh-CN"/>
        </w:rPr>
        <w:t>烟尘采样器</w:t>
      </w:r>
      <w:r>
        <w:rPr>
          <w:rFonts w:hint="eastAsia"/>
          <w:sz w:val="24"/>
          <w:szCs w:val="24"/>
          <w:lang w:eastAsia="zh-CN"/>
        </w:rPr>
        <w:t>1台、</w:t>
      </w:r>
      <w:r w:rsidRPr="009A57BA">
        <w:rPr>
          <w:rFonts w:hint="eastAsia"/>
          <w:sz w:val="24"/>
          <w:szCs w:val="24"/>
          <w:lang w:eastAsia="zh-CN"/>
        </w:rPr>
        <w:t>防爆大气采样器</w:t>
      </w:r>
      <w:r>
        <w:rPr>
          <w:rFonts w:hint="eastAsia"/>
          <w:sz w:val="24"/>
          <w:szCs w:val="24"/>
          <w:lang w:eastAsia="zh-CN"/>
        </w:rPr>
        <w:t>2台（比选控制价：</w:t>
      </w:r>
      <w:r>
        <w:rPr>
          <w:sz w:val="24"/>
          <w:szCs w:val="24"/>
          <w:lang w:eastAsia="zh-CN"/>
        </w:rPr>
        <w:t>5.8</w:t>
      </w:r>
      <w:r>
        <w:rPr>
          <w:rFonts w:hint="eastAsia"/>
          <w:sz w:val="24"/>
          <w:szCs w:val="24"/>
          <w:lang w:eastAsia="zh-CN"/>
        </w:rPr>
        <w:t>万元（不含税））；</w:t>
      </w:r>
    </w:p>
    <w:p w:rsidR="009A57BA" w:rsidRDefault="009A57BA" w:rsidP="009A57BA">
      <w:pPr>
        <w:tabs>
          <w:tab w:val="left" w:pos="709"/>
        </w:tabs>
        <w:spacing w:line="360" w:lineRule="auto"/>
        <w:ind w:firstLineChars="200" w:firstLine="480"/>
        <w:rPr>
          <w:sz w:val="24"/>
          <w:szCs w:val="24"/>
          <w:lang w:eastAsia="zh-CN"/>
        </w:rPr>
      </w:pPr>
      <w:r>
        <w:rPr>
          <w:sz w:val="24"/>
          <w:szCs w:val="24"/>
          <w:lang w:eastAsia="zh-CN"/>
        </w:rPr>
        <w:t>包</w:t>
      </w:r>
      <w:r>
        <w:rPr>
          <w:rFonts w:hint="eastAsia"/>
          <w:sz w:val="24"/>
          <w:szCs w:val="24"/>
          <w:lang w:eastAsia="zh-CN"/>
        </w:rPr>
        <w:t>5：</w:t>
      </w:r>
      <w:r w:rsidRPr="009A57BA">
        <w:rPr>
          <w:rFonts w:hint="eastAsia"/>
          <w:sz w:val="24"/>
          <w:szCs w:val="24"/>
          <w:lang w:eastAsia="zh-CN"/>
        </w:rPr>
        <w:t>烟气测定仪</w:t>
      </w:r>
      <w:r>
        <w:rPr>
          <w:rFonts w:hint="eastAsia"/>
          <w:sz w:val="24"/>
          <w:szCs w:val="24"/>
          <w:lang w:eastAsia="zh-CN"/>
        </w:rPr>
        <w:t>1台（比选控制价：</w:t>
      </w:r>
      <w:r>
        <w:rPr>
          <w:sz w:val="24"/>
          <w:szCs w:val="24"/>
          <w:lang w:eastAsia="zh-CN"/>
        </w:rPr>
        <w:t>9</w:t>
      </w:r>
      <w:r>
        <w:rPr>
          <w:rFonts w:hint="eastAsia"/>
          <w:sz w:val="24"/>
          <w:szCs w:val="24"/>
          <w:lang w:eastAsia="zh-CN"/>
        </w:rPr>
        <w:t>万元（不含税））；</w:t>
      </w:r>
    </w:p>
    <w:p w:rsidR="009A57BA" w:rsidRDefault="009A57BA" w:rsidP="009A57BA">
      <w:pPr>
        <w:tabs>
          <w:tab w:val="left" w:pos="709"/>
        </w:tabs>
        <w:spacing w:line="360" w:lineRule="auto"/>
        <w:ind w:firstLineChars="200" w:firstLine="480"/>
        <w:rPr>
          <w:sz w:val="24"/>
          <w:szCs w:val="24"/>
          <w:lang w:eastAsia="zh-CN"/>
        </w:rPr>
      </w:pPr>
      <w:r>
        <w:rPr>
          <w:sz w:val="24"/>
          <w:szCs w:val="24"/>
          <w:lang w:eastAsia="zh-CN"/>
        </w:rPr>
        <w:t>包</w:t>
      </w:r>
      <w:r>
        <w:rPr>
          <w:rFonts w:hint="eastAsia"/>
          <w:sz w:val="24"/>
          <w:szCs w:val="24"/>
          <w:lang w:eastAsia="zh-CN"/>
        </w:rPr>
        <w:t>6：</w:t>
      </w:r>
      <w:r w:rsidRPr="009A57BA">
        <w:rPr>
          <w:rFonts w:hint="eastAsia"/>
          <w:sz w:val="24"/>
          <w:szCs w:val="24"/>
          <w:lang w:eastAsia="zh-CN"/>
        </w:rPr>
        <w:t>紫外可见分光光度计</w:t>
      </w:r>
      <w:r>
        <w:rPr>
          <w:rFonts w:hint="eastAsia"/>
          <w:sz w:val="24"/>
          <w:szCs w:val="24"/>
          <w:lang w:eastAsia="zh-CN"/>
        </w:rPr>
        <w:t>1台（比选控制价：</w:t>
      </w:r>
      <w:r>
        <w:rPr>
          <w:sz w:val="24"/>
          <w:szCs w:val="24"/>
          <w:lang w:eastAsia="zh-CN"/>
        </w:rPr>
        <w:t>18</w:t>
      </w:r>
      <w:r>
        <w:rPr>
          <w:rFonts w:hint="eastAsia"/>
          <w:sz w:val="24"/>
          <w:szCs w:val="24"/>
          <w:lang w:eastAsia="zh-CN"/>
        </w:rPr>
        <w:t>万元（不含税））。</w:t>
      </w:r>
    </w:p>
    <w:p w:rsidR="009A57BA" w:rsidRDefault="009A57BA" w:rsidP="009A57BA">
      <w:pPr>
        <w:tabs>
          <w:tab w:val="left" w:pos="709"/>
        </w:tabs>
        <w:spacing w:line="360" w:lineRule="auto"/>
        <w:ind w:firstLineChars="200" w:firstLine="482"/>
        <w:rPr>
          <w:b/>
          <w:bCs/>
          <w:sz w:val="24"/>
          <w:szCs w:val="24"/>
          <w:lang w:eastAsia="zh-CN"/>
        </w:rPr>
      </w:pPr>
      <w:r>
        <w:rPr>
          <w:rFonts w:hint="eastAsia"/>
          <w:b/>
          <w:bCs/>
          <w:sz w:val="24"/>
          <w:szCs w:val="24"/>
          <w:lang w:eastAsia="zh-CN"/>
        </w:rPr>
        <w:t>参选人可参选多个合同包，但必须对同一个合同包中的全部物资进行参选，不得仅对合同包中的部分物资进行参选，否则其比选文件将被拒绝。</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9E1EE0" w:rsidRDefault="009E1EE0" w:rsidP="009E1EE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E1EE0" w:rsidRDefault="009E1EE0" w:rsidP="009E1EE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E1EE0" w:rsidRDefault="009E1EE0" w:rsidP="009E1EE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9E1EE0" w:rsidRDefault="009E1EE0" w:rsidP="009E1EE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4.本案不接受联合体参选。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B84ABE">
        <w:rPr>
          <w:color w:val="000000" w:themeColor="text1"/>
          <w:sz w:val="24"/>
          <w:szCs w:val="24"/>
          <w:lang w:eastAsia="zh-CN"/>
        </w:rPr>
        <w:t>2</w:t>
      </w:r>
      <w:r>
        <w:rPr>
          <w:rFonts w:hint="eastAsia"/>
          <w:color w:val="000000" w:themeColor="text1"/>
          <w:sz w:val="24"/>
          <w:szCs w:val="24"/>
          <w:lang w:eastAsia="zh-CN"/>
        </w:rPr>
        <w:t>月</w:t>
      </w:r>
      <w:r w:rsidR="00B84ABE">
        <w:rPr>
          <w:color w:val="000000" w:themeColor="text1"/>
          <w:sz w:val="24"/>
          <w:szCs w:val="24"/>
          <w:lang w:eastAsia="zh-CN"/>
        </w:rPr>
        <w:t>2</w:t>
      </w:r>
      <w:r w:rsidR="00651A97">
        <w:rPr>
          <w:color w:val="000000" w:themeColor="text1"/>
          <w:sz w:val="24"/>
          <w:szCs w:val="24"/>
          <w:lang w:eastAsia="zh-CN"/>
        </w:rPr>
        <w:t>6</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B84ABE">
        <w:rPr>
          <w:color w:val="000000" w:themeColor="text1"/>
          <w:sz w:val="24"/>
          <w:szCs w:val="24"/>
          <w:lang w:eastAsia="zh-CN"/>
        </w:rPr>
        <w:t>3</w:t>
      </w:r>
      <w:r>
        <w:rPr>
          <w:rFonts w:hint="eastAsia"/>
          <w:color w:val="000000" w:themeColor="text1"/>
          <w:sz w:val="24"/>
          <w:szCs w:val="24"/>
          <w:lang w:eastAsia="zh-CN"/>
        </w:rPr>
        <w:t>月</w:t>
      </w:r>
      <w:r w:rsidR="00651A97">
        <w:rPr>
          <w:color w:val="000000" w:themeColor="text1"/>
          <w:sz w:val="24"/>
          <w:szCs w:val="24"/>
          <w:lang w:eastAsia="zh-CN"/>
        </w:rPr>
        <w:t>6</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w:t>
      </w:r>
      <w:r w:rsidR="001E2420" w:rsidRPr="005968EC">
        <w:rPr>
          <w:rFonts w:hint="eastAsia"/>
          <w:b/>
          <w:color w:val="FF0000"/>
          <w:sz w:val="24"/>
          <w:szCs w:val="24"/>
          <w:lang w:eastAsia="zh-CN"/>
        </w:rPr>
        <w:t>（需标注出参与项目）</w:t>
      </w:r>
      <w:r>
        <w:rPr>
          <w:rFonts w:hint="eastAsia"/>
          <w:color w:val="000000" w:themeColor="text1"/>
          <w:sz w:val="24"/>
          <w:szCs w:val="24"/>
          <w:lang w:eastAsia="zh-CN"/>
        </w:rPr>
        <w:t>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sidR="001E2420">
        <w:rPr>
          <w:rFonts w:ascii="Times New Roman" w:hAnsi="Times New Roman" w:cs="Times New Roman"/>
          <w:iCs/>
        </w:rPr>
        <w:t>3</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1B16DC">
        <w:rPr>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1E2420" w:rsidRDefault="00986280" w:rsidP="009704AD">
      <w:pPr>
        <w:pStyle w:val="aa"/>
        <w:spacing w:line="360" w:lineRule="auto"/>
        <w:ind w:right="121"/>
        <w:jc w:val="both"/>
        <w:rPr>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1E2420">
        <w:rPr>
          <w:rFonts w:hint="eastAsia"/>
          <w:color w:val="000000" w:themeColor="text1"/>
          <w:lang w:eastAsia="zh-CN"/>
        </w:rPr>
        <w:t>：参与</w:t>
      </w:r>
      <w:r w:rsidR="001E2420">
        <w:rPr>
          <w:color w:val="000000" w:themeColor="text1"/>
          <w:lang w:eastAsia="zh-CN"/>
        </w:rPr>
        <w:t>包</w:t>
      </w:r>
      <w:r w:rsidR="001E2420">
        <w:rPr>
          <w:rFonts w:hint="eastAsia"/>
          <w:color w:val="000000" w:themeColor="text1"/>
          <w:lang w:eastAsia="zh-CN"/>
        </w:rPr>
        <w:t>3项目应缴纳人民币1</w:t>
      </w:r>
      <w:r w:rsidR="005968EC">
        <w:rPr>
          <w:color w:val="000000" w:themeColor="text1"/>
          <w:lang w:eastAsia="zh-CN"/>
        </w:rPr>
        <w:t>1</w:t>
      </w:r>
      <w:r w:rsidR="001E2420">
        <w:rPr>
          <w:color w:val="000000" w:themeColor="text1"/>
          <w:lang w:eastAsia="zh-CN"/>
        </w:rPr>
        <w:t>000元整</w:t>
      </w:r>
      <w:r w:rsidR="001E2420">
        <w:rPr>
          <w:rFonts w:hint="eastAsia"/>
          <w:lang w:eastAsia="zh-CN"/>
        </w:rPr>
        <w:t>；</w:t>
      </w:r>
      <w:r w:rsidR="001E2420">
        <w:rPr>
          <w:rFonts w:hint="eastAsia"/>
          <w:color w:val="000000" w:themeColor="text1"/>
          <w:lang w:eastAsia="zh-CN"/>
        </w:rPr>
        <w:t>参与</w:t>
      </w:r>
      <w:r w:rsidR="001E2420">
        <w:rPr>
          <w:color w:val="000000" w:themeColor="text1"/>
          <w:lang w:eastAsia="zh-CN"/>
        </w:rPr>
        <w:t>包4</w:t>
      </w:r>
      <w:r w:rsidR="001E2420">
        <w:rPr>
          <w:rFonts w:hint="eastAsia"/>
          <w:color w:val="000000" w:themeColor="text1"/>
          <w:lang w:eastAsia="zh-CN"/>
        </w:rPr>
        <w:t>项目应</w:t>
      </w:r>
      <w:r w:rsidR="001E2420">
        <w:rPr>
          <w:rFonts w:hint="eastAsia"/>
          <w:lang w:eastAsia="zh-CN"/>
        </w:rPr>
        <w:t>缴纳人民币1</w:t>
      </w:r>
      <w:r w:rsidR="005968EC">
        <w:rPr>
          <w:lang w:eastAsia="zh-CN"/>
        </w:rPr>
        <w:t>2</w:t>
      </w:r>
      <w:r w:rsidR="001E2420">
        <w:rPr>
          <w:lang w:eastAsia="zh-CN"/>
        </w:rPr>
        <w:t>00元整</w:t>
      </w:r>
      <w:r w:rsidR="001E2420">
        <w:rPr>
          <w:rFonts w:hint="eastAsia"/>
          <w:lang w:eastAsia="zh-CN"/>
        </w:rPr>
        <w:t>；</w:t>
      </w:r>
      <w:r w:rsidR="001E2420">
        <w:rPr>
          <w:rFonts w:hint="eastAsia"/>
          <w:color w:val="000000" w:themeColor="text1"/>
          <w:lang w:eastAsia="zh-CN"/>
        </w:rPr>
        <w:t>参与</w:t>
      </w:r>
      <w:r w:rsidR="001E2420">
        <w:rPr>
          <w:color w:val="000000" w:themeColor="text1"/>
          <w:lang w:eastAsia="zh-CN"/>
        </w:rPr>
        <w:t>包5</w:t>
      </w:r>
      <w:r w:rsidR="001E2420">
        <w:rPr>
          <w:rFonts w:hint="eastAsia"/>
          <w:color w:val="000000" w:themeColor="text1"/>
          <w:lang w:eastAsia="zh-CN"/>
        </w:rPr>
        <w:t>项目应</w:t>
      </w:r>
      <w:r w:rsidR="001E2420">
        <w:rPr>
          <w:rFonts w:hint="eastAsia"/>
          <w:lang w:eastAsia="zh-CN"/>
        </w:rPr>
        <w:t>缴纳人民币1</w:t>
      </w:r>
      <w:r w:rsidR="001E2420">
        <w:rPr>
          <w:lang w:eastAsia="zh-CN"/>
        </w:rPr>
        <w:t>800元整</w:t>
      </w:r>
      <w:r w:rsidR="001E2420">
        <w:rPr>
          <w:rFonts w:hint="eastAsia"/>
          <w:lang w:eastAsia="zh-CN"/>
        </w:rPr>
        <w:t>；</w:t>
      </w:r>
      <w:r w:rsidR="001E2420">
        <w:rPr>
          <w:rFonts w:hint="eastAsia"/>
          <w:color w:val="000000" w:themeColor="text1"/>
          <w:lang w:eastAsia="zh-CN"/>
        </w:rPr>
        <w:t>参与</w:t>
      </w:r>
      <w:r w:rsidR="001E2420">
        <w:rPr>
          <w:color w:val="000000" w:themeColor="text1"/>
          <w:lang w:eastAsia="zh-CN"/>
        </w:rPr>
        <w:t>包6</w:t>
      </w:r>
      <w:r w:rsidR="001E2420">
        <w:rPr>
          <w:rFonts w:hint="eastAsia"/>
          <w:color w:val="000000" w:themeColor="text1"/>
          <w:lang w:eastAsia="zh-CN"/>
        </w:rPr>
        <w:t>项目应</w:t>
      </w:r>
      <w:r w:rsidR="001E2420">
        <w:rPr>
          <w:rFonts w:hint="eastAsia"/>
          <w:lang w:eastAsia="zh-CN"/>
        </w:rPr>
        <w:t>缴纳人民币3</w:t>
      </w:r>
      <w:r w:rsidR="001E2420">
        <w:rPr>
          <w:lang w:eastAsia="zh-CN"/>
        </w:rPr>
        <w:t>600元整</w:t>
      </w:r>
      <w:r w:rsidR="001E2420">
        <w:rPr>
          <w:rFonts w:hint="eastAsia"/>
          <w:lang w:eastAsia="zh-CN"/>
        </w:rPr>
        <w:t>（若参加多项，则将缴纳金额叠加）。</w:t>
      </w:r>
    </w:p>
    <w:p w:rsidR="009704AD" w:rsidRDefault="009704AD" w:rsidP="001E2420">
      <w:pPr>
        <w:pStyle w:val="aa"/>
        <w:spacing w:line="360" w:lineRule="auto"/>
        <w:ind w:right="121" w:firstLineChars="300" w:firstLine="720"/>
        <w:jc w:val="both"/>
        <w:rPr>
          <w:color w:val="000000" w:themeColor="text1"/>
          <w:lang w:eastAsia="zh-CN"/>
        </w:rPr>
      </w:pP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9A57BA">
        <w:rPr>
          <w:rFonts w:hint="eastAsia"/>
          <w:lang w:eastAsia="zh-CN"/>
        </w:rPr>
        <w:t>一批化验设备采购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邮箱：ypwei@fhcpec.com.cn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17483A" w:rsidRPr="0017483A">
        <w:rPr>
          <w:rFonts w:hint="eastAsia"/>
          <w:color w:val="000000" w:themeColor="text1"/>
          <w:lang w:eastAsia="zh-CN"/>
        </w:rPr>
        <w:t>化验检测团队</w:t>
      </w:r>
      <w:r w:rsidR="009A57BA">
        <w:rPr>
          <w:rFonts w:hint="eastAsia"/>
          <w:color w:val="000000" w:themeColor="text1"/>
          <w:lang w:eastAsia="zh-CN"/>
        </w:rPr>
        <w:t>一批化验设备采购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p>
    <w:p w:rsidR="0017483A" w:rsidRDefault="00E457C1" w:rsidP="0017483A">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17483A">
        <w:rPr>
          <w:rFonts w:hint="eastAsia"/>
          <w:lang w:eastAsia="zh-CN"/>
        </w:rPr>
        <w:t xml:space="preserve">何 </w:t>
      </w:r>
      <w:r w:rsidR="0017483A">
        <w:rPr>
          <w:lang w:eastAsia="zh-CN"/>
        </w:rPr>
        <w:t xml:space="preserve"> </w:t>
      </w:r>
      <w:r w:rsidR="0017483A">
        <w:rPr>
          <w:rFonts w:hint="eastAsia"/>
          <w:lang w:eastAsia="zh-CN"/>
        </w:rPr>
        <w:t>欣</w:t>
      </w:r>
      <w:r w:rsidR="0017483A">
        <w:rPr>
          <w:lang w:eastAsia="zh-CN"/>
        </w:rPr>
        <w:t xml:space="preserve"> </w:t>
      </w:r>
      <w:r w:rsidR="0017483A" w:rsidRPr="0017483A">
        <w:rPr>
          <w:lang w:eastAsia="zh-CN"/>
        </w:rPr>
        <w:t>0596-6311226</w:t>
      </w:r>
      <w:r w:rsidR="0017483A">
        <w:rPr>
          <w:rFonts w:hint="eastAsia"/>
          <w:lang w:eastAsia="zh-CN"/>
        </w:rPr>
        <w:t>，</w:t>
      </w:r>
      <w:r w:rsidR="0017483A">
        <w:rPr>
          <w:lang w:eastAsia="zh-CN"/>
        </w:rPr>
        <w:t xml:space="preserve">xhe@fhcpec.com.cn  </w:t>
      </w:r>
      <w:r w:rsidR="00B71079">
        <w:rPr>
          <w:rFonts w:hint="eastAsia"/>
          <w:lang w:eastAsia="zh-CN"/>
        </w:rPr>
        <w:t xml:space="preserve"> </w:t>
      </w:r>
    </w:p>
    <w:p w:rsidR="00D7766D" w:rsidRDefault="009B2858" w:rsidP="0017483A">
      <w:pPr>
        <w:pStyle w:val="aa"/>
        <w:spacing w:line="360" w:lineRule="auto"/>
        <w:ind w:right="121" w:firstLineChars="900" w:firstLine="2160"/>
        <w:jc w:val="both"/>
        <w:rPr>
          <w:lang w:eastAsia="zh-CN"/>
        </w:rPr>
      </w:pPr>
      <w:r>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1E2420" w:rsidRDefault="001E2420" w:rsidP="001E24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1E2420" w:rsidRDefault="001E2420" w:rsidP="001E24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1E2420" w:rsidRDefault="001E2420" w:rsidP="001E24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1E2420" w:rsidRDefault="001E2420" w:rsidP="001E24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4.本案不接受联合体参选。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1E2420" w:rsidRDefault="00986280" w:rsidP="001E2420">
      <w:pPr>
        <w:pStyle w:val="aa"/>
        <w:spacing w:line="360" w:lineRule="auto"/>
        <w:ind w:right="121"/>
        <w:jc w:val="both"/>
        <w:rPr>
          <w:lang w:eastAsia="zh-CN"/>
        </w:rPr>
      </w:pPr>
      <w:r>
        <w:rPr>
          <w:rFonts w:hint="eastAsia"/>
          <w:lang w:eastAsia="zh-CN"/>
        </w:rPr>
        <w:t xml:space="preserve">   </w:t>
      </w:r>
      <w:r w:rsidR="00C33AD8">
        <w:rPr>
          <w:rFonts w:hint="eastAsia"/>
          <w:lang w:eastAsia="zh-CN"/>
        </w:rPr>
        <w:t xml:space="preserve"> 1.</w:t>
      </w:r>
      <w:r w:rsidR="001E2420" w:rsidRPr="001E2420">
        <w:rPr>
          <w:rFonts w:hint="eastAsia"/>
          <w:lang w:eastAsia="zh-CN"/>
        </w:rPr>
        <w:t xml:space="preserve"> </w:t>
      </w:r>
      <w:r w:rsidR="001E2420">
        <w:rPr>
          <w:rFonts w:hint="eastAsia"/>
          <w:lang w:eastAsia="zh-CN"/>
        </w:rPr>
        <w:t>参选单位应缴纳参选保证金，保证金</w:t>
      </w:r>
      <w:r w:rsidR="001E2420">
        <w:rPr>
          <w:rFonts w:hint="eastAsia"/>
          <w:color w:val="000000" w:themeColor="text1"/>
          <w:lang w:eastAsia="zh-CN"/>
        </w:rPr>
        <w:t>金额：参与</w:t>
      </w:r>
      <w:r w:rsidR="001E2420">
        <w:rPr>
          <w:color w:val="000000" w:themeColor="text1"/>
          <w:lang w:eastAsia="zh-CN"/>
        </w:rPr>
        <w:t>包</w:t>
      </w:r>
      <w:r w:rsidR="001E2420">
        <w:rPr>
          <w:rFonts w:hint="eastAsia"/>
          <w:color w:val="000000" w:themeColor="text1"/>
          <w:lang w:eastAsia="zh-CN"/>
        </w:rPr>
        <w:t>3项目应缴纳人民币1</w:t>
      </w:r>
      <w:r w:rsidR="005968EC">
        <w:rPr>
          <w:color w:val="000000" w:themeColor="text1"/>
          <w:lang w:eastAsia="zh-CN"/>
        </w:rPr>
        <w:t>1</w:t>
      </w:r>
      <w:r w:rsidR="001E2420">
        <w:rPr>
          <w:color w:val="000000" w:themeColor="text1"/>
          <w:lang w:eastAsia="zh-CN"/>
        </w:rPr>
        <w:t>000元整</w:t>
      </w:r>
      <w:r w:rsidR="001E2420">
        <w:rPr>
          <w:rFonts w:hint="eastAsia"/>
          <w:lang w:eastAsia="zh-CN"/>
        </w:rPr>
        <w:t>；</w:t>
      </w:r>
      <w:r w:rsidR="001E2420">
        <w:rPr>
          <w:rFonts w:hint="eastAsia"/>
          <w:color w:val="000000" w:themeColor="text1"/>
          <w:lang w:eastAsia="zh-CN"/>
        </w:rPr>
        <w:t>参与</w:t>
      </w:r>
      <w:r w:rsidR="001E2420">
        <w:rPr>
          <w:color w:val="000000" w:themeColor="text1"/>
          <w:lang w:eastAsia="zh-CN"/>
        </w:rPr>
        <w:t>包4</w:t>
      </w:r>
      <w:r w:rsidR="001E2420">
        <w:rPr>
          <w:rFonts w:hint="eastAsia"/>
          <w:color w:val="000000" w:themeColor="text1"/>
          <w:lang w:eastAsia="zh-CN"/>
        </w:rPr>
        <w:t>项目应</w:t>
      </w:r>
      <w:r w:rsidR="001E2420">
        <w:rPr>
          <w:rFonts w:hint="eastAsia"/>
          <w:lang w:eastAsia="zh-CN"/>
        </w:rPr>
        <w:t>缴纳人民币1</w:t>
      </w:r>
      <w:r w:rsidR="005968EC">
        <w:rPr>
          <w:lang w:eastAsia="zh-CN"/>
        </w:rPr>
        <w:t>2</w:t>
      </w:r>
      <w:r w:rsidR="001E2420">
        <w:rPr>
          <w:lang w:eastAsia="zh-CN"/>
        </w:rPr>
        <w:t>00元整</w:t>
      </w:r>
      <w:r w:rsidR="001E2420">
        <w:rPr>
          <w:rFonts w:hint="eastAsia"/>
          <w:lang w:eastAsia="zh-CN"/>
        </w:rPr>
        <w:t>；</w:t>
      </w:r>
      <w:r w:rsidR="001E2420">
        <w:rPr>
          <w:rFonts w:hint="eastAsia"/>
          <w:color w:val="000000" w:themeColor="text1"/>
          <w:lang w:eastAsia="zh-CN"/>
        </w:rPr>
        <w:t>参与</w:t>
      </w:r>
      <w:r w:rsidR="001E2420">
        <w:rPr>
          <w:color w:val="000000" w:themeColor="text1"/>
          <w:lang w:eastAsia="zh-CN"/>
        </w:rPr>
        <w:t>包5</w:t>
      </w:r>
      <w:r w:rsidR="001E2420">
        <w:rPr>
          <w:rFonts w:hint="eastAsia"/>
          <w:color w:val="000000" w:themeColor="text1"/>
          <w:lang w:eastAsia="zh-CN"/>
        </w:rPr>
        <w:t>项目应</w:t>
      </w:r>
      <w:r w:rsidR="001E2420">
        <w:rPr>
          <w:rFonts w:hint="eastAsia"/>
          <w:lang w:eastAsia="zh-CN"/>
        </w:rPr>
        <w:t>缴纳人民币1</w:t>
      </w:r>
      <w:r w:rsidR="001E2420">
        <w:rPr>
          <w:lang w:eastAsia="zh-CN"/>
        </w:rPr>
        <w:t>800元整</w:t>
      </w:r>
      <w:r w:rsidR="001E2420">
        <w:rPr>
          <w:rFonts w:hint="eastAsia"/>
          <w:lang w:eastAsia="zh-CN"/>
        </w:rPr>
        <w:t>；</w:t>
      </w:r>
      <w:r w:rsidR="001E2420">
        <w:rPr>
          <w:rFonts w:hint="eastAsia"/>
          <w:color w:val="000000" w:themeColor="text1"/>
          <w:lang w:eastAsia="zh-CN"/>
        </w:rPr>
        <w:t>参与</w:t>
      </w:r>
      <w:r w:rsidR="001E2420">
        <w:rPr>
          <w:color w:val="000000" w:themeColor="text1"/>
          <w:lang w:eastAsia="zh-CN"/>
        </w:rPr>
        <w:t>包6</w:t>
      </w:r>
      <w:r w:rsidR="001E2420">
        <w:rPr>
          <w:rFonts w:hint="eastAsia"/>
          <w:color w:val="000000" w:themeColor="text1"/>
          <w:lang w:eastAsia="zh-CN"/>
        </w:rPr>
        <w:t>项目应</w:t>
      </w:r>
      <w:r w:rsidR="001E2420">
        <w:rPr>
          <w:rFonts w:hint="eastAsia"/>
          <w:lang w:eastAsia="zh-CN"/>
        </w:rPr>
        <w:t>缴纳人民币3</w:t>
      </w:r>
      <w:r w:rsidR="001E2420">
        <w:rPr>
          <w:lang w:eastAsia="zh-CN"/>
        </w:rPr>
        <w:t>600元整</w:t>
      </w:r>
      <w:r w:rsidR="001E2420">
        <w:rPr>
          <w:rFonts w:hint="eastAsia"/>
          <w:lang w:eastAsia="zh-CN"/>
        </w:rPr>
        <w:t>（若参加多项，则将缴纳金额叠加）。</w:t>
      </w:r>
    </w:p>
    <w:p w:rsidR="00C33AD8" w:rsidRPr="001E2420" w:rsidRDefault="001E2420" w:rsidP="001E2420">
      <w:pPr>
        <w:pStyle w:val="aa"/>
        <w:spacing w:line="360" w:lineRule="auto"/>
        <w:ind w:right="121" w:firstLineChars="300" w:firstLine="720"/>
        <w:jc w:val="both"/>
        <w:rPr>
          <w:color w:val="000000" w:themeColor="text1"/>
          <w:lang w:eastAsia="zh-CN"/>
        </w:rPr>
      </w:pP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9A57BA">
        <w:rPr>
          <w:rFonts w:hint="eastAsia"/>
          <w:color w:val="000000" w:themeColor="text1"/>
          <w:lang w:eastAsia="zh-CN"/>
        </w:rPr>
        <w:t>一批化验设备采购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w:t>
      </w:r>
      <w:r>
        <w:rPr>
          <w:rFonts w:hint="eastAsia"/>
          <w:b w:val="0"/>
          <w:color w:val="000000" w:themeColor="text1"/>
          <w:spacing w:val="4"/>
          <w:lang w:eastAsia="zh-CN"/>
        </w:rPr>
        <w:lastRenderedPageBreak/>
        <w:t>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CF63D5" w:rsidRPr="00CF63D5" w:rsidRDefault="00986280" w:rsidP="00CF63D5">
      <w:pPr>
        <w:pStyle w:val="aa"/>
        <w:spacing w:line="360" w:lineRule="auto"/>
        <w:ind w:right="121" w:firstLineChars="200" w:firstLine="482"/>
        <w:jc w:val="both"/>
        <w:rPr>
          <w:b/>
          <w:color w:val="FF0000"/>
          <w:lang w:eastAsia="zh-CN"/>
        </w:rPr>
      </w:pPr>
      <w:r>
        <w:rPr>
          <w:rFonts w:hint="eastAsia"/>
          <w:b/>
          <w:color w:val="FF0000"/>
          <w:lang w:eastAsia="zh-CN"/>
        </w:rPr>
        <w:t>本项目</w:t>
      </w:r>
      <w:r w:rsidR="00CF63D5" w:rsidRPr="00CF63D5">
        <w:rPr>
          <w:rFonts w:hint="eastAsia"/>
          <w:b/>
          <w:color w:val="FF0000"/>
          <w:lang w:eastAsia="zh-CN"/>
        </w:rPr>
        <w:t>包</w:t>
      </w:r>
      <w:r w:rsidR="00CF63D5" w:rsidRPr="00CF63D5">
        <w:rPr>
          <w:b/>
          <w:color w:val="FF0000"/>
          <w:lang w:eastAsia="zh-CN"/>
        </w:rPr>
        <w:t>1：苯类产品蒸发残留量检测器1台（比选控制价：1万元（不含税））；</w:t>
      </w:r>
    </w:p>
    <w:p w:rsidR="00CF63D5" w:rsidRPr="00CF63D5" w:rsidRDefault="00CF63D5" w:rsidP="00CF63D5">
      <w:pPr>
        <w:pStyle w:val="aa"/>
        <w:spacing w:line="360" w:lineRule="auto"/>
        <w:ind w:right="121" w:firstLineChars="200" w:firstLine="482"/>
        <w:jc w:val="both"/>
        <w:rPr>
          <w:b/>
          <w:color w:val="FF0000"/>
          <w:lang w:eastAsia="zh-CN"/>
        </w:rPr>
      </w:pPr>
      <w:r w:rsidRPr="00CF63D5">
        <w:rPr>
          <w:rFonts w:hint="eastAsia"/>
          <w:b/>
          <w:color w:val="FF0000"/>
          <w:lang w:eastAsia="zh-CN"/>
        </w:rPr>
        <w:t>包</w:t>
      </w:r>
      <w:r w:rsidRPr="00CF63D5">
        <w:rPr>
          <w:b/>
          <w:color w:val="FF0000"/>
          <w:lang w:eastAsia="zh-CN"/>
        </w:rPr>
        <w:t>2：磁力搅拌加热器1台（比选控制价：1万元（不含税））；</w:t>
      </w:r>
    </w:p>
    <w:p w:rsidR="00CF63D5" w:rsidRPr="00CF63D5" w:rsidRDefault="00CF63D5" w:rsidP="00CF63D5">
      <w:pPr>
        <w:pStyle w:val="aa"/>
        <w:spacing w:line="360" w:lineRule="auto"/>
        <w:ind w:right="121" w:firstLineChars="200" w:firstLine="482"/>
        <w:jc w:val="both"/>
        <w:rPr>
          <w:b/>
          <w:color w:val="FF0000"/>
          <w:lang w:eastAsia="zh-CN"/>
        </w:rPr>
      </w:pPr>
      <w:r w:rsidRPr="00CF63D5">
        <w:rPr>
          <w:rFonts w:hint="eastAsia"/>
          <w:b/>
          <w:color w:val="FF0000"/>
          <w:lang w:eastAsia="zh-CN"/>
        </w:rPr>
        <w:t>包</w:t>
      </w:r>
      <w:r w:rsidRPr="00CF63D5">
        <w:rPr>
          <w:b/>
          <w:color w:val="FF0000"/>
          <w:lang w:eastAsia="zh-CN"/>
        </w:rPr>
        <w:t>3：快速炼厂气分析仪1台（比选控制价：55万元（不含税））；</w:t>
      </w:r>
    </w:p>
    <w:p w:rsidR="00CF63D5" w:rsidRPr="00CF63D5" w:rsidRDefault="00CF63D5" w:rsidP="00CF63D5">
      <w:pPr>
        <w:pStyle w:val="aa"/>
        <w:spacing w:line="360" w:lineRule="auto"/>
        <w:ind w:right="121" w:firstLineChars="200" w:firstLine="482"/>
        <w:jc w:val="both"/>
        <w:rPr>
          <w:b/>
          <w:color w:val="FF0000"/>
          <w:lang w:eastAsia="zh-CN"/>
        </w:rPr>
      </w:pPr>
      <w:r w:rsidRPr="00CF63D5">
        <w:rPr>
          <w:rFonts w:hint="eastAsia"/>
          <w:b/>
          <w:color w:val="FF0000"/>
          <w:lang w:eastAsia="zh-CN"/>
        </w:rPr>
        <w:t>包</w:t>
      </w:r>
      <w:r w:rsidRPr="00CF63D5">
        <w:rPr>
          <w:b/>
          <w:color w:val="FF0000"/>
          <w:lang w:eastAsia="zh-CN"/>
        </w:rPr>
        <w:t>4：烟尘采样器1台、防爆大气采样器2台（比选控制价：5.8万元（不含税））；</w:t>
      </w:r>
    </w:p>
    <w:p w:rsidR="00CF63D5" w:rsidRPr="00CF63D5" w:rsidRDefault="00CF63D5" w:rsidP="00CF63D5">
      <w:pPr>
        <w:pStyle w:val="aa"/>
        <w:spacing w:line="360" w:lineRule="auto"/>
        <w:ind w:right="121" w:firstLineChars="200" w:firstLine="482"/>
        <w:jc w:val="both"/>
        <w:rPr>
          <w:b/>
          <w:color w:val="FF0000"/>
          <w:lang w:eastAsia="zh-CN"/>
        </w:rPr>
      </w:pPr>
      <w:r w:rsidRPr="00CF63D5">
        <w:rPr>
          <w:rFonts w:hint="eastAsia"/>
          <w:b/>
          <w:color w:val="FF0000"/>
          <w:lang w:eastAsia="zh-CN"/>
        </w:rPr>
        <w:t>包</w:t>
      </w:r>
      <w:r w:rsidRPr="00CF63D5">
        <w:rPr>
          <w:b/>
          <w:color w:val="FF0000"/>
          <w:lang w:eastAsia="zh-CN"/>
        </w:rPr>
        <w:t>5：烟气测定仪1台（比选控制价：9万元（不含税））；</w:t>
      </w:r>
    </w:p>
    <w:p w:rsidR="00CF63D5" w:rsidRDefault="00CF63D5" w:rsidP="00CF63D5">
      <w:pPr>
        <w:pStyle w:val="aa"/>
        <w:spacing w:line="360" w:lineRule="auto"/>
        <w:ind w:right="121" w:firstLineChars="200" w:firstLine="482"/>
        <w:jc w:val="both"/>
        <w:rPr>
          <w:b/>
          <w:color w:val="FF0000"/>
          <w:lang w:eastAsia="zh-CN"/>
        </w:rPr>
      </w:pPr>
      <w:r w:rsidRPr="00CF63D5">
        <w:rPr>
          <w:rFonts w:hint="eastAsia"/>
          <w:b/>
          <w:color w:val="FF0000"/>
          <w:lang w:eastAsia="zh-CN"/>
        </w:rPr>
        <w:t>包</w:t>
      </w:r>
      <w:r w:rsidRPr="00CF63D5">
        <w:rPr>
          <w:b/>
          <w:color w:val="FF0000"/>
          <w:lang w:eastAsia="zh-CN"/>
        </w:rPr>
        <w:t>6：紫外可见分光光度计1台（比选控制价：18万元（不含税））。</w:t>
      </w:r>
    </w:p>
    <w:p w:rsidR="00D7766D" w:rsidRDefault="00986280" w:rsidP="00CF63D5">
      <w:pPr>
        <w:pStyle w:val="aa"/>
        <w:spacing w:line="360" w:lineRule="auto"/>
        <w:ind w:right="121" w:firstLineChars="200" w:firstLine="480"/>
        <w:jc w:val="both"/>
        <w:rPr>
          <w:lang w:eastAsia="zh-CN"/>
        </w:rPr>
      </w:pPr>
      <w:r>
        <w:rPr>
          <w:rFonts w:hint="eastAsia"/>
          <w:lang w:eastAsia="zh-CN"/>
        </w:rPr>
        <w:t>参选人所填报的报价高于本项目最高限价的，其参选将被比选小组予以否决。</w:t>
      </w:r>
      <w:hyperlink r:id="rId11"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lastRenderedPageBreak/>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w:t>
      </w:r>
      <w:r w:rsidR="005D6B88">
        <w:rPr>
          <w:rStyle w:val="af7"/>
          <w:rFonts w:hint="eastAsia"/>
          <w:color w:val="FF0000"/>
          <w:lang w:eastAsia="zh-CN"/>
        </w:rPr>
        <w:t>和“翔鹭石化（漳州）有限公司”</w:t>
      </w:r>
      <w:r>
        <w:rPr>
          <w:rStyle w:val="af7"/>
          <w:rFonts w:hint="eastAsia"/>
          <w:color w:val="FF0000"/>
          <w:lang w:eastAsia="zh-CN"/>
        </w:rPr>
        <w:t>作为本合同</w:t>
      </w:r>
      <w:r w:rsidR="005D6B88">
        <w:rPr>
          <w:rStyle w:val="af7"/>
          <w:rFonts w:hint="eastAsia"/>
          <w:color w:val="FF0000"/>
          <w:lang w:eastAsia="zh-CN"/>
        </w:rPr>
        <w:t>共同</w:t>
      </w:r>
      <w:r>
        <w:rPr>
          <w:rStyle w:val="af7"/>
          <w:rFonts w:hint="eastAsia"/>
          <w:color w:val="FF0000"/>
          <w:lang w:eastAsia="zh-CN"/>
        </w:rPr>
        <w:t>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A3744B" w:rsidRPr="00A3744B">
        <w:rPr>
          <w:rFonts w:ascii="Times New Roman" w:hint="eastAsia"/>
          <w:b/>
          <w:bCs/>
          <w:lang w:eastAsia="zh-CN"/>
        </w:rPr>
        <w:t>采购合同模板详见附件</w:t>
      </w:r>
      <w:r w:rsidR="00A3744B">
        <w:rPr>
          <w:rFonts w:ascii="Times New Roman"/>
          <w:b/>
          <w:bCs/>
          <w:lang w:eastAsia="zh-CN"/>
        </w:rPr>
        <w:t>1</w:t>
      </w:r>
    </w:p>
    <w:p w:rsidR="00D7766D" w:rsidRDefault="00D7766D">
      <w:pPr>
        <w:jc w:val="center"/>
        <w:rPr>
          <w:b/>
          <w:sz w:val="44"/>
          <w:szCs w:val="44"/>
          <w:lang w:eastAsia="zh-CN"/>
        </w:rPr>
      </w:pPr>
      <w:bookmarkStart w:id="1" w:name="_Toc251742852"/>
    </w:p>
    <w:p w:rsidR="00A06911" w:rsidRPr="00A3744B" w:rsidRDefault="00A06911">
      <w:pPr>
        <w:pStyle w:val="11"/>
        <w:rPr>
          <w:b/>
          <w:bCs/>
          <w:sz w:val="24"/>
          <w:szCs w:val="24"/>
        </w:rPr>
      </w:pPr>
    </w:p>
    <w:p w:rsidR="00A06911" w:rsidRDefault="00A06911">
      <w:pPr>
        <w:pStyle w:val="11"/>
        <w:rPr>
          <w:b/>
          <w:bCs/>
          <w:sz w:val="24"/>
          <w:szCs w:val="24"/>
        </w:rPr>
      </w:pPr>
    </w:p>
    <w:p w:rsidR="00A06911" w:rsidRDefault="00A06911">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17483A">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化验检测团队</w:t>
      </w:r>
      <w:r w:rsidR="009A57BA">
        <w:rPr>
          <w:rFonts w:ascii="方正小标宋简体" w:eastAsia="方正小标宋简体" w:hAnsi="方正小标宋简体" w:cs="方正小标宋简体" w:hint="eastAsia"/>
          <w:b/>
          <w:color w:val="000000" w:themeColor="text1"/>
          <w:sz w:val="44"/>
          <w:szCs w:val="44"/>
          <w:lang w:eastAsia="zh-CN"/>
        </w:rPr>
        <w:t>一批化验设备采购</w:t>
      </w:r>
      <w:r w:rsidR="00DA1BF3" w:rsidRPr="00DA1BF3">
        <w:rPr>
          <w:rFonts w:ascii="方正小标宋简体" w:eastAsia="方正小标宋简体" w:hAnsi="方正小标宋简体" w:cs="方正小标宋简体" w:hint="eastAsia"/>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1E2420" w:rsidRDefault="001E242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E2420" w:rsidRDefault="001E242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E2420" w:rsidRDefault="001E242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E2420" w:rsidRDefault="001E242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E2420" w:rsidRDefault="001E242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E2420" w:rsidRDefault="001E242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E2420" w:rsidRDefault="001E242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1E2420" w:rsidRDefault="001E242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E2420" w:rsidRDefault="001E242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E2420" w:rsidRDefault="001E242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E2420" w:rsidRDefault="001E242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E2420" w:rsidRDefault="001E242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E2420" w:rsidRDefault="001E242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E2420" w:rsidRDefault="001E242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5D6B88">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5D6B88" w:rsidRDefault="005D6B88">
      <w:pPr>
        <w:spacing w:line="500" w:lineRule="exact"/>
        <w:jc w:val="center"/>
        <w:rPr>
          <w:b/>
          <w:bCs/>
          <w:sz w:val="36"/>
          <w:szCs w:val="36"/>
        </w:rPr>
      </w:pPr>
    </w:p>
    <w:p w:rsidR="00D7766D" w:rsidRDefault="00986280">
      <w:pPr>
        <w:spacing w:line="500" w:lineRule="exact"/>
        <w:jc w:val="center"/>
        <w:rPr>
          <w:b/>
          <w:bCs/>
          <w:sz w:val="36"/>
          <w:szCs w:val="36"/>
        </w:rPr>
      </w:pPr>
      <w:r>
        <w:rPr>
          <w:rFonts w:hint="eastAsia"/>
          <w:b/>
          <w:bCs/>
          <w:sz w:val="36"/>
          <w:szCs w:val="36"/>
        </w:rPr>
        <w:lastRenderedPageBreak/>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17483A">
        <w:rPr>
          <w:rFonts w:ascii="Times New Roman" w:hAnsi="ˎ̥" w:hint="eastAsia"/>
          <w:color w:val="000000" w:themeColor="text1"/>
          <w:sz w:val="28"/>
          <w:szCs w:val="28"/>
          <w:u w:val="single"/>
          <w:lang w:eastAsia="zh-CN"/>
        </w:rPr>
        <w:t>化验检测团队</w:t>
      </w:r>
      <w:r w:rsidR="005D6B88" w:rsidRPr="005D6B88">
        <w:rPr>
          <w:rFonts w:ascii="Times New Roman" w:hAnsi="ˎ̥" w:hint="eastAsia"/>
          <w:color w:val="000000" w:themeColor="text1"/>
          <w:sz w:val="28"/>
          <w:szCs w:val="28"/>
          <w:u w:val="single"/>
          <w:lang w:eastAsia="zh-CN"/>
        </w:rPr>
        <w:t>一批化验设备采购</w:t>
      </w:r>
      <w:r w:rsidR="005D6B88">
        <w:rPr>
          <w:rFonts w:ascii="Times New Roman" w:hAnsi="ˎ̥" w:hint="eastAsia"/>
          <w:color w:val="000000" w:themeColor="text1"/>
          <w:sz w:val="28"/>
          <w:szCs w:val="28"/>
          <w:u w:val="single"/>
          <w:lang w:eastAsia="zh-CN"/>
        </w:rPr>
        <w:t>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17483A" w:rsidP="0054092C">
      <w:pPr>
        <w:widowControl/>
        <w:autoSpaceDE/>
        <w:autoSpaceDN/>
        <w:jc w:val="center"/>
        <w:rPr>
          <w:b/>
          <w:bCs/>
          <w:sz w:val="24"/>
          <w:szCs w:val="24"/>
          <w:lang w:eastAsia="zh-CN"/>
        </w:rPr>
      </w:pPr>
      <w:r w:rsidRPr="0017483A">
        <w:rPr>
          <w:rFonts w:hint="eastAsia"/>
          <w:b/>
          <w:bCs/>
          <w:sz w:val="24"/>
          <w:szCs w:val="24"/>
          <w:lang w:eastAsia="zh-CN"/>
        </w:rPr>
        <w:t>验检测团队</w:t>
      </w:r>
      <w:r w:rsidR="009A57BA">
        <w:rPr>
          <w:rFonts w:hint="eastAsia"/>
          <w:b/>
          <w:bCs/>
          <w:sz w:val="24"/>
          <w:szCs w:val="24"/>
          <w:lang w:eastAsia="zh-CN"/>
        </w:rPr>
        <w:t>一批化验设备采购</w:t>
      </w:r>
      <w:r w:rsidR="0054092C">
        <w:rPr>
          <w:rFonts w:hint="eastAsia"/>
          <w:b/>
          <w:bCs/>
          <w:sz w:val="24"/>
          <w:szCs w:val="24"/>
          <w:lang w:eastAsia="zh-CN"/>
        </w:rPr>
        <w:t>项目价格清单</w:t>
      </w:r>
    </w:p>
    <w:tbl>
      <w:tblPr>
        <w:tblpPr w:leftFromText="180" w:rightFromText="180" w:vertAnchor="text" w:horzAnchor="page" w:tblpXSpec="center" w:tblpY="287"/>
        <w:tblOverlap w:val="never"/>
        <w:tblW w:w="8880" w:type="dxa"/>
        <w:tblLayout w:type="fixed"/>
        <w:tblCellMar>
          <w:top w:w="15" w:type="dxa"/>
          <w:left w:w="15" w:type="dxa"/>
          <w:bottom w:w="15" w:type="dxa"/>
          <w:right w:w="15" w:type="dxa"/>
        </w:tblCellMar>
        <w:tblLook w:val="04A0" w:firstRow="1" w:lastRow="0" w:firstColumn="1" w:lastColumn="0" w:noHBand="0" w:noVBand="1"/>
      </w:tblPr>
      <w:tblGrid>
        <w:gridCol w:w="984"/>
        <w:gridCol w:w="2294"/>
        <w:gridCol w:w="1505"/>
        <w:gridCol w:w="583"/>
        <w:gridCol w:w="593"/>
        <w:gridCol w:w="1001"/>
        <w:gridCol w:w="1920"/>
      </w:tblGrid>
      <w:tr w:rsidR="005D6B88" w:rsidTr="009E129F">
        <w:trPr>
          <w:trHeight w:val="645"/>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widowControl/>
              <w:jc w:val="center"/>
              <w:textAlignment w:val="center"/>
              <w:rPr>
                <w:color w:val="000000"/>
                <w:sz w:val="24"/>
                <w:szCs w:val="24"/>
                <w:lang w:eastAsia="zh-CN"/>
              </w:rPr>
            </w:pPr>
            <w:r>
              <w:rPr>
                <w:rFonts w:hint="eastAsia"/>
                <w:color w:val="000000"/>
                <w:sz w:val="24"/>
                <w:szCs w:val="24"/>
                <w:lang w:eastAsia="zh-CN" w:bidi="ar"/>
              </w:rPr>
              <w:t>序号</w:t>
            </w:r>
          </w:p>
        </w:tc>
        <w:tc>
          <w:tcPr>
            <w:tcW w:w="2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widowControl/>
              <w:jc w:val="center"/>
              <w:textAlignment w:val="center"/>
              <w:rPr>
                <w:color w:val="000000"/>
                <w:sz w:val="24"/>
                <w:szCs w:val="24"/>
              </w:rPr>
            </w:pPr>
            <w:r>
              <w:rPr>
                <w:rFonts w:hint="eastAsia"/>
                <w:color w:val="000000"/>
                <w:sz w:val="24"/>
                <w:szCs w:val="24"/>
                <w:lang w:bidi="ar"/>
              </w:rPr>
              <w:t>存货名称</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5D6B88" w:rsidRDefault="005D6B88" w:rsidP="009E129F">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widowControl/>
              <w:jc w:val="center"/>
              <w:textAlignment w:val="center"/>
              <w:rPr>
                <w:color w:val="000000"/>
                <w:sz w:val="24"/>
                <w:szCs w:val="24"/>
              </w:rPr>
            </w:pPr>
            <w:r>
              <w:rPr>
                <w:rFonts w:hint="eastAsia"/>
                <w:color w:val="000000"/>
                <w:sz w:val="24"/>
                <w:szCs w:val="24"/>
                <w:lang w:bidi="ar"/>
              </w:rPr>
              <w:t>单位</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widowControl/>
              <w:jc w:val="center"/>
              <w:textAlignment w:val="center"/>
              <w:rPr>
                <w:color w:val="000000"/>
                <w:sz w:val="24"/>
                <w:szCs w:val="24"/>
              </w:rPr>
            </w:pPr>
            <w:r>
              <w:rPr>
                <w:rFonts w:hint="eastAsia"/>
                <w:color w:val="000000"/>
                <w:sz w:val="24"/>
                <w:szCs w:val="24"/>
                <w:lang w:bidi="ar"/>
              </w:rPr>
              <w:t>数量</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rsidR="005D6B88" w:rsidTr="009E129F">
        <w:trPr>
          <w:trHeight w:val="865"/>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jc w:val="center"/>
              <w:rPr>
                <w:color w:val="000000"/>
                <w:sz w:val="21"/>
                <w:szCs w:val="21"/>
                <w:lang w:eastAsia="zh-CN"/>
              </w:rPr>
            </w:pPr>
            <w:r>
              <w:rPr>
                <w:rFonts w:hint="eastAsia"/>
                <w:color w:val="000000"/>
                <w:sz w:val="21"/>
                <w:szCs w:val="21"/>
                <w:lang w:eastAsia="zh-CN"/>
              </w:rPr>
              <w:t>1</w:t>
            </w:r>
          </w:p>
        </w:tc>
        <w:tc>
          <w:tcPr>
            <w:tcW w:w="2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jc w:val="center"/>
              <w:rPr>
                <w:color w:val="000000"/>
                <w:sz w:val="18"/>
                <w:szCs w:val="18"/>
                <w:lang w:eastAsia="zh-CN"/>
              </w:rPr>
            </w:pPr>
            <w:r>
              <w:rPr>
                <w:rFonts w:hint="eastAsia"/>
                <w:color w:val="000000"/>
                <w:sz w:val="18"/>
                <w:szCs w:val="18"/>
                <w:lang w:eastAsia="zh-CN"/>
              </w:rPr>
              <w:t>/</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5D6B88" w:rsidRDefault="005D6B88" w:rsidP="009E129F">
            <w:pPr>
              <w:jc w:val="center"/>
              <w:rPr>
                <w:color w:val="000000"/>
                <w:sz w:val="21"/>
                <w:szCs w:val="21"/>
                <w:lang w:eastAsia="zh-CN"/>
              </w:rPr>
            </w:pPr>
            <w:r>
              <w:rPr>
                <w:color w:val="000000"/>
                <w:sz w:val="21"/>
                <w:szCs w:val="21"/>
                <w:lang w:eastAsia="zh-CN"/>
              </w:rPr>
              <w:t>以签订技术协议为准</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jc w:val="center"/>
              <w:rPr>
                <w:color w:val="000000"/>
                <w:sz w:val="21"/>
                <w:szCs w:val="21"/>
                <w:lang w:eastAsia="zh-CN"/>
              </w:rPr>
            </w:pPr>
            <w:r>
              <w:rPr>
                <w:rFonts w:hint="eastAsia"/>
                <w:color w:val="000000"/>
                <w:sz w:val="21"/>
                <w:szCs w:val="21"/>
                <w:lang w:eastAsia="zh-CN"/>
              </w:rPr>
              <w:t>台</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jc w:val="center"/>
              <w:rPr>
                <w:color w:val="000000"/>
                <w:sz w:val="21"/>
                <w:szCs w:val="21"/>
                <w:lang w:eastAsia="zh-CN"/>
              </w:rPr>
            </w:pPr>
            <w:r>
              <w:rPr>
                <w:rFonts w:hint="eastAsia"/>
                <w:color w:val="000000"/>
                <w:sz w:val="21"/>
                <w:szCs w:val="21"/>
                <w:lang w:eastAsia="zh-CN"/>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jc w:val="center"/>
              <w:rPr>
                <w:color w:val="000000"/>
                <w:sz w:val="24"/>
                <w:szCs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jc w:val="center"/>
              <w:rPr>
                <w:color w:val="000000"/>
                <w:sz w:val="24"/>
                <w:szCs w:val="24"/>
              </w:rPr>
            </w:pPr>
          </w:p>
        </w:tc>
      </w:tr>
      <w:tr w:rsidR="005D6B88" w:rsidTr="009E129F">
        <w:trPr>
          <w:trHeight w:val="865"/>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jc w:val="center"/>
              <w:rPr>
                <w:rFonts w:asciiTheme="minorEastAsia" w:eastAsiaTheme="minorEastAsia" w:hAnsi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78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D6B88" w:rsidRDefault="005D6B88" w:rsidP="009E129F">
            <w:pPr>
              <w:jc w:val="center"/>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（大写）                      （小写）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CBD" w:rsidRDefault="00D46CBD">
      <w:r>
        <w:separator/>
      </w:r>
    </w:p>
  </w:endnote>
  <w:endnote w:type="continuationSeparator" w:id="0">
    <w:p w:rsidR="00D46CBD" w:rsidRDefault="00D4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1E2420" w:rsidRDefault="001E242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51A9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51A97">
              <w:rPr>
                <w:b/>
                <w:bCs/>
                <w:noProof/>
              </w:rPr>
              <w:t>21</w:t>
            </w:r>
            <w:r>
              <w:rPr>
                <w:b/>
                <w:bCs/>
                <w:sz w:val="24"/>
                <w:szCs w:val="24"/>
              </w:rPr>
              <w:fldChar w:fldCharType="end"/>
            </w:r>
          </w:p>
        </w:sdtContent>
      </w:sdt>
    </w:sdtContent>
  </w:sdt>
  <w:p w:rsidR="001E2420" w:rsidRDefault="001E242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1E2420" w:rsidRDefault="001E242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51A9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51A97">
              <w:rPr>
                <w:b/>
                <w:bCs/>
                <w:noProof/>
              </w:rPr>
              <w:t>21</w:t>
            </w:r>
            <w:r>
              <w:rPr>
                <w:b/>
                <w:bCs/>
                <w:sz w:val="24"/>
                <w:szCs w:val="24"/>
              </w:rPr>
              <w:fldChar w:fldCharType="end"/>
            </w:r>
          </w:p>
        </w:sdtContent>
      </w:sdt>
    </w:sdtContent>
  </w:sdt>
  <w:p w:rsidR="001E2420" w:rsidRDefault="001E242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420" w:rsidRDefault="001E2420">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420" w:rsidRDefault="001E2420">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1E2420" w:rsidRDefault="001E2420">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1E2420" w:rsidRDefault="001E2420">
        <w:pPr>
          <w:pStyle w:val="af"/>
          <w:jc w:val="center"/>
        </w:pPr>
        <w:r>
          <w:fldChar w:fldCharType="begin"/>
        </w:r>
        <w:r>
          <w:instrText>PAGE   \* MERGEFORMAT</w:instrText>
        </w:r>
        <w:r>
          <w:fldChar w:fldCharType="separate"/>
        </w:r>
        <w:r w:rsidR="00651A97" w:rsidRPr="00651A97">
          <w:rPr>
            <w:noProof/>
            <w:lang w:val="zh-CN" w:eastAsia="zh-CN"/>
          </w:rPr>
          <w:t>11</w:t>
        </w:r>
        <w:r>
          <w:fldChar w:fldCharType="end"/>
        </w:r>
      </w:p>
    </w:sdtContent>
  </w:sdt>
  <w:p w:rsidR="001E2420" w:rsidRDefault="001E242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CBD" w:rsidRDefault="00D46CBD">
      <w:r>
        <w:separator/>
      </w:r>
    </w:p>
  </w:footnote>
  <w:footnote w:type="continuationSeparator" w:id="0">
    <w:p w:rsidR="00D46CBD" w:rsidRDefault="00D46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04D61"/>
    <w:rsid w:val="0011079D"/>
    <w:rsid w:val="00111D19"/>
    <w:rsid w:val="00112B7E"/>
    <w:rsid w:val="001150C5"/>
    <w:rsid w:val="00115F28"/>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483A"/>
    <w:rsid w:val="001752EF"/>
    <w:rsid w:val="00177E03"/>
    <w:rsid w:val="0018116F"/>
    <w:rsid w:val="00182B0E"/>
    <w:rsid w:val="00185C58"/>
    <w:rsid w:val="001861E4"/>
    <w:rsid w:val="00190B05"/>
    <w:rsid w:val="00192465"/>
    <w:rsid w:val="00193470"/>
    <w:rsid w:val="00193817"/>
    <w:rsid w:val="00195D79"/>
    <w:rsid w:val="001A6EE7"/>
    <w:rsid w:val="001A708D"/>
    <w:rsid w:val="001B07AA"/>
    <w:rsid w:val="001B16DC"/>
    <w:rsid w:val="001B16FC"/>
    <w:rsid w:val="001B5CD4"/>
    <w:rsid w:val="001B698B"/>
    <w:rsid w:val="001C0DB4"/>
    <w:rsid w:val="001C3DDE"/>
    <w:rsid w:val="001C5843"/>
    <w:rsid w:val="001D13DE"/>
    <w:rsid w:val="001E2420"/>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56EA"/>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D1F63"/>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968EC"/>
    <w:rsid w:val="005A4D52"/>
    <w:rsid w:val="005B4BA0"/>
    <w:rsid w:val="005B6211"/>
    <w:rsid w:val="005C6A76"/>
    <w:rsid w:val="005D3128"/>
    <w:rsid w:val="005D5BB2"/>
    <w:rsid w:val="005D6B88"/>
    <w:rsid w:val="005E2211"/>
    <w:rsid w:val="005E2CFD"/>
    <w:rsid w:val="005E2EB3"/>
    <w:rsid w:val="005E7AF2"/>
    <w:rsid w:val="005F21D1"/>
    <w:rsid w:val="005F32BA"/>
    <w:rsid w:val="005F4BA4"/>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E61"/>
    <w:rsid w:val="006458DE"/>
    <w:rsid w:val="00647AA3"/>
    <w:rsid w:val="00651A97"/>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D7B3D"/>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6536"/>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92A2A"/>
    <w:rsid w:val="00895AAC"/>
    <w:rsid w:val="008A20B3"/>
    <w:rsid w:val="008A214D"/>
    <w:rsid w:val="008A28CB"/>
    <w:rsid w:val="008B4179"/>
    <w:rsid w:val="008C03C3"/>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7BA"/>
    <w:rsid w:val="009A5EA2"/>
    <w:rsid w:val="009A6FD0"/>
    <w:rsid w:val="009B054A"/>
    <w:rsid w:val="009B2858"/>
    <w:rsid w:val="009B2DE5"/>
    <w:rsid w:val="009B34B8"/>
    <w:rsid w:val="009B6ADF"/>
    <w:rsid w:val="009D0483"/>
    <w:rsid w:val="009D49AE"/>
    <w:rsid w:val="009D501D"/>
    <w:rsid w:val="009D7449"/>
    <w:rsid w:val="009E1058"/>
    <w:rsid w:val="009E1EE0"/>
    <w:rsid w:val="009E7C40"/>
    <w:rsid w:val="009E7CE3"/>
    <w:rsid w:val="009F0778"/>
    <w:rsid w:val="009F3E44"/>
    <w:rsid w:val="009F6299"/>
    <w:rsid w:val="00A06911"/>
    <w:rsid w:val="00A10F35"/>
    <w:rsid w:val="00A149E5"/>
    <w:rsid w:val="00A153FC"/>
    <w:rsid w:val="00A2542D"/>
    <w:rsid w:val="00A278D7"/>
    <w:rsid w:val="00A27AC4"/>
    <w:rsid w:val="00A27C29"/>
    <w:rsid w:val="00A33603"/>
    <w:rsid w:val="00A367C8"/>
    <w:rsid w:val="00A3744B"/>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07F03"/>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77309"/>
    <w:rsid w:val="00B81287"/>
    <w:rsid w:val="00B8397A"/>
    <w:rsid w:val="00B84124"/>
    <w:rsid w:val="00B841E6"/>
    <w:rsid w:val="00B84ABE"/>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42C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293E"/>
    <w:rsid w:val="00CD371C"/>
    <w:rsid w:val="00CD3723"/>
    <w:rsid w:val="00CD623F"/>
    <w:rsid w:val="00CD7E0C"/>
    <w:rsid w:val="00CE2DB4"/>
    <w:rsid w:val="00CE411C"/>
    <w:rsid w:val="00CE591F"/>
    <w:rsid w:val="00CF173B"/>
    <w:rsid w:val="00CF40A1"/>
    <w:rsid w:val="00CF5D87"/>
    <w:rsid w:val="00CF63D5"/>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6CBD"/>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14A1"/>
    <w:rsid w:val="00E3205C"/>
    <w:rsid w:val="00E32325"/>
    <w:rsid w:val="00E35382"/>
    <w:rsid w:val="00E37D62"/>
    <w:rsid w:val="00E410EA"/>
    <w:rsid w:val="00E457C1"/>
    <w:rsid w:val="00E50F7B"/>
    <w:rsid w:val="00E51AD5"/>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3983"/>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1E2420"/>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0DEE61-29F2-4421-AC9B-33300B22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21</Pages>
  <Words>1179</Words>
  <Characters>6725</Characters>
  <Application>Microsoft Office Word</Application>
  <DocSecurity>0</DocSecurity>
  <Lines>56</Lines>
  <Paragraphs>15</Paragraphs>
  <ScaleCrop>false</ScaleCrop>
  <Company>福化环保</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17</cp:revision>
  <dcterms:created xsi:type="dcterms:W3CDTF">2024-01-12T06:39:00Z</dcterms:created>
  <dcterms:modified xsi:type="dcterms:W3CDTF">2024-02-26T00:30:00Z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