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F73D0">
      <w:pPr>
        <w:ind w:firstLine="881"/>
        <w:jc w:val="center"/>
        <w:rPr>
          <w:rFonts w:ascii="华文宋体" w:hAnsi="华文宋体" w:eastAsia="华文宋体"/>
          <w:b/>
          <w:position w:val="30"/>
          <w:sz w:val="44"/>
          <w:szCs w:val="44"/>
        </w:rPr>
      </w:pPr>
    </w:p>
    <w:p w14:paraId="1487571F">
      <w:pPr>
        <w:ind w:firstLine="881"/>
        <w:jc w:val="center"/>
        <w:rPr>
          <w:rFonts w:ascii="华文宋体" w:hAnsi="华文宋体" w:eastAsia="华文宋体"/>
          <w:b/>
          <w:position w:val="30"/>
          <w:sz w:val="44"/>
          <w:szCs w:val="44"/>
        </w:rPr>
      </w:pPr>
    </w:p>
    <w:p w14:paraId="02D5D6DD">
      <w:pPr>
        <w:ind w:firstLine="881"/>
        <w:jc w:val="center"/>
        <w:rPr>
          <w:rFonts w:ascii="华文宋体" w:hAnsi="华文宋体" w:eastAsia="华文宋体"/>
          <w:b/>
          <w:position w:val="30"/>
          <w:sz w:val="44"/>
          <w:szCs w:val="44"/>
        </w:rPr>
      </w:pPr>
    </w:p>
    <w:p w14:paraId="3DFBD885">
      <w:pPr>
        <w:ind w:firstLine="0" w:firstLineChars="0"/>
        <w:rPr>
          <w:rFonts w:ascii="华文宋体" w:hAnsi="华文宋体" w:eastAsia="华文宋体"/>
          <w:b/>
          <w:position w:val="30"/>
          <w:sz w:val="44"/>
          <w:szCs w:val="44"/>
        </w:rPr>
      </w:pPr>
    </w:p>
    <w:p w14:paraId="25D00C63">
      <w:pPr>
        <w:ind w:firstLine="0" w:firstLineChars="0"/>
        <w:jc w:val="center"/>
        <w:rPr>
          <w:rFonts w:hint="eastAsia" w:ascii="华文宋体" w:hAnsi="华文宋体" w:eastAsia="华文宋体"/>
          <w:b/>
          <w:position w:val="30"/>
          <w:sz w:val="44"/>
          <w:szCs w:val="44"/>
          <w:lang w:eastAsia="zh-CN"/>
        </w:rPr>
      </w:pPr>
      <w:r>
        <w:rPr>
          <w:rFonts w:hint="eastAsia" w:ascii="华文宋体" w:hAnsi="华文宋体" w:eastAsia="华文宋体"/>
          <w:b/>
          <w:position w:val="30"/>
          <w:sz w:val="44"/>
          <w:szCs w:val="44"/>
        </w:rPr>
        <w:t>集装箱内衬袋水平进料系</w:t>
      </w:r>
      <w:r>
        <w:rPr>
          <w:rFonts w:hint="eastAsia" w:ascii="华文宋体" w:hAnsi="华文宋体" w:eastAsia="华文宋体"/>
          <w:b/>
          <w:position w:val="30"/>
          <w:sz w:val="44"/>
          <w:szCs w:val="44"/>
          <w:lang w:eastAsia="zh-CN"/>
        </w:rPr>
        <w:t>统优化研究</w:t>
      </w:r>
    </w:p>
    <w:p w14:paraId="7F30DBF9">
      <w:pPr>
        <w:ind w:firstLine="0" w:firstLineChars="0"/>
        <w:jc w:val="center"/>
        <w:rPr>
          <w:rFonts w:ascii="华文宋体" w:hAnsi="华文宋体" w:eastAsia="华文宋体"/>
          <w:b/>
          <w:position w:val="30"/>
          <w:sz w:val="44"/>
          <w:szCs w:val="44"/>
        </w:rPr>
      </w:pPr>
      <w:r>
        <w:rPr>
          <w:rFonts w:hint="eastAsia" w:ascii="华文宋体" w:hAnsi="华文宋体" w:eastAsia="华文宋体"/>
          <w:b/>
          <w:position w:val="30"/>
          <w:sz w:val="44"/>
          <w:szCs w:val="44"/>
          <w:lang w:eastAsia="zh-CN"/>
        </w:rPr>
        <w:t>项目设备采购、施工</w:t>
      </w:r>
      <w:r>
        <w:rPr>
          <w:rFonts w:ascii="华文宋体" w:hAnsi="华文宋体" w:eastAsia="华文宋体"/>
          <w:b/>
          <w:position w:val="30"/>
          <w:sz w:val="44"/>
          <w:szCs w:val="44"/>
        </w:rPr>
        <w:t>发包说明</w:t>
      </w:r>
    </w:p>
    <w:p w14:paraId="76A435A8">
      <w:pPr>
        <w:ind w:firstLine="881"/>
        <w:jc w:val="center"/>
        <w:rPr>
          <w:rFonts w:ascii="华文宋体" w:hAnsi="华文宋体" w:eastAsia="华文宋体"/>
          <w:b/>
          <w:position w:val="30"/>
          <w:sz w:val="44"/>
          <w:szCs w:val="44"/>
        </w:rPr>
      </w:pPr>
    </w:p>
    <w:p w14:paraId="2759A3CB">
      <w:pPr>
        <w:ind w:firstLine="881"/>
        <w:jc w:val="center"/>
        <w:rPr>
          <w:rFonts w:ascii="华文宋体" w:hAnsi="华文宋体" w:eastAsia="华文宋体"/>
          <w:b/>
          <w:position w:val="30"/>
          <w:sz w:val="44"/>
          <w:szCs w:val="44"/>
        </w:rPr>
      </w:pPr>
    </w:p>
    <w:p w14:paraId="1F7CA639">
      <w:pPr>
        <w:ind w:firstLine="881"/>
        <w:jc w:val="center"/>
        <w:rPr>
          <w:rFonts w:ascii="华文宋体" w:hAnsi="华文宋体" w:eastAsia="华文宋体"/>
          <w:b/>
          <w:position w:val="30"/>
          <w:sz w:val="44"/>
          <w:szCs w:val="44"/>
        </w:rPr>
      </w:pPr>
    </w:p>
    <w:p w14:paraId="6387D897">
      <w:pPr>
        <w:ind w:firstLine="881"/>
        <w:jc w:val="center"/>
        <w:rPr>
          <w:rFonts w:ascii="华文宋体" w:hAnsi="华文宋体" w:eastAsia="华文宋体"/>
          <w:b/>
          <w:position w:val="30"/>
          <w:sz w:val="44"/>
          <w:szCs w:val="44"/>
        </w:rPr>
      </w:pPr>
    </w:p>
    <w:p w14:paraId="067AD738">
      <w:pPr>
        <w:ind w:firstLine="881"/>
        <w:rPr>
          <w:rFonts w:ascii="华文宋体" w:hAnsi="华文宋体" w:eastAsia="华文宋体"/>
          <w:b/>
          <w:position w:val="30"/>
          <w:sz w:val="44"/>
          <w:szCs w:val="44"/>
        </w:rPr>
      </w:pPr>
    </w:p>
    <w:p w14:paraId="0AA0CE3D">
      <w:pPr>
        <w:tabs>
          <w:tab w:val="left" w:pos="1134"/>
          <w:tab w:val="left" w:pos="1985"/>
        </w:tabs>
        <w:ind w:firstLine="199" w:firstLineChars="71"/>
        <w:rPr>
          <w:rFonts w:ascii="华文宋体" w:hAnsi="华文宋体" w:eastAsia="华文宋体"/>
          <w:b/>
          <w:position w:val="30"/>
          <w:sz w:val="28"/>
          <w:szCs w:val="28"/>
        </w:rPr>
      </w:pPr>
      <w:r>
        <w:rPr>
          <w:rFonts w:hint="eastAsia" w:ascii="华文宋体" w:hAnsi="华文宋体" w:eastAsia="华文宋体"/>
          <w:b/>
          <w:position w:val="30"/>
          <w:sz w:val="28"/>
          <w:szCs w:val="28"/>
        </w:rPr>
        <w:t xml:space="preserve">  编制  经办：</w:t>
      </w:r>
      <w:r>
        <w:rPr>
          <w:rFonts w:ascii="华文宋体" w:hAnsi="华文宋体" w:eastAsia="华文宋体"/>
          <w:b/>
          <w:position w:val="30"/>
          <w:sz w:val="28"/>
          <w:szCs w:val="28"/>
        </w:rPr>
        <w:tab/>
      </w:r>
      <w:r>
        <w:rPr>
          <w:rFonts w:hint="eastAsia" w:ascii="华文宋体" w:hAnsi="华文宋体" w:eastAsia="华文宋体"/>
          <w:b/>
          <w:position w:val="30"/>
          <w:sz w:val="28"/>
          <w:szCs w:val="28"/>
        </w:rPr>
        <w:t xml:space="preserve">  </w:t>
      </w:r>
    </w:p>
    <w:p w14:paraId="441F8A1B">
      <w:pPr>
        <w:tabs>
          <w:tab w:val="left" w:pos="1134"/>
          <w:tab w:val="left" w:pos="1985"/>
        </w:tabs>
        <w:ind w:firstLine="479" w:firstLineChars="171"/>
        <w:rPr>
          <w:rFonts w:ascii="华文宋体" w:hAnsi="华文宋体" w:eastAsia="华文宋体"/>
          <w:b/>
          <w:position w:val="30"/>
          <w:sz w:val="28"/>
          <w:szCs w:val="28"/>
        </w:rPr>
      </w:pPr>
      <w:r>
        <w:rPr>
          <w:rFonts w:hint="eastAsia" w:ascii="华文宋体" w:hAnsi="华文宋体" w:eastAsia="华文宋体"/>
          <w:b/>
          <w:position w:val="30"/>
          <w:sz w:val="28"/>
          <w:szCs w:val="28"/>
        </w:rPr>
        <w:t xml:space="preserve">核 </w:t>
      </w:r>
      <w:r>
        <w:rPr>
          <w:rFonts w:ascii="华文宋体" w:hAnsi="华文宋体" w:eastAsia="华文宋体"/>
          <w:b/>
          <w:position w:val="30"/>
          <w:sz w:val="28"/>
          <w:szCs w:val="28"/>
        </w:rPr>
        <w:t xml:space="preserve">     </w:t>
      </w:r>
      <w:r>
        <w:rPr>
          <w:rFonts w:hint="eastAsia" w:ascii="华文宋体" w:hAnsi="华文宋体" w:eastAsia="华文宋体"/>
          <w:b/>
          <w:position w:val="30"/>
          <w:sz w:val="28"/>
          <w:szCs w:val="28"/>
        </w:rPr>
        <w:t>准：</w:t>
      </w:r>
    </w:p>
    <w:p w14:paraId="5CF9CCB0">
      <w:pPr>
        <w:tabs>
          <w:tab w:val="left" w:pos="1134"/>
          <w:tab w:val="left" w:pos="1985"/>
        </w:tabs>
        <w:ind w:firstLine="199" w:firstLineChars="71"/>
        <w:rPr>
          <w:rFonts w:ascii="华文宋体" w:hAnsi="华文宋体" w:eastAsia="华文宋体"/>
          <w:b/>
          <w:position w:val="30"/>
          <w:sz w:val="28"/>
          <w:szCs w:val="28"/>
        </w:rPr>
      </w:pPr>
      <w:r>
        <w:rPr>
          <w:rFonts w:hint="eastAsia" w:ascii="华文宋体" w:hAnsi="华文宋体" w:eastAsia="华文宋体"/>
          <w:b/>
          <w:position w:val="30"/>
          <w:sz w:val="28"/>
          <w:szCs w:val="28"/>
        </w:rPr>
        <w:t xml:space="preserve">  编制  部门：设备、仪表、电气、码头</w:t>
      </w:r>
      <w:r>
        <w:rPr>
          <w:rFonts w:ascii="华文宋体" w:hAnsi="华文宋体" w:eastAsia="华文宋体"/>
          <w:b/>
          <w:position w:val="30"/>
          <w:sz w:val="28"/>
          <w:szCs w:val="28"/>
        </w:rPr>
        <w:br w:type="page"/>
      </w:r>
    </w:p>
    <w:sdt>
      <w:sdtPr>
        <w:rPr>
          <w:lang w:val="zh-CN"/>
        </w:rPr>
        <w:id w:val="-1889254155"/>
        <w:docPartObj>
          <w:docPartGallery w:val="Table of Contents"/>
          <w:docPartUnique/>
        </w:docPartObj>
      </w:sdtPr>
      <w:sdtEndPr>
        <w:rPr>
          <w:b/>
          <w:bCs/>
          <w:lang w:val="zh-CN"/>
        </w:rPr>
      </w:sdtEndPr>
      <w:sdtContent>
        <w:p w14:paraId="3F926D22">
          <w:pPr>
            <w:widowControl/>
            <w:ind w:firstLine="0" w:firstLineChars="0"/>
            <w:jc w:val="center"/>
            <w:rPr>
              <w:sz w:val="52"/>
            </w:rPr>
          </w:pPr>
          <w:r>
            <w:rPr>
              <w:sz w:val="52"/>
              <w:lang w:val="zh-CN"/>
            </w:rPr>
            <w:t>目录</w:t>
          </w:r>
        </w:p>
        <w:p w14:paraId="15C8A541">
          <w:pPr>
            <w:pStyle w:val="14"/>
            <w:spacing w:line="360" w:lineRule="auto"/>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"_Toc156403235" </w:instrText>
          </w:r>
          <w:r>
            <w:fldChar w:fldCharType="separate"/>
          </w:r>
          <w:r>
            <w:rPr>
              <w:rStyle w:val="21"/>
              <w:rFonts w:hint="eastAsia"/>
              <w:color w:val="auto"/>
            </w:rPr>
            <w:t>一、</w:t>
          </w:r>
          <w:r>
            <w:rPr>
              <w:rFonts w:asciiTheme="minorHAnsi" w:hAnsiTheme="minorHAnsi" w:eastAsiaTheme="minorEastAsia" w:cstheme="minorBidi"/>
              <w:sz w:val="21"/>
              <w:szCs w:val="22"/>
            </w:rPr>
            <w:tab/>
          </w:r>
          <w:r>
            <w:rPr>
              <w:rStyle w:val="21"/>
              <w:rFonts w:hint="eastAsia"/>
              <w:color w:val="auto"/>
            </w:rPr>
            <w:t>工程概况</w:t>
          </w:r>
          <w:r>
            <w:tab/>
          </w:r>
          <w:r>
            <w:fldChar w:fldCharType="begin"/>
          </w:r>
          <w:r>
            <w:instrText xml:space="preserve"> PAGEREF _Toc156403235 \h </w:instrText>
          </w:r>
          <w:r>
            <w:fldChar w:fldCharType="separate"/>
          </w:r>
          <w:r>
            <w:t>1</w:t>
          </w:r>
          <w:r>
            <w:fldChar w:fldCharType="end"/>
          </w:r>
          <w:r>
            <w:fldChar w:fldCharType="end"/>
          </w:r>
        </w:p>
        <w:p w14:paraId="3BCD5AC1">
          <w:pPr>
            <w:pStyle w:val="14"/>
            <w:spacing w:line="360" w:lineRule="auto"/>
            <w:rPr>
              <w:rFonts w:asciiTheme="minorHAnsi" w:hAnsiTheme="minorHAnsi" w:eastAsiaTheme="minorEastAsia" w:cstheme="minorBidi"/>
              <w:sz w:val="21"/>
              <w:szCs w:val="22"/>
            </w:rPr>
          </w:pPr>
          <w:r>
            <w:fldChar w:fldCharType="begin"/>
          </w:r>
          <w:r>
            <w:instrText xml:space="preserve"> HYPERLINK \l "_Toc156403236" </w:instrText>
          </w:r>
          <w:r>
            <w:fldChar w:fldCharType="separate"/>
          </w:r>
          <w:r>
            <w:rPr>
              <w:rStyle w:val="21"/>
              <w:rFonts w:hint="eastAsia"/>
              <w:color w:val="auto"/>
            </w:rPr>
            <w:t>二、</w:t>
          </w:r>
          <w:r>
            <w:rPr>
              <w:rFonts w:asciiTheme="minorHAnsi" w:hAnsiTheme="minorHAnsi" w:eastAsiaTheme="minorEastAsia" w:cstheme="minorBidi"/>
              <w:sz w:val="21"/>
              <w:szCs w:val="22"/>
            </w:rPr>
            <w:tab/>
          </w:r>
          <w:r>
            <w:rPr>
              <w:rStyle w:val="21"/>
              <w:rFonts w:hint="eastAsia"/>
              <w:color w:val="auto"/>
            </w:rPr>
            <w:t>资质要求</w:t>
          </w:r>
          <w:r>
            <w:tab/>
          </w:r>
          <w:r>
            <w:fldChar w:fldCharType="begin"/>
          </w:r>
          <w:r>
            <w:instrText xml:space="preserve"> PAGEREF _Toc156403236 \h </w:instrText>
          </w:r>
          <w:r>
            <w:fldChar w:fldCharType="separate"/>
          </w:r>
          <w:r>
            <w:t>2</w:t>
          </w:r>
          <w:r>
            <w:fldChar w:fldCharType="end"/>
          </w:r>
          <w:r>
            <w:fldChar w:fldCharType="end"/>
          </w:r>
        </w:p>
        <w:p w14:paraId="08F7BD7C">
          <w:pPr>
            <w:pStyle w:val="14"/>
            <w:spacing w:line="360" w:lineRule="auto"/>
            <w:rPr>
              <w:rFonts w:asciiTheme="minorHAnsi" w:hAnsiTheme="minorHAnsi" w:eastAsiaTheme="minorEastAsia" w:cstheme="minorBidi"/>
              <w:sz w:val="21"/>
              <w:szCs w:val="22"/>
            </w:rPr>
          </w:pPr>
          <w:r>
            <w:fldChar w:fldCharType="begin"/>
          </w:r>
          <w:r>
            <w:instrText xml:space="preserve"> HYPERLINK \l "_Toc156403237" </w:instrText>
          </w:r>
          <w:r>
            <w:fldChar w:fldCharType="separate"/>
          </w:r>
          <w:r>
            <w:rPr>
              <w:rStyle w:val="21"/>
              <w:rFonts w:hint="eastAsia"/>
              <w:color w:val="auto"/>
            </w:rPr>
            <w:t>三、</w:t>
          </w:r>
          <w:r>
            <w:rPr>
              <w:rFonts w:asciiTheme="minorHAnsi" w:hAnsiTheme="minorHAnsi" w:eastAsiaTheme="minorEastAsia" w:cstheme="minorBidi"/>
              <w:sz w:val="21"/>
              <w:szCs w:val="22"/>
            </w:rPr>
            <w:tab/>
          </w:r>
          <w:r>
            <w:rPr>
              <w:rStyle w:val="21"/>
              <w:rFonts w:hint="eastAsia"/>
              <w:color w:val="auto"/>
            </w:rPr>
            <w:t>设备概况</w:t>
          </w:r>
          <w:r>
            <w:tab/>
          </w:r>
          <w:r>
            <w:fldChar w:fldCharType="begin"/>
          </w:r>
          <w:r>
            <w:instrText xml:space="preserve"> PAGEREF _Toc156403237 \h </w:instrText>
          </w:r>
          <w:r>
            <w:fldChar w:fldCharType="separate"/>
          </w:r>
          <w:r>
            <w:t>2</w:t>
          </w:r>
          <w:r>
            <w:fldChar w:fldCharType="end"/>
          </w:r>
          <w:r>
            <w:fldChar w:fldCharType="end"/>
          </w:r>
        </w:p>
        <w:p w14:paraId="0D63AE7C">
          <w:pPr>
            <w:pStyle w:val="14"/>
            <w:spacing w:line="360" w:lineRule="auto"/>
            <w:rPr>
              <w:rFonts w:asciiTheme="minorHAnsi" w:hAnsiTheme="minorHAnsi" w:eastAsiaTheme="minorEastAsia" w:cstheme="minorBidi"/>
              <w:sz w:val="21"/>
              <w:szCs w:val="22"/>
            </w:rPr>
          </w:pPr>
          <w:r>
            <w:fldChar w:fldCharType="begin"/>
          </w:r>
          <w:r>
            <w:instrText xml:space="preserve"> HYPERLINK \l "_Toc156403238" </w:instrText>
          </w:r>
          <w:r>
            <w:fldChar w:fldCharType="separate"/>
          </w:r>
          <w:r>
            <w:rPr>
              <w:rStyle w:val="21"/>
              <w:rFonts w:hint="eastAsia"/>
              <w:color w:val="auto"/>
            </w:rPr>
            <w:t>四、</w:t>
          </w:r>
          <w:r>
            <w:rPr>
              <w:rFonts w:asciiTheme="minorHAnsi" w:hAnsiTheme="minorHAnsi" w:eastAsiaTheme="minorEastAsia" w:cstheme="minorBidi"/>
              <w:sz w:val="21"/>
              <w:szCs w:val="22"/>
            </w:rPr>
            <w:tab/>
          </w:r>
          <w:r>
            <w:rPr>
              <w:rStyle w:val="21"/>
              <w:rFonts w:hint="eastAsia"/>
              <w:color w:val="auto"/>
            </w:rPr>
            <w:t>承包人责任</w:t>
          </w:r>
          <w:r>
            <w:tab/>
          </w:r>
          <w:r>
            <w:rPr>
              <w:rFonts w:hint="eastAsia"/>
            </w:rPr>
            <w:t>6</w:t>
          </w:r>
          <w:r>
            <w:rPr>
              <w:rFonts w:hint="eastAsia"/>
            </w:rPr>
            <w:fldChar w:fldCharType="end"/>
          </w:r>
        </w:p>
        <w:p w14:paraId="4B54884C">
          <w:pPr>
            <w:pStyle w:val="14"/>
            <w:spacing w:line="360" w:lineRule="auto"/>
            <w:rPr>
              <w:rFonts w:asciiTheme="minorHAnsi" w:hAnsiTheme="minorHAnsi" w:eastAsiaTheme="minorEastAsia" w:cstheme="minorBidi"/>
              <w:sz w:val="21"/>
              <w:szCs w:val="22"/>
            </w:rPr>
          </w:pPr>
          <w:r>
            <w:fldChar w:fldCharType="begin"/>
          </w:r>
          <w:r>
            <w:instrText xml:space="preserve"> HYPERLINK \l "_Toc156403239" </w:instrText>
          </w:r>
          <w:r>
            <w:fldChar w:fldCharType="separate"/>
          </w:r>
          <w:r>
            <w:rPr>
              <w:rStyle w:val="21"/>
              <w:rFonts w:hint="eastAsia"/>
              <w:color w:val="auto"/>
            </w:rPr>
            <w:t>五、</w:t>
          </w:r>
          <w:r>
            <w:rPr>
              <w:rFonts w:asciiTheme="minorHAnsi" w:hAnsiTheme="minorHAnsi" w:eastAsiaTheme="minorEastAsia" w:cstheme="minorBidi"/>
              <w:sz w:val="21"/>
              <w:szCs w:val="22"/>
            </w:rPr>
            <w:tab/>
          </w:r>
          <w:r>
            <w:rPr>
              <w:rStyle w:val="21"/>
              <w:rFonts w:hint="eastAsia" w:ascii="宋体" w:hAnsi="宋体"/>
              <w:color w:val="auto"/>
            </w:rPr>
            <w:t>规范性引用文件</w:t>
          </w:r>
          <w:r>
            <w:tab/>
          </w:r>
          <w:r>
            <w:rPr>
              <w:rFonts w:hint="eastAsia"/>
            </w:rPr>
            <w:t>6</w:t>
          </w:r>
          <w:r>
            <w:rPr>
              <w:rFonts w:hint="eastAsia"/>
            </w:rPr>
            <w:fldChar w:fldCharType="end"/>
          </w:r>
        </w:p>
        <w:p w14:paraId="768A21EE">
          <w:pPr>
            <w:pStyle w:val="14"/>
            <w:spacing w:line="360" w:lineRule="auto"/>
            <w:rPr>
              <w:rFonts w:asciiTheme="minorHAnsi" w:hAnsiTheme="minorHAnsi" w:eastAsiaTheme="minorEastAsia" w:cstheme="minorBidi"/>
              <w:sz w:val="21"/>
              <w:szCs w:val="22"/>
            </w:rPr>
          </w:pPr>
          <w:r>
            <w:fldChar w:fldCharType="begin"/>
          </w:r>
          <w:r>
            <w:instrText xml:space="preserve"> HYPERLINK \l "_Toc156403240" </w:instrText>
          </w:r>
          <w:r>
            <w:fldChar w:fldCharType="separate"/>
          </w:r>
          <w:r>
            <w:rPr>
              <w:rStyle w:val="21"/>
              <w:rFonts w:hint="eastAsia" w:ascii="宋体" w:hAnsi="宋体"/>
              <w:color w:val="auto"/>
            </w:rPr>
            <w:t>六、</w:t>
          </w:r>
          <w:r>
            <w:rPr>
              <w:rFonts w:asciiTheme="minorHAnsi" w:hAnsiTheme="minorHAnsi" w:eastAsiaTheme="minorEastAsia" w:cstheme="minorBidi"/>
              <w:sz w:val="21"/>
              <w:szCs w:val="22"/>
            </w:rPr>
            <w:tab/>
          </w:r>
          <w:r>
            <w:rPr>
              <w:rStyle w:val="21"/>
              <w:rFonts w:hint="eastAsia" w:ascii="宋体" w:hAnsi="宋体"/>
              <w:color w:val="auto"/>
            </w:rPr>
            <w:t>质保、培训及服务</w:t>
          </w:r>
          <w:r>
            <w:tab/>
          </w:r>
          <w:r>
            <w:fldChar w:fldCharType="begin"/>
          </w:r>
          <w:r>
            <w:instrText xml:space="preserve"> PAGEREF _Toc156403240 \h </w:instrText>
          </w:r>
          <w:r>
            <w:fldChar w:fldCharType="separate"/>
          </w:r>
          <w:r>
            <w:t>6</w:t>
          </w:r>
          <w:r>
            <w:fldChar w:fldCharType="end"/>
          </w:r>
          <w:r>
            <w:fldChar w:fldCharType="end"/>
          </w:r>
        </w:p>
        <w:p w14:paraId="2D90D506">
          <w:pPr>
            <w:pStyle w:val="14"/>
            <w:spacing w:line="360" w:lineRule="auto"/>
            <w:rPr>
              <w:rFonts w:asciiTheme="minorHAnsi" w:hAnsiTheme="minorHAnsi" w:eastAsiaTheme="minorEastAsia" w:cstheme="minorBidi"/>
              <w:sz w:val="21"/>
              <w:szCs w:val="22"/>
            </w:rPr>
          </w:pPr>
          <w:r>
            <w:fldChar w:fldCharType="begin"/>
          </w:r>
          <w:r>
            <w:instrText xml:space="preserve"> HYPERLINK \l "_Toc156403241" </w:instrText>
          </w:r>
          <w:r>
            <w:fldChar w:fldCharType="separate"/>
          </w:r>
          <w:r>
            <w:rPr>
              <w:rStyle w:val="21"/>
              <w:rFonts w:hint="eastAsia" w:ascii="宋体" w:hAnsi="宋体"/>
              <w:color w:val="auto"/>
            </w:rPr>
            <w:t>七、</w:t>
          </w:r>
          <w:r>
            <w:rPr>
              <w:rFonts w:asciiTheme="minorHAnsi" w:hAnsiTheme="minorHAnsi" w:eastAsiaTheme="minorEastAsia" w:cstheme="minorBidi"/>
              <w:sz w:val="21"/>
              <w:szCs w:val="22"/>
            </w:rPr>
            <w:tab/>
          </w:r>
          <w:r>
            <w:rPr>
              <w:rStyle w:val="21"/>
              <w:rFonts w:hint="eastAsia" w:ascii="宋体" w:hAnsi="宋体"/>
              <w:color w:val="auto"/>
            </w:rPr>
            <w:t>维修维护考评标准</w:t>
          </w:r>
          <w:r>
            <w:tab/>
          </w:r>
          <w:r>
            <w:rPr>
              <w:rFonts w:hint="eastAsia"/>
            </w:rPr>
            <w:t>7</w:t>
          </w:r>
          <w:r>
            <w:rPr>
              <w:rFonts w:hint="eastAsia"/>
            </w:rPr>
            <w:fldChar w:fldCharType="end"/>
          </w:r>
        </w:p>
        <w:p w14:paraId="76F11CA5">
          <w:pPr>
            <w:pStyle w:val="14"/>
            <w:spacing w:line="360" w:lineRule="auto"/>
            <w:rPr>
              <w:rFonts w:asciiTheme="minorHAnsi" w:hAnsiTheme="minorHAnsi" w:eastAsiaTheme="minorEastAsia" w:cstheme="minorBidi"/>
              <w:sz w:val="21"/>
              <w:szCs w:val="22"/>
            </w:rPr>
          </w:pPr>
          <w:r>
            <w:fldChar w:fldCharType="begin"/>
          </w:r>
          <w:r>
            <w:instrText xml:space="preserve"> HYPERLINK \l "_Toc156403242" </w:instrText>
          </w:r>
          <w:r>
            <w:fldChar w:fldCharType="separate"/>
          </w:r>
          <w:r>
            <w:rPr>
              <w:rStyle w:val="21"/>
              <w:rFonts w:hint="eastAsia"/>
              <w:color w:val="auto"/>
            </w:rPr>
            <w:t>八、</w:t>
          </w:r>
          <w:r>
            <w:rPr>
              <w:rFonts w:asciiTheme="minorHAnsi" w:hAnsiTheme="minorHAnsi" w:eastAsiaTheme="minorEastAsia" w:cstheme="minorBidi"/>
              <w:sz w:val="21"/>
              <w:szCs w:val="22"/>
            </w:rPr>
            <w:tab/>
          </w:r>
          <w:r>
            <w:rPr>
              <w:rStyle w:val="21"/>
              <w:rFonts w:hint="eastAsia"/>
              <w:color w:val="auto"/>
            </w:rPr>
            <w:t>评审方式</w:t>
          </w:r>
          <w:r>
            <w:tab/>
          </w:r>
          <w:r>
            <w:fldChar w:fldCharType="begin"/>
          </w:r>
          <w:r>
            <w:instrText xml:space="preserve"> PAGEREF _Toc156403242 \h </w:instrText>
          </w:r>
          <w:r>
            <w:fldChar w:fldCharType="separate"/>
          </w:r>
          <w:r>
            <w:t>7</w:t>
          </w:r>
          <w:r>
            <w:fldChar w:fldCharType="end"/>
          </w:r>
          <w:r>
            <w:fldChar w:fldCharType="end"/>
          </w:r>
        </w:p>
        <w:p w14:paraId="51BBC26B">
          <w:pPr>
            <w:pStyle w:val="14"/>
            <w:spacing w:line="360" w:lineRule="auto"/>
            <w:rPr>
              <w:rFonts w:asciiTheme="minorHAnsi" w:hAnsiTheme="minorHAnsi" w:eastAsiaTheme="minorEastAsia" w:cstheme="minorBidi"/>
              <w:sz w:val="21"/>
              <w:szCs w:val="22"/>
            </w:rPr>
          </w:pPr>
          <w:r>
            <w:fldChar w:fldCharType="begin"/>
          </w:r>
          <w:r>
            <w:instrText xml:space="preserve"> HYPERLINK \l "_Toc156403243" </w:instrText>
          </w:r>
          <w:r>
            <w:fldChar w:fldCharType="separate"/>
          </w:r>
          <w:r>
            <w:rPr>
              <w:rStyle w:val="21"/>
              <w:rFonts w:hint="eastAsia"/>
              <w:color w:val="auto"/>
            </w:rPr>
            <w:t>九、</w:t>
          </w:r>
          <w:r>
            <w:rPr>
              <w:rFonts w:asciiTheme="minorHAnsi" w:hAnsiTheme="minorHAnsi" w:eastAsiaTheme="minorEastAsia" w:cstheme="minorBidi"/>
              <w:sz w:val="21"/>
              <w:szCs w:val="22"/>
            </w:rPr>
            <w:tab/>
          </w:r>
          <w:r>
            <w:rPr>
              <w:rStyle w:val="21"/>
              <w:color w:val="auto"/>
            </w:rPr>
            <w:t>HSE</w:t>
          </w:r>
          <w:r>
            <w:rPr>
              <w:rStyle w:val="21"/>
              <w:rFonts w:hint="eastAsia"/>
              <w:color w:val="auto"/>
            </w:rPr>
            <w:t>管理</w:t>
          </w:r>
          <w:r>
            <w:tab/>
          </w:r>
          <w:r>
            <w:rPr>
              <w:rFonts w:hint="eastAsia"/>
            </w:rPr>
            <w:t>8</w:t>
          </w:r>
          <w:r>
            <w:rPr>
              <w:rFonts w:hint="eastAsia"/>
            </w:rPr>
            <w:fldChar w:fldCharType="end"/>
          </w:r>
        </w:p>
        <w:p w14:paraId="5E0E4A1E">
          <w:pPr>
            <w:pStyle w:val="14"/>
            <w:spacing w:line="360" w:lineRule="auto"/>
            <w:rPr>
              <w:rFonts w:asciiTheme="minorHAnsi" w:hAnsiTheme="minorHAnsi" w:eastAsiaTheme="minorEastAsia" w:cstheme="minorBidi"/>
              <w:sz w:val="21"/>
              <w:szCs w:val="22"/>
            </w:rPr>
          </w:pPr>
          <w:r>
            <w:fldChar w:fldCharType="begin"/>
          </w:r>
          <w:r>
            <w:instrText xml:space="preserve"> HYPERLINK \l "_Toc156403244" </w:instrText>
          </w:r>
          <w:r>
            <w:fldChar w:fldCharType="separate"/>
          </w:r>
          <w:r>
            <w:rPr>
              <w:rStyle w:val="21"/>
              <w:rFonts w:hint="eastAsia"/>
              <w:color w:val="auto"/>
            </w:rPr>
            <w:t>十、</w:t>
          </w:r>
          <w:r>
            <w:rPr>
              <w:rFonts w:asciiTheme="minorHAnsi" w:hAnsiTheme="minorHAnsi" w:eastAsiaTheme="minorEastAsia" w:cstheme="minorBidi"/>
              <w:sz w:val="21"/>
              <w:szCs w:val="22"/>
            </w:rPr>
            <w:tab/>
          </w:r>
          <w:r>
            <w:rPr>
              <w:rStyle w:val="21"/>
              <w:rFonts w:hint="eastAsia"/>
              <w:color w:val="auto"/>
            </w:rPr>
            <w:t>违约解除条款</w:t>
          </w:r>
          <w:r>
            <w:tab/>
          </w:r>
          <w:r>
            <w:rPr>
              <w:rFonts w:hint="eastAsia"/>
            </w:rPr>
            <w:t>9</w:t>
          </w:r>
          <w:r>
            <w:rPr>
              <w:rFonts w:hint="eastAsia"/>
            </w:rPr>
            <w:fldChar w:fldCharType="end"/>
          </w:r>
        </w:p>
        <w:p w14:paraId="2BC19C63">
          <w:pPr>
            <w:pStyle w:val="14"/>
            <w:spacing w:line="360" w:lineRule="auto"/>
            <w:rPr>
              <w:rFonts w:asciiTheme="minorHAnsi" w:hAnsiTheme="minorHAnsi" w:eastAsiaTheme="minorEastAsia" w:cstheme="minorBidi"/>
              <w:sz w:val="21"/>
              <w:szCs w:val="22"/>
            </w:rPr>
          </w:pPr>
        </w:p>
        <w:p w14:paraId="269793DB">
          <w:pPr>
            <w:ind w:firstLine="640"/>
          </w:pPr>
          <w:r>
            <w:rPr>
              <w:sz w:val="32"/>
            </w:rPr>
            <w:fldChar w:fldCharType="end"/>
          </w:r>
        </w:p>
      </w:sdtContent>
    </w:sdt>
    <w:p w14:paraId="254E061D">
      <w:pPr>
        <w:widowControl/>
        <w:ind w:firstLine="561"/>
        <w:jc w:val="left"/>
        <w:rPr>
          <w:rFonts w:ascii="华文宋体" w:hAnsi="华文宋体" w:eastAsia="华文宋体"/>
          <w:b/>
          <w:position w:val="30"/>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418" w:bottom="1440" w:left="1418" w:header="851" w:footer="992" w:gutter="0"/>
          <w:cols w:space="425" w:num="1"/>
          <w:titlePg/>
          <w:docGrid w:type="lines" w:linePitch="326" w:charSpace="0"/>
        </w:sectPr>
      </w:pPr>
    </w:p>
    <w:p w14:paraId="6D0E588D">
      <w:pPr>
        <w:pStyle w:val="2"/>
        <w:spacing w:line="400" w:lineRule="exact"/>
        <w:ind w:left="0"/>
      </w:pPr>
      <w:bookmarkStart w:id="0" w:name="_Toc156403235"/>
      <w:r>
        <w:rPr>
          <w:rFonts w:hint="eastAsia"/>
        </w:rPr>
        <w:t>工程概况</w:t>
      </w:r>
      <w:bookmarkEnd w:id="0"/>
    </w:p>
    <w:p w14:paraId="42F65F65">
      <w:pPr>
        <w:pStyle w:val="26"/>
        <w:numPr>
          <w:ilvl w:val="0"/>
          <w:numId w:val="4"/>
        </w:numPr>
        <w:spacing w:line="400" w:lineRule="exact"/>
        <w:ind w:firstLineChars="0"/>
      </w:pPr>
      <w:r>
        <w:rPr>
          <w:rFonts w:hint="eastAsia"/>
          <w:b/>
        </w:rPr>
        <w:t>工程名称</w:t>
      </w:r>
      <w:r>
        <w:rPr>
          <w:b/>
        </w:rPr>
        <w:t>：</w:t>
      </w:r>
      <w:r>
        <w:rPr>
          <w:rFonts w:hint="eastAsia"/>
        </w:rPr>
        <w:t>集装箱内衬袋水平进料系统优化研究。</w:t>
      </w:r>
    </w:p>
    <w:p w14:paraId="1FB896A4">
      <w:pPr>
        <w:pStyle w:val="26"/>
        <w:numPr>
          <w:ilvl w:val="0"/>
          <w:numId w:val="4"/>
        </w:numPr>
        <w:spacing w:line="400" w:lineRule="exact"/>
        <w:ind w:firstLineChars="0"/>
      </w:pPr>
      <w:r>
        <w:rPr>
          <w:rFonts w:hint="eastAsia"/>
          <w:b/>
        </w:rPr>
        <w:t>工程地点</w:t>
      </w:r>
      <w:r>
        <w:rPr>
          <w:b/>
        </w:rPr>
        <w:t>：</w:t>
      </w:r>
      <w:r>
        <w:rPr>
          <w:rFonts w:hint="eastAsia"/>
        </w:rPr>
        <w:t>福海创石油化工有限公司PTA厂区。</w:t>
      </w:r>
    </w:p>
    <w:p w14:paraId="6B276A12">
      <w:pPr>
        <w:pStyle w:val="26"/>
        <w:numPr>
          <w:ilvl w:val="0"/>
          <w:numId w:val="4"/>
        </w:numPr>
        <w:spacing w:line="400" w:lineRule="exact"/>
        <w:ind w:firstLineChars="0"/>
      </w:pPr>
      <w:r>
        <w:rPr>
          <w:rFonts w:hint="eastAsia"/>
          <w:b/>
        </w:rPr>
        <w:t>工程位置：</w:t>
      </w:r>
      <w:r>
        <w:rPr>
          <w:rFonts w:hint="eastAsia"/>
        </w:rPr>
        <w:t>槽车料仓S-6601C。</w:t>
      </w:r>
    </w:p>
    <w:p w14:paraId="2840E631">
      <w:pPr>
        <w:pStyle w:val="26"/>
        <w:numPr>
          <w:ilvl w:val="0"/>
          <w:numId w:val="5"/>
        </w:numPr>
        <w:spacing w:line="400" w:lineRule="exact"/>
        <w:ind w:firstLineChars="0"/>
      </w:pPr>
      <w:r>
        <w:rPr>
          <w:rFonts w:hint="eastAsia"/>
        </w:rPr>
        <w:t>海拔高度：&lt;1000米。</w:t>
      </w:r>
    </w:p>
    <w:p w14:paraId="50627B51">
      <w:pPr>
        <w:pStyle w:val="26"/>
        <w:numPr>
          <w:ilvl w:val="0"/>
          <w:numId w:val="5"/>
        </w:numPr>
        <w:spacing w:line="400" w:lineRule="exact"/>
        <w:ind w:firstLineChars="0"/>
      </w:pPr>
      <w:r>
        <w:rPr>
          <w:rFonts w:hint="eastAsia"/>
        </w:rPr>
        <w:t>气候：临海盐雾，III级腐蚀环境。</w:t>
      </w:r>
    </w:p>
    <w:p w14:paraId="269A1802">
      <w:pPr>
        <w:pStyle w:val="26"/>
        <w:numPr>
          <w:ilvl w:val="0"/>
          <w:numId w:val="5"/>
        </w:numPr>
        <w:spacing w:line="400" w:lineRule="exact"/>
        <w:ind w:firstLineChars="0"/>
      </w:pPr>
      <w:r>
        <w:rPr>
          <w:rFonts w:hint="eastAsia"/>
        </w:rPr>
        <w:t>环境温度范围：0℃～+40℃。</w:t>
      </w:r>
    </w:p>
    <w:p w14:paraId="3793FEC5">
      <w:pPr>
        <w:pStyle w:val="26"/>
        <w:numPr>
          <w:ilvl w:val="0"/>
          <w:numId w:val="4"/>
        </w:numPr>
        <w:spacing w:line="400" w:lineRule="exact"/>
        <w:ind w:firstLineChars="0"/>
      </w:pPr>
      <w:r>
        <w:rPr>
          <w:rFonts w:hint="eastAsia"/>
          <w:b/>
        </w:rPr>
        <w:t>工程工期</w:t>
      </w:r>
    </w:p>
    <w:p w14:paraId="4A273C48">
      <w:pPr>
        <w:pStyle w:val="26"/>
        <w:numPr>
          <w:ilvl w:val="0"/>
          <w:numId w:val="6"/>
        </w:numPr>
        <w:spacing w:line="400" w:lineRule="exact"/>
        <w:ind w:firstLineChars="0"/>
      </w:pPr>
      <w:r>
        <w:rPr>
          <w:rFonts w:hint="eastAsia"/>
        </w:rPr>
        <w:t>开工日期：从双方签订合同之日起计算工期。</w:t>
      </w:r>
    </w:p>
    <w:p w14:paraId="47215A2E">
      <w:pPr>
        <w:pStyle w:val="26"/>
        <w:numPr>
          <w:ilvl w:val="0"/>
          <w:numId w:val="6"/>
        </w:numPr>
        <w:spacing w:line="400" w:lineRule="exact"/>
        <w:ind w:firstLineChars="0"/>
      </w:pPr>
      <w:r>
        <w:rPr>
          <w:rFonts w:hint="eastAsia"/>
        </w:rPr>
        <w:t>完工日期：四个月，如因发包人原因导致工期延后，经双方协商确认后顺延完工日期。</w:t>
      </w:r>
    </w:p>
    <w:p w14:paraId="634B8138">
      <w:pPr>
        <w:pStyle w:val="26"/>
        <w:numPr>
          <w:ilvl w:val="0"/>
          <w:numId w:val="6"/>
        </w:numPr>
        <w:spacing w:line="400" w:lineRule="exact"/>
        <w:ind w:firstLineChars="0"/>
      </w:pPr>
      <w:r>
        <w:rPr>
          <w:rFonts w:hint="eastAsia"/>
        </w:rPr>
        <w:t>工期要求：应在双方签订合同之日起四个月内完成。</w:t>
      </w:r>
    </w:p>
    <w:p w14:paraId="4084DD9E">
      <w:pPr>
        <w:pStyle w:val="26"/>
        <w:numPr>
          <w:ilvl w:val="0"/>
          <w:numId w:val="4"/>
        </w:numPr>
        <w:spacing w:line="400" w:lineRule="exact"/>
        <w:ind w:firstLineChars="0"/>
      </w:pPr>
      <w:r>
        <w:rPr>
          <w:rFonts w:hint="eastAsia"/>
          <w:b/>
        </w:rPr>
        <w:t>发包依据</w:t>
      </w:r>
    </w:p>
    <w:p w14:paraId="619A26EE">
      <w:pPr>
        <w:spacing w:line="400" w:lineRule="exact"/>
        <w:ind w:firstLine="420" w:firstLineChars="0"/>
      </w:pPr>
      <w:r>
        <w:rPr>
          <w:rFonts w:hint="eastAsia"/>
        </w:rPr>
        <w:t>福建省石油化学工业设计院有限公司设计的图纸，名称：《集装箱内衬袋水平进料系统优化研究》图号：G181S-2024502。</w:t>
      </w:r>
    </w:p>
    <w:p w14:paraId="247F363F">
      <w:pPr>
        <w:pStyle w:val="26"/>
        <w:numPr>
          <w:ilvl w:val="0"/>
          <w:numId w:val="4"/>
        </w:numPr>
        <w:spacing w:line="400" w:lineRule="exact"/>
        <w:ind w:firstLineChars="0"/>
      </w:pPr>
      <w:r>
        <w:rPr>
          <w:rFonts w:hint="eastAsia"/>
          <w:b/>
        </w:rPr>
        <w:t>发包形式</w:t>
      </w:r>
    </w:p>
    <w:p w14:paraId="6DF8A8CB">
      <w:pPr>
        <w:spacing w:line="400" w:lineRule="exact"/>
        <w:ind w:firstLine="420" w:firstLineChars="0"/>
      </w:pPr>
      <w:r>
        <w:rPr>
          <w:rFonts w:hint="eastAsia"/>
        </w:rPr>
        <w:t>按照发包依据进行采购、施工、调试、验收等工作。</w:t>
      </w:r>
      <w:r>
        <w:t xml:space="preserve"> </w:t>
      </w:r>
    </w:p>
    <w:p w14:paraId="365B8544">
      <w:pPr>
        <w:pStyle w:val="26"/>
        <w:numPr>
          <w:ilvl w:val="0"/>
          <w:numId w:val="4"/>
        </w:numPr>
        <w:spacing w:line="400" w:lineRule="exact"/>
        <w:ind w:firstLineChars="0"/>
      </w:pPr>
      <w:r>
        <w:rPr>
          <w:rFonts w:hint="eastAsia"/>
          <w:b/>
        </w:rPr>
        <w:t>工作范围</w:t>
      </w:r>
    </w:p>
    <w:p w14:paraId="14DE9CB1">
      <w:pPr>
        <w:spacing w:line="400" w:lineRule="exact"/>
        <w:ind w:firstLine="420" w:firstLineChars="0"/>
      </w:pPr>
      <w:r>
        <w:rPr>
          <w:rFonts w:hint="eastAsia"/>
        </w:rPr>
        <w:t>依据图纸，简述工作范围，包含但不限于如下内容，甲方可根据需要进行微小调整。</w:t>
      </w:r>
    </w:p>
    <w:p w14:paraId="16E5640F">
      <w:pPr>
        <w:pStyle w:val="26"/>
        <w:numPr>
          <w:ilvl w:val="0"/>
          <w:numId w:val="7"/>
        </w:numPr>
        <w:spacing w:line="400" w:lineRule="exact"/>
        <w:ind w:firstLineChars="0"/>
      </w:pPr>
      <w:r>
        <w:rPr>
          <w:rFonts w:hint="eastAsia"/>
        </w:rPr>
        <w:t>S-6601C散装料仓气动闸板阀的改造</w:t>
      </w:r>
      <w:r>
        <w:rPr>
          <w:rFonts w:hint="eastAsia"/>
          <w:lang w:eastAsia="zh-CN"/>
        </w:rPr>
        <w:t>，</w:t>
      </w:r>
      <w:r>
        <w:rPr>
          <w:rFonts w:hint="eastAsia"/>
          <w:color w:val="FF0000"/>
          <w:lang w:eastAsia="zh-CN"/>
        </w:rPr>
        <w:t>拆除原</w:t>
      </w:r>
      <w:r>
        <w:rPr>
          <w:rFonts w:hint="eastAsia"/>
          <w:color w:val="FF0000"/>
          <w:lang w:val="en-US" w:eastAsia="zh-CN"/>
        </w:rPr>
        <w:t>S-6601C仓跟本项目有关的旧设备、平台包含本施工项目内容</w:t>
      </w:r>
      <w:r>
        <w:rPr>
          <w:rFonts w:hint="eastAsia"/>
        </w:rPr>
        <w:t>。</w:t>
      </w:r>
    </w:p>
    <w:p w14:paraId="14D45DDF">
      <w:pPr>
        <w:pStyle w:val="26"/>
        <w:numPr>
          <w:ilvl w:val="0"/>
          <w:numId w:val="7"/>
        </w:numPr>
        <w:spacing w:line="400" w:lineRule="exact"/>
        <w:ind w:firstLineChars="0"/>
      </w:pPr>
      <w:r>
        <w:rPr>
          <w:rFonts w:hint="eastAsia"/>
        </w:rPr>
        <w:t>下料系统：含下料管线、过滤箱、一楼下料装车平台、夹袋器、吹气管线和阀门等。</w:t>
      </w:r>
    </w:p>
    <w:p w14:paraId="54EC68E2">
      <w:pPr>
        <w:pStyle w:val="26"/>
        <w:numPr>
          <w:ilvl w:val="0"/>
          <w:numId w:val="7"/>
        </w:numPr>
        <w:spacing w:line="400" w:lineRule="exact"/>
        <w:ind w:firstLineChars="0"/>
      </w:pPr>
      <w:r>
        <w:rPr>
          <w:rFonts w:hint="eastAsia"/>
        </w:rPr>
        <w:t>除尘系统：含排气管、夹袋器、放空罐、除尘机、球阀、手动蝶阀等。</w:t>
      </w:r>
    </w:p>
    <w:p w14:paraId="6E5BCF6A">
      <w:pPr>
        <w:pStyle w:val="26"/>
        <w:numPr>
          <w:ilvl w:val="0"/>
          <w:numId w:val="7"/>
        </w:numPr>
        <w:spacing w:line="400" w:lineRule="exact"/>
        <w:ind w:firstLineChars="0"/>
      </w:pPr>
      <w:r>
        <w:rPr>
          <w:rFonts w:hint="eastAsia"/>
        </w:rPr>
        <w:t>重量控制系统：含地磅、称重系统、接地系统、PLC控制柜及操作系统等。</w:t>
      </w:r>
    </w:p>
    <w:p w14:paraId="46AA086F">
      <w:pPr>
        <w:pStyle w:val="26"/>
        <w:numPr>
          <w:ilvl w:val="0"/>
          <w:numId w:val="7"/>
        </w:numPr>
        <w:spacing w:line="400" w:lineRule="exact"/>
        <w:ind w:firstLineChars="0"/>
      </w:pPr>
      <w:r>
        <w:rPr>
          <w:rFonts w:hint="eastAsia"/>
        </w:rPr>
        <w:t>新增防风卷帘门。</w:t>
      </w:r>
    </w:p>
    <w:p w14:paraId="4DD1E1F2">
      <w:pPr>
        <w:pStyle w:val="26"/>
        <w:numPr>
          <w:ilvl w:val="0"/>
          <w:numId w:val="7"/>
        </w:numPr>
        <w:spacing w:line="400" w:lineRule="exact"/>
        <w:ind w:firstLineChars="0"/>
      </w:pPr>
      <w:r>
        <w:rPr>
          <w:rFonts w:hint="eastAsia"/>
        </w:rPr>
        <w:t>防腐：S-6601C料仓一楼到四楼所有钢结构平台及地磅钢结构需按设计要求防腐。</w:t>
      </w:r>
    </w:p>
    <w:p w14:paraId="11707D51">
      <w:pPr>
        <w:pStyle w:val="26"/>
        <w:numPr>
          <w:ilvl w:val="0"/>
          <w:numId w:val="7"/>
        </w:numPr>
        <w:spacing w:line="400" w:lineRule="exact"/>
        <w:ind w:firstLineChars="0"/>
      </w:pPr>
      <w:r>
        <w:rPr>
          <w:rFonts w:hint="eastAsia"/>
        </w:rPr>
        <w:t>进料系统一楼平台为可拆卸式，下料管道、排气管道、氮气管道等在合适的位置采用法兰连接，在没有集装箱内衬袋出货时将进料系统一楼平台和相关管线拆卸，</w:t>
      </w:r>
      <w:r>
        <w:rPr>
          <w:rFonts w:hint="eastAsia"/>
          <w:color w:val="FF0000"/>
          <w:lang w:eastAsia="zh-CN"/>
        </w:rPr>
        <w:t>涉及相关电缆线及通信电缆采用航空接头方便拆卸，可快速</w:t>
      </w:r>
      <w:r>
        <w:rPr>
          <w:rFonts w:hint="eastAsia"/>
        </w:rPr>
        <w:t>恢复槽车装车出货方式。</w:t>
      </w:r>
    </w:p>
    <w:p w14:paraId="46D9FB67">
      <w:pPr>
        <w:pStyle w:val="26"/>
        <w:numPr>
          <w:ilvl w:val="0"/>
          <w:numId w:val="7"/>
        </w:numPr>
        <w:spacing w:line="400" w:lineRule="exact"/>
        <w:ind w:firstLineChars="0"/>
      </w:pPr>
      <w:r>
        <w:rPr>
          <w:rFonts w:hint="eastAsia"/>
        </w:rPr>
        <w:t>套袋辅助工具、安装内衬袋辅助工具、卸料辅助工具（厂内实验用）。</w:t>
      </w:r>
    </w:p>
    <w:p w14:paraId="2933BC79">
      <w:pPr>
        <w:pStyle w:val="26"/>
        <w:numPr>
          <w:ilvl w:val="0"/>
          <w:numId w:val="7"/>
        </w:numPr>
        <w:spacing w:line="400" w:lineRule="exact"/>
        <w:ind w:firstLineChars="0"/>
      </w:pPr>
      <w:r>
        <w:rPr>
          <w:rFonts w:hint="eastAsia"/>
        </w:rPr>
        <w:t>承包人根据设计图纸按设计要求、防护等级、材料供货清单严格按要求供货，严格按设计图纸要求设备安装和调试至设备使用正常。</w:t>
      </w:r>
    </w:p>
    <w:p w14:paraId="20A1799D">
      <w:pPr>
        <w:pStyle w:val="26"/>
        <w:numPr>
          <w:ilvl w:val="0"/>
          <w:numId w:val="7"/>
        </w:numPr>
        <w:spacing w:line="400" w:lineRule="exact"/>
        <w:ind w:firstLineChars="0"/>
        <w:rPr>
          <w:color w:val="auto"/>
          <w:highlight w:val="none"/>
        </w:rPr>
      </w:pPr>
      <w:r>
        <w:rPr>
          <w:rFonts w:hint="eastAsia"/>
        </w:rPr>
        <w:t>承包人提供的新设备</w:t>
      </w:r>
      <w:r>
        <w:rPr>
          <w:rFonts w:hint="eastAsia"/>
          <w:color w:val="auto"/>
          <w:highlight w:val="none"/>
        </w:rPr>
        <w:t>，铭牌上应有二维码：内容含厂家简称和基本参数等相关信息。</w:t>
      </w:r>
    </w:p>
    <w:p w14:paraId="65D86007">
      <w:pPr>
        <w:pStyle w:val="26"/>
        <w:numPr>
          <w:ilvl w:val="0"/>
          <w:numId w:val="7"/>
        </w:numPr>
        <w:spacing w:line="400" w:lineRule="exact"/>
        <w:ind w:firstLineChars="0"/>
      </w:pPr>
      <w:r>
        <w:rPr>
          <w:rFonts w:hint="eastAsia"/>
        </w:rPr>
        <w:t>承包人应根据设计标准规范和技术要求提供安全可靠、技术先进、运行稳定的技术方案和施工方案经甲方专业人员审核后施工。</w:t>
      </w:r>
    </w:p>
    <w:p w14:paraId="45D16FF3">
      <w:pPr>
        <w:pStyle w:val="26"/>
        <w:numPr>
          <w:ilvl w:val="0"/>
          <w:numId w:val="7"/>
        </w:numPr>
        <w:spacing w:line="400" w:lineRule="exact"/>
        <w:ind w:firstLineChars="0"/>
      </w:pPr>
      <w:r>
        <w:rPr>
          <w:rFonts w:hint="eastAsia"/>
        </w:rPr>
        <w:t>承包人提供本项目范围内所需全部设备材料、控制系统相关的软硬件</w:t>
      </w:r>
      <w:r>
        <w:rPr>
          <w:rFonts w:hint="eastAsia"/>
          <w:lang w:eastAsia="zh-CN"/>
        </w:rPr>
        <w:t>程序设备</w:t>
      </w:r>
      <w:r>
        <w:rPr>
          <w:rFonts w:hint="eastAsia"/>
        </w:rPr>
        <w:t>、及其它辅材等。</w:t>
      </w:r>
    </w:p>
    <w:p w14:paraId="4CB80015">
      <w:pPr>
        <w:pStyle w:val="26"/>
        <w:numPr>
          <w:ilvl w:val="0"/>
          <w:numId w:val="7"/>
        </w:numPr>
        <w:spacing w:line="400" w:lineRule="exact"/>
        <w:ind w:firstLineChars="0"/>
      </w:pPr>
      <w:r>
        <w:rPr>
          <w:rFonts w:hint="eastAsia"/>
        </w:rPr>
        <w:t>承包人提供的相关设备及材料等必须与发包文件所要求的一致，到货入厂时提供质量证明，并经验收合格，验收不合格的设备及材料不得使用。</w:t>
      </w:r>
    </w:p>
    <w:p w14:paraId="65060B93">
      <w:pPr>
        <w:pStyle w:val="26"/>
        <w:numPr>
          <w:ilvl w:val="0"/>
          <w:numId w:val="7"/>
        </w:numPr>
        <w:spacing w:line="400" w:lineRule="exact"/>
        <w:ind w:firstLineChars="0"/>
      </w:pPr>
      <w:r>
        <w:rPr>
          <w:rFonts w:hint="eastAsia"/>
        </w:rPr>
        <w:t>承包人应根据施工进度要求完成本项目施工相关的施工资料、施工记录、设备合格证及说明书、施工试验检验记录、设备安装调试记录、竣工验收报告等资料的归档整理，提供8份装订成册的纸质档案和1份电子版资料给甲方存档，需满足我司档案管理的全部要求，必要时，我司可以提供档案模板。</w:t>
      </w:r>
    </w:p>
    <w:p w14:paraId="23584B7D">
      <w:pPr>
        <w:pStyle w:val="2"/>
        <w:spacing w:line="400" w:lineRule="exact"/>
        <w:ind w:left="0"/>
      </w:pPr>
      <w:bookmarkStart w:id="1" w:name="_Toc156403236"/>
      <w:r>
        <w:rPr>
          <w:rFonts w:hint="eastAsia"/>
        </w:rPr>
        <w:t>资质要求</w:t>
      </w:r>
      <w:bookmarkEnd w:id="1"/>
    </w:p>
    <w:p w14:paraId="0B6188FB">
      <w:pPr>
        <w:pStyle w:val="26"/>
        <w:numPr>
          <w:ilvl w:val="0"/>
          <w:numId w:val="8"/>
        </w:numPr>
        <w:spacing w:line="400" w:lineRule="exact"/>
        <w:ind w:firstLineChars="0"/>
      </w:pPr>
      <w:r>
        <w:rPr>
          <w:rFonts w:hint="eastAsia"/>
        </w:rPr>
        <w:t>投标人须有石油化工工程、化工设备制造或安装和施工经验，投标时提供业绩证明复印件；</w:t>
      </w:r>
    </w:p>
    <w:p w14:paraId="5E87E2EE">
      <w:pPr>
        <w:pStyle w:val="26"/>
        <w:numPr>
          <w:ilvl w:val="0"/>
          <w:numId w:val="8"/>
        </w:numPr>
        <w:spacing w:line="400" w:lineRule="exact"/>
        <w:ind w:firstLineChars="0"/>
      </w:pPr>
      <w:r>
        <w:rPr>
          <w:rFonts w:hint="eastAsia"/>
        </w:rPr>
        <w:t>投标人具备独立法人资格、应信誉良好，无不良记录，注册资金在2000万元（含）以上。</w:t>
      </w:r>
    </w:p>
    <w:p w14:paraId="39AD17E7">
      <w:pPr>
        <w:pStyle w:val="2"/>
        <w:spacing w:line="400" w:lineRule="exact"/>
        <w:ind w:left="0"/>
      </w:pPr>
      <w:bookmarkStart w:id="2" w:name="_Toc156403237"/>
      <w:r>
        <w:rPr>
          <w:rFonts w:hint="eastAsia"/>
        </w:rPr>
        <w:t>设备概况</w:t>
      </w:r>
      <w:bookmarkEnd w:id="2"/>
    </w:p>
    <w:p w14:paraId="00CF79B9">
      <w:pPr>
        <w:pStyle w:val="26"/>
        <w:numPr>
          <w:ilvl w:val="0"/>
          <w:numId w:val="9"/>
        </w:numPr>
        <w:spacing w:afterLines="50" w:line="400" w:lineRule="exact"/>
        <w:ind w:firstLineChars="0"/>
        <w:rPr>
          <w:rFonts w:ascii="宋体" w:hAnsi="宋体"/>
        </w:rPr>
      </w:pPr>
      <w:r>
        <w:rPr>
          <w:rFonts w:hint="eastAsia" w:ascii="宋体" w:hAnsi="宋体"/>
        </w:rPr>
        <w:t>现有设备主要技术参数</w:t>
      </w:r>
    </w:p>
    <w:tbl>
      <w:tblPr>
        <w:tblStyle w:val="1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2"/>
        <w:gridCol w:w="5109"/>
        <w:gridCol w:w="992"/>
        <w:gridCol w:w="1134"/>
      </w:tblGrid>
      <w:tr w14:paraId="7E45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14:paraId="09D5D4FE">
            <w:pPr>
              <w:spacing w:line="300" w:lineRule="exact"/>
              <w:ind w:firstLine="0" w:firstLineChars="0"/>
              <w:jc w:val="center"/>
              <w:rPr>
                <w:sz w:val="22"/>
              </w:rPr>
            </w:pPr>
            <w:r>
              <w:rPr>
                <w:rFonts w:hint="eastAsia"/>
                <w:sz w:val="22"/>
              </w:rPr>
              <w:t>序号</w:t>
            </w:r>
          </w:p>
        </w:tc>
        <w:tc>
          <w:tcPr>
            <w:tcW w:w="1412" w:type="dxa"/>
            <w:vAlign w:val="center"/>
          </w:tcPr>
          <w:p w14:paraId="435EB97B">
            <w:pPr>
              <w:spacing w:line="300" w:lineRule="exact"/>
              <w:ind w:firstLine="0" w:firstLineChars="0"/>
              <w:jc w:val="center"/>
              <w:rPr>
                <w:sz w:val="22"/>
              </w:rPr>
            </w:pPr>
            <w:r>
              <w:rPr>
                <w:rFonts w:hint="eastAsia"/>
                <w:sz w:val="22"/>
              </w:rPr>
              <w:t>设备名称</w:t>
            </w:r>
          </w:p>
        </w:tc>
        <w:tc>
          <w:tcPr>
            <w:tcW w:w="5109" w:type="dxa"/>
            <w:vAlign w:val="center"/>
          </w:tcPr>
          <w:p w14:paraId="70464EF9">
            <w:pPr>
              <w:spacing w:line="300" w:lineRule="exact"/>
              <w:ind w:firstLine="440"/>
              <w:jc w:val="center"/>
              <w:rPr>
                <w:sz w:val="22"/>
              </w:rPr>
            </w:pPr>
            <w:r>
              <w:rPr>
                <w:rFonts w:hint="eastAsia"/>
                <w:sz w:val="22"/>
              </w:rPr>
              <w:t>型号/规格</w:t>
            </w:r>
          </w:p>
        </w:tc>
        <w:tc>
          <w:tcPr>
            <w:tcW w:w="992" w:type="dxa"/>
            <w:vAlign w:val="center"/>
          </w:tcPr>
          <w:p w14:paraId="4528DBF9">
            <w:pPr>
              <w:spacing w:line="300" w:lineRule="exact"/>
              <w:ind w:firstLine="0" w:firstLineChars="0"/>
              <w:jc w:val="center"/>
              <w:rPr>
                <w:sz w:val="22"/>
              </w:rPr>
            </w:pPr>
            <w:r>
              <w:rPr>
                <w:rFonts w:hint="eastAsia"/>
                <w:sz w:val="22"/>
              </w:rPr>
              <w:t>台数</w:t>
            </w:r>
          </w:p>
        </w:tc>
        <w:tc>
          <w:tcPr>
            <w:tcW w:w="1134" w:type="dxa"/>
            <w:vAlign w:val="center"/>
          </w:tcPr>
          <w:p w14:paraId="15B39633">
            <w:pPr>
              <w:spacing w:line="300" w:lineRule="exact"/>
              <w:ind w:firstLine="0" w:firstLineChars="0"/>
              <w:jc w:val="center"/>
              <w:rPr>
                <w:sz w:val="22"/>
              </w:rPr>
            </w:pPr>
            <w:r>
              <w:rPr>
                <w:rFonts w:hint="eastAsia"/>
                <w:sz w:val="22"/>
              </w:rPr>
              <w:t>备注</w:t>
            </w:r>
          </w:p>
        </w:tc>
      </w:tr>
      <w:tr w14:paraId="2FFA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0AC0F51">
            <w:pPr>
              <w:spacing w:line="300" w:lineRule="exact"/>
              <w:ind w:firstLine="0" w:firstLineChars="0"/>
              <w:jc w:val="center"/>
              <w:rPr>
                <w:rFonts w:ascii="宋体" w:hAnsi="宋体" w:cs="宋体"/>
                <w:sz w:val="18"/>
                <w:szCs w:val="18"/>
              </w:rPr>
            </w:pPr>
            <w:r>
              <w:rPr>
                <w:rFonts w:hint="eastAsia" w:ascii="宋体" w:hAnsi="宋体" w:cs="宋体"/>
                <w:sz w:val="18"/>
                <w:szCs w:val="18"/>
              </w:rPr>
              <w:t>1</w:t>
            </w:r>
          </w:p>
        </w:tc>
        <w:tc>
          <w:tcPr>
            <w:tcW w:w="1412" w:type="dxa"/>
            <w:vAlign w:val="center"/>
          </w:tcPr>
          <w:p w14:paraId="0E620B44">
            <w:pPr>
              <w:spacing w:line="300" w:lineRule="exact"/>
              <w:ind w:firstLine="0" w:firstLineChars="0"/>
              <w:jc w:val="center"/>
              <w:rPr>
                <w:rFonts w:ascii="宋体" w:hAnsi="宋体" w:cs="宋体"/>
                <w:sz w:val="18"/>
                <w:szCs w:val="18"/>
              </w:rPr>
            </w:pPr>
            <w:r>
              <w:rPr>
                <w:rFonts w:hint="eastAsia" w:ascii="宋体" w:hAnsi="宋体" w:cs="宋体"/>
                <w:sz w:val="18"/>
                <w:szCs w:val="18"/>
              </w:rPr>
              <w:t>S-6601C料仓</w:t>
            </w:r>
          </w:p>
        </w:tc>
        <w:tc>
          <w:tcPr>
            <w:tcW w:w="5109" w:type="dxa"/>
            <w:vAlign w:val="center"/>
          </w:tcPr>
          <w:p w14:paraId="1EDA6818">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筒体半径8m，筒体高度18.8m，锥体高度15.33m，料仓体积4500m³，设计压力0.03Mpa(g),设计温度120℃</w:t>
            </w:r>
          </w:p>
        </w:tc>
        <w:tc>
          <w:tcPr>
            <w:tcW w:w="992" w:type="dxa"/>
            <w:vAlign w:val="center"/>
          </w:tcPr>
          <w:p w14:paraId="437261CF">
            <w:pPr>
              <w:spacing w:line="300" w:lineRule="exact"/>
              <w:ind w:firstLine="0" w:firstLineChars="0"/>
              <w:jc w:val="center"/>
              <w:rPr>
                <w:rFonts w:ascii="宋体" w:hAnsi="宋体" w:cs="宋体"/>
                <w:sz w:val="18"/>
                <w:szCs w:val="18"/>
              </w:rPr>
            </w:pPr>
            <w:r>
              <w:rPr>
                <w:rFonts w:hint="eastAsia" w:ascii="宋体" w:hAnsi="宋体" w:cs="宋体"/>
                <w:sz w:val="18"/>
                <w:szCs w:val="18"/>
              </w:rPr>
              <w:t>1</w:t>
            </w:r>
          </w:p>
        </w:tc>
        <w:tc>
          <w:tcPr>
            <w:tcW w:w="1134" w:type="dxa"/>
            <w:vAlign w:val="center"/>
          </w:tcPr>
          <w:p w14:paraId="08AA9506">
            <w:pPr>
              <w:spacing w:line="300" w:lineRule="exact"/>
              <w:ind w:firstLine="360"/>
              <w:jc w:val="left"/>
              <w:rPr>
                <w:rFonts w:ascii="宋体" w:hAnsi="宋体"/>
                <w:sz w:val="18"/>
                <w:szCs w:val="18"/>
              </w:rPr>
            </w:pPr>
          </w:p>
        </w:tc>
      </w:tr>
      <w:tr w14:paraId="5BE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1" w:type="dxa"/>
            <w:vAlign w:val="center"/>
          </w:tcPr>
          <w:p w14:paraId="08072FE0">
            <w:pPr>
              <w:spacing w:line="300" w:lineRule="exact"/>
              <w:ind w:firstLine="0" w:firstLineChars="0"/>
              <w:jc w:val="center"/>
              <w:rPr>
                <w:rFonts w:ascii="宋体" w:hAnsi="宋体" w:cs="宋体"/>
                <w:sz w:val="18"/>
                <w:szCs w:val="18"/>
              </w:rPr>
            </w:pPr>
            <w:r>
              <w:rPr>
                <w:rFonts w:hint="eastAsia" w:ascii="宋体" w:hAnsi="宋体" w:cs="宋体"/>
                <w:sz w:val="18"/>
                <w:szCs w:val="18"/>
              </w:rPr>
              <w:t>2</w:t>
            </w:r>
          </w:p>
        </w:tc>
        <w:tc>
          <w:tcPr>
            <w:tcW w:w="1412" w:type="dxa"/>
            <w:vAlign w:val="center"/>
          </w:tcPr>
          <w:p w14:paraId="74718391">
            <w:pPr>
              <w:autoSpaceDE w:val="0"/>
              <w:autoSpaceDN w:val="0"/>
              <w:adjustRightInd w:val="0"/>
              <w:spacing w:line="300" w:lineRule="exact"/>
              <w:ind w:firstLine="0" w:firstLineChars="0"/>
              <w:jc w:val="center"/>
              <w:rPr>
                <w:rFonts w:ascii="宋体" w:hAnsi="宋体" w:cs="宋体"/>
                <w:sz w:val="18"/>
                <w:szCs w:val="18"/>
              </w:rPr>
            </w:pPr>
            <w:r>
              <w:rPr>
                <w:rFonts w:hint="eastAsia" w:ascii="宋体" w:hAnsi="宋体" w:cs="宋体"/>
                <w:sz w:val="18"/>
                <w:szCs w:val="18"/>
              </w:rPr>
              <w:t>地磅</w:t>
            </w:r>
          </w:p>
        </w:tc>
        <w:tc>
          <w:tcPr>
            <w:tcW w:w="5109" w:type="dxa"/>
            <w:vAlign w:val="center"/>
          </w:tcPr>
          <w:p w14:paraId="3EDB5D30">
            <w:pPr>
              <w:autoSpaceDE w:val="0"/>
              <w:autoSpaceDN w:val="0"/>
              <w:adjustRightInd w:val="0"/>
              <w:spacing w:line="300" w:lineRule="exact"/>
              <w:ind w:firstLine="0" w:firstLineChars="0"/>
              <w:rPr>
                <w:rFonts w:ascii="宋体" w:hAnsi="宋体" w:cs="宋体"/>
                <w:sz w:val="18"/>
                <w:szCs w:val="18"/>
              </w:rPr>
            </w:pPr>
            <w:r>
              <w:rPr>
                <w:rFonts w:hint="eastAsia" w:ascii="宋体" w:hAnsi="宋体" w:cs="宋体"/>
                <w:sz w:val="18"/>
                <w:szCs w:val="18"/>
              </w:rPr>
              <w:t>长度24m，宽度3m</w:t>
            </w:r>
          </w:p>
        </w:tc>
        <w:tc>
          <w:tcPr>
            <w:tcW w:w="992" w:type="dxa"/>
            <w:vAlign w:val="center"/>
          </w:tcPr>
          <w:p w14:paraId="41E2F4CA">
            <w:pPr>
              <w:autoSpaceDE w:val="0"/>
              <w:autoSpaceDN w:val="0"/>
              <w:adjustRightInd w:val="0"/>
              <w:spacing w:line="300" w:lineRule="exact"/>
              <w:ind w:firstLine="0" w:firstLineChars="0"/>
              <w:jc w:val="center"/>
              <w:rPr>
                <w:rFonts w:ascii="宋体" w:hAnsi="宋体" w:cs="宋体"/>
                <w:sz w:val="18"/>
                <w:szCs w:val="18"/>
              </w:rPr>
            </w:pPr>
            <w:r>
              <w:rPr>
                <w:rFonts w:hint="eastAsia" w:ascii="宋体" w:hAnsi="宋体" w:cs="宋体"/>
                <w:sz w:val="18"/>
                <w:szCs w:val="18"/>
              </w:rPr>
              <w:t>1</w:t>
            </w:r>
          </w:p>
        </w:tc>
        <w:tc>
          <w:tcPr>
            <w:tcW w:w="1134" w:type="dxa"/>
            <w:vAlign w:val="center"/>
          </w:tcPr>
          <w:p w14:paraId="30F55E40">
            <w:pPr>
              <w:autoSpaceDE w:val="0"/>
              <w:autoSpaceDN w:val="0"/>
              <w:adjustRightInd w:val="0"/>
              <w:spacing w:line="300" w:lineRule="exact"/>
              <w:ind w:firstLine="360"/>
              <w:jc w:val="left"/>
              <w:rPr>
                <w:rFonts w:ascii="宋体" w:hAnsi="宋体"/>
                <w:sz w:val="18"/>
                <w:szCs w:val="18"/>
              </w:rPr>
            </w:pPr>
          </w:p>
        </w:tc>
      </w:tr>
      <w:tr w14:paraId="26EC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0CC2259">
            <w:pPr>
              <w:spacing w:line="300" w:lineRule="exact"/>
              <w:ind w:firstLine="0" w:firstLineChars="0"/>
              <w:jc w:val="center"/>
              <w:rPr>
                <w:rFonts w:ascii="宋体" w:hAnsi="宋体" w:cs="宋体"/>
                <w:sz w:val="18"/>
                <w:szCs w:val="18"/>
              </w:rPr>
            </w:pPr>
            <w:r>
              <w:rPr>
                <w:rFonts w:hint="eastAsia" w:ascii="宋体" w:hAnsi="宋体" w:cs="宋体"/>
                <w:sz w:val="18"/>
                <w:szCs w:val="18"/>
              </w:rPr>
              <w:t>3</w:t>
            </w:r>
          </w:p>
        </w:tc>
        <w:tc>
          <w:tcPr>
            <w:tcW w:w="1412" w:type="dxa"/>
            <w:vAlign w:val="center"/>
          </w:tcPr>
          <w:p w14:paraId="5EDF71A6">
            <w:pPr>
              <w:autoSpaceDE w:val="0"/>
              <w:autoSpaceDN w:val="0"/>
              <w:adjustRightInd w:val="0"/>
              <w:spacing w:line="300" w:lineRule="exact"/>
              <w:ind w:firstLine="0" w:firstLineChars="0"/>
              <w:jc w:val="center"/>
              <w:rPr>
                <w:rFonts w:ascii="宋体" w:hAnsi="宋体" w:cs="宋体"/>
                <w:sz w:val="18"/>
                <w:szCs w:val="18"/>
              </w:rPr>
            </w:pPr>
            <w:r>
              <w:rPr>
                <w:rFonts w:hint="eastAsia" w:ascii="宋体" w:hAnsi="宋体" w:cs="宋体"/>
                <w:sz w:val="18"/>
                <w:szCs w:val="18"/>
              </w:rPr>
              <w:t>钢构平台</w:t>
            </w:r>
          </w:p>
        </w:tc>
        <w:tc>
          <w:tcPr>
            <w:tcW w:w="5109" w:type="dxa"/>
            <w:vAlign w:val="center"/>
          </w:tcPr>
          <w:p w14:paraId="74E7A6A9">
            <w:pPr>
              <w:autoSpaceDE w:val="0"/>
              <w:autoSpaceDN w:val="0"/>
              <w:adjustRightInd w:val="0"/>
              <w:spacing w:line="300" w:lineRule="exact"/>
              <w:ind w:firstLine="0" w:firstLineChars="0"/>
              <w:rPr>
                <w:rFonts w:ascii="宋体" w:hAnsi="宋体" w:cs="宋体"/>
                <w:sz w:val="18"/>
                <w:szCs w:val="18"/>
              </w:rPr>
            </w:pPr>
            <w:r>
              <w:rPr>
                <w:rFonts w:hint="eastAsia" w:ascii="宋体" w:hAnsi="宋体" w:cs="宋体"/>
                <w:sz w:val="18"/>
                <w:szCs w:val="18"/>
              </w:rPr>
              <w:t>槽车装车钢构平台</w:t>
            </w:r>
          </w:p>
        </w:tc>
        <w:tc>
          <w:tcPr>
            <w:tcW w:w="992" w:type="dxa"/>
            <w:vAlign w:val="center"/>
          </w:tcPr>
          <w:p w14:paraId="37044BA3">
            <w:pPr>
              <w:autoSpaceDE w:val="0"/>
              <w:autoSpaceDN w:val="0"/>
              <w:adjustRightInd w:val="0"/>
              <w:spacing w:line="300" w:lineRule="exact"/>
              <w:ind w:firstLine="0" w:firstLineChars="0"/>
              <w:jc w:val="center"/>
              <w:rPr>
                <w:rFonts w:ascii="宋体" w:hAnsi="宋体" w:cs="宋体"/>
                <w:sz w:val="18"/>
                <w:szCs w:val="18"/>
              </w:rPr>
            </w:pPr>
            <w:r>
              <w:rPr>
                <w:rFonts w:hint="eastAsia" w:ascii="宋体" w:hAnsi="宋体" w:cs="宋体"/>
                <w:sz w:val="18"/>
                <w:szCs w:val="18"/>
              </w:rPr>
              <w:t>1</w:t>
            </w:r>
          </w:p>
        </w:tc>
        <w:tc>
          <w:tcPr>
            <w:tcW w:w="1134" w:type="dxa"/>
            <w:vAlign w:val="center"/>
          </w:tcPr>
          <w:p w14:paraId="14CDD643">
            <w:pPr>
              <w:autoSpaceDE w:val="0"/>
              <w:autoSpaceDN w:val="0"/>
              <w:adjustRightInd w:val="0"/>
              <w:spacing w:line="300" w:lineRule="exact"/>
              <w:ind w:firstLine="360"/>
              <w:jc w:val="left"/>
              <w:rPr>
                <w:rFonts w:ascii="宋体" w:hAnsi="宋体"/>
                <w:sz w:val="18"/>
                <w:szCs w:val="18"/>
              </w:rPr>
            </w:pPr>
          </w:p>
        </w:tc>
      </w:tr>
    </w:tbl>
    <w:p w14:paraId="4D0E6415">
      <w:pPr>
        <w:pStyle w:val="26"/>
        <w:numPr>
          <w:ilvl w:val="0"/>
          <w:numId w:val="9"/>
        </w:numPr>
        <w:spacing w:beforeLines="50" w:afterLines="50" w:line="400" w:lineRule="exact"/>
        <w:ind w:firstLineChars="0"/>
        <w:rPr>
          <w:rFonts w:ascii="宋体" w:hAnsi="宋体"/>
        </w:rPr>
      </w:pPr>
      <w:r>
        <w:rPr>
          <w:rFonts w:hint="eastAsia" w:ascii="宋体" w:hAnsi="宋体"/>
        </w:rPr>
        <w:t>依据图纸，本工程所需设备材料及工程量，包含但不限于以下项目：</w:t>
      </w:r>
    </w:p>
    <w:tbl>
      <w:tblPr>
        <w:tblStyle w:val="18"/>
        <w:tblW w:w="9498" w:type="dxa"/>
        <w:jc w:val="center"/>
        <w:tblLayout w:type="autofit"/>
        <w:tblCellMar>
          <w:top w:w="0" w:type="dxa"/>
          <w:left w:w="108" w:type="dxa"/>
          <w:bottom w:w="0" w:type="dxa"/>
          <w:right w:w="108" w:type="dxa"/>
        </w:tblCellMar>
      </w:tblPr>
      <w:tblGrid>
        <w:gridCol w:w="851"/>
        <w:gridCol w:w="1407"/>
        <w:gridCol w:w="6106"/>
        <w:gridCol w:w="1134"/>
      </w:tblGrid>
      <w:tr w14:paraId="755DD7E4">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EB4D9B">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项目</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658F0845">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名称</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60D794E7">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内容及说明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8AEC4E">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数量</w:t>
            </w:r>
          </w:p>
        </w:tc>
      </w:tr>
      <w:tr w14:paraId="1E299E81">
        <w:tblPrEx>
          <w:tblCellMar>
            <w:top w:w="0" w:type="dxa"/>
            <w:left w:w="108" w:type="dxa"/>
            <w:bottom w:w="0" w:type="dxa"/>
            <w:right w:w="108" w:type="dxa"/>
          </w:tblCellMar>
        </w:tblPrEx>
        <w:trPr>
          <w:trHeight w:val="390" w:hRule="atLeast"/>
          <w:jc w:val="center"/>
        </w:trPr>
        <w:tc>
          <w:tcPr>
            <w:tcW w:w="9498" w:type="dxa"/>
            <w:gridSpan w:val="4"/>
            <w:tcBorders>
              <w:top w:val="single" w:color="auto" w:sz="4" w:space="0"/>
              <w:left w:val="single" w:color="auto" w:sz="8" w:space="0"/>
              <w:bottom w:val="single" w:color="auto" w:sz="8" w:space="0"/>
              <w:right w:val="single" w:color="000000" w:sz="8" w:space="0"/>
            </w:tcBorders>
            <w:shd w:val="clear" w:color="auto" w:fill="auto"/>
            <w:vAlign w:val="center"/>
          </w:tcPr>
          <w:p w14:paraId="7DAB2A17">
            <w:pPr>
              <w:widowControl/>
              <w:spacing w:line="300" w:lineRule="exact"/>
              <w:ind w:firstLine="0" w:firstLineChars="0"/>
              <w:jc w:val="left"/>
              <w:rPr>
                <w:rFonts w:ascii="宋体" w:hAnsi="宋体" w:cs="宋体"/>
                <w:kern w:val="0"/>
                <w:sz w:val="18"/>
                <w:szCs w:val="18"/>
              </w:rPr>
            </w:pPr>
            <w:r>
              <w:rPr>
                <w:rFonts w:hint="eastAsia" w:ascii="宋体" w:hAnsi="宋体" w:cs="宋体"/>
                <w:kern w:val="0"/>
                <w:sz w:val="18"/>
                <w:szCs w:val="18"/>
              </w:rPr>
              <w:t>一、进料系统部分</w:t>
            </w:r>
          </w:p>
        </w:tc>
      </w:tr>
      <w:tr w14:paraId="7B94A2C9">
        <w:tblPrEx>
          <w:tblCellMar>
            <w:top w:w="0" w:type="dxa"/>
            <w:left w:w="108" w:type="dxa"/>
            <w:bottom w:w="0" w:type="dxa"/>
            <w:right w:w="108" w:type="dxa"/>
          </w:tblCellMar>
        </w:tblPrEx>
        <w:trPr>
          <w:trHeight w:val="621"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14:paraId="3045330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进料系统</w:t>
            </w:r>
          </w:p>
        </w:tc>
        <w:tc>
          <w:tcPr>
            <w:tcW w:w="1407" w:type="dxa"/>
            <w:tcBorders>
              <w:top w:val="nil"/>
              <w:left w:val="nil"/>
              <w:bottom w:val="single" w:color="auto" w:sz="8" w:space="0"/>
              <w:right w:val="single" w:color="auto" w:sz="8" w:space="0"/>
            </w:tcBorders>
            <w:shd w:val="clear" w:color="auto" w:fill="auto"/>
            <w:vAlign w:val="center"/>
          </w:tcPr>
          <w:p w14:paraId="0608314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气动闸板阀</w:t>
            </w:r>
          </w:p>
          <w:p w14:paraId="6A24E6A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利旧</w:t>
            </w:r>
            <w:r>
              <w:rPr>
                <w:rFonts w:hint="eastAsia" w:ascii="宋体" w:hAnsi="宋体" w:cs="宋体"/>
                <w:sz w:val="18"/>
                <w:szCs w:val="18"/>
              </w:rPr>
              <w:t>)</w:t>
            </w:r>
          </w:p>
        </w:tc>
        <w:tc>
          <w:tcPr>
            <w:tcW w:w="6106" w:type="dxa"/>
            <w:tcBorders>
              <w:top w:val="nil"/>
              <w:left w:val="nil"/>
              <w:bottom w:val="single" w:color="auto" w:sz="8" w:space="0"/>
              <w:right w:val="single" w:color="auto" w:sz="8" w:space="0"/>
            </w:tcBorders>
            <w:shd w:val="clear" w:color="auto" w:fill="auto"/>
            <w:vAlign w:val="center"/>
          </w:tcPr>
          <w:p w14:paraId="7DF9432B">
            <w:pPr>
              <w:adjustRightInd w:val="0"/>
              <w:snapToGrid w:val="0"/>
              <w:spacing w:line="300" w:lineRule="exact"/>
              <w:ind w:firstLine="0" w:firstLineChars="0"/>
              <w:jc w:val="center"/>
              <w:rPr>
                <w:rFonts w:ascii="宋体" w:hAnsi="宋体" w:cs="宋体"/>
                <w:sz w:val="18"/>
                <w:szCs w:val="18"/>
              </w:rPr>
            </w:pPr>
            <w:r>
              <w:rPr>
                <w:rFonts w:hint="eastAsia" w:ascii="宋体" w:hAnsi="宋体" w:cs="宋体"/>
                <w:sz w:val="18"/>
                <w:szCs w:val="18"/>
              </w:rPr>
              <w:t>需更换控制电磁阀（改用双电控两位五通）增加中间位置反馈开关（开到位、中间位置、关到位）并接入PLC系统。</w:t>
            </w:r>
          </w:p>
        </w:tc>
        <w:tc>
          <w:tcPr>
            <w:tcW w:w="1134" w:type="dxa"/>
            <w:tcBorders>
              <w:top w:val="nil"/>
              <w:left w:val="nil"/>
              <w:bottom w:val="single" w:color="auto" w:sz="8" w:space="0"/>
              <w:right w:val="single" w:color="auto" w:sz="8" w:space="0"/>
            </w:tcBorders>
            <w:shd w:val="clear" w:color="auto" w:fill="auto"/>
            <w:vAlign w:val="center"/>
          </w:tcPr>
          <w:p w14:paraId="21A1F3C8">
            <w:pPr>
              <w:widowControl/>
              <w:spacing w:line="300" w:lineRule="exact"/>
              <w:ind w:firstLine="0" w:firstLineChars="0"/>
              <w:jc w:val="center"/>
              <w:rPr>
                <w:rFonts w:ascii="宋体" w:hAnsi="宋体" w:cs="宋体"/>
                <w:sz w:val="18"/>
                <w:szCs w:val="18"/>
              </w:rPr>
            </w:pPr>
          </w:p>
        </w:tc>
      </w:tr>
      <w:tr w14:paraId="6D464D70">
        <w:tblPrEx>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14:paraId="0332DE80">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1230DC53">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过滤箱</w:t>
            </w:r>
          </w:p>
        </w:tc>
        <w:tc>
          <w:tcPr>
            <w:tcW w:w="6106" w:type="dxa"/>
            <w:tcBorders>
              <w:top w:val="nil"/>
              <w:left w:val="nil"/>
              <w:bottom w:val="single" w:color="auto" w:sz="8" w:space="0"/>
              <w:right w:val="single" w:color="auto" w:sz="8" w:space="0"/>
            </w:tcBorders>
            <w:shd w:val="clear" w:color="auto" w:fill="auto"/>
            <w:vAlign w:val="center"/>
          </w:tcPr>
          <w:p w14:paraId="60F94D13">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过滤箱尺寸：Φ650*1150mm立式，设计压力：0.5MPa,工作温度：120°C、过滤箱滤网安装倾斜角30度，网格有效内径7.4*26mm, 进料口和出料口上下对齐法兰连接。</w:t>
            </w:r>
          </w:p>
        </w:tc>
        <w:tc>
          <w:tcPr>
            <w:tcW w:w="1134" w:type="dxa"/>
            <w:tcBorders>
              <w:top w:val="nil"/>
              <w:left w:val="nil"/>
              <w:bottom w:val="single" w:color="auto" w:sz="8" w:space="0"/>
              <w:right w:val="single" w:color="auto" w:sz="8" w:space="0"/>
            </w:tcBorders>
            <w:shd w:val="clear" w:color="auto" w:fill="auto"/>
            <w:vAlign w:val="center"/>
          </w:tcPr>
          <w:p w14:paraId="0B6F55F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1台</w:t>
            </w:r>
          </w:p>
        </w:tc>
      </w:tr>
      <w:tr w14:paraId="70E4F39B">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14:paraId="73A49624">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0B5AC37D">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10"进料管</w:t>
            </w:r>
          </w:p>
        </w:tc>
        <w:tc>
          <w:tcPr>
            <w:tcW w:w="6106" w:type="dxa"/>
            <w:tcBorders>
              <w:top w:val="nil"/>
              <w:left w:val="nil"/>
              <w:bottom w:val="single" w:color="auto" w:sz="8" w:space="0"/>
              <w:right w:val="single" w:color="auto" w:sz="8" w:space="0"/>
            </w:tcBorders>
            <w:shd w:val="clear" w:color="auto" w:fill="auto"/>
            <w:vAlign w:val="center"/>
          </w:tcPr>
          <w:p w14:paraId="33AA53E3">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酸洗，抛光，分为三段。垂直段与过滤箱连接处需法兰连接；湾头段，R≤1200mm（夹袋器到进料管垂直段外侧距离≤1200mm，该距离越小越好）；进料水平段长度=1800mm.满足装车要求，带有吹气2寸不锈钢管线和手阀(N6)、气动蝶阀(N7)</w:t>
            </w:r>
          </w:p>
        </w:tc>
        <w:tc>
          <w:tcPr>
            <w:tcW w:w="1134" w:type="dxa"/>
            <w:tcBorders>
              <w:top w:val="nil"/>
              <w:left w:val="nil"/>
              <w:bottom w:val="single" w:color="auto" w:sz="8" w:space="0"/>
              <w:right w:val="single" w:color="auto" w:sz="8" w:space="0"/>
            </w:tcBorders>
            <w:shd w:val="clear" w:color="auto" w:fill="auto"/>
            <w:vAlign w:val="center"/>
          </w:tcPr>
          <w:p w14:paraId="22C68C1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33米</w:t>
            </w:r>
          </w:p>
        </w:tc>
      </w:tr>
      <w:tr w14:paraId="567175F4">
        <w:tblPrEx>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14:paraId="1F68EA95">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79BAD06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夹袋器</w:t>
            </w:r>
          </w:p>
        </w:tc>
        <w:tc>
          <w:tcPr>
            <w:tcW w:w="6106" w:type="dxa"/>
            <w:tcBorders>
              <w:top w:val="nil"/>
              <w:left w:val="nil"/>
              <w:bottom w:val="single" w:color="auto" w:sz="8" w:space="0"/>
              <w:right w:val="single" w:color="auto" w:sz="8" w:space="0"/>
            </w:tcBorders>
            <w:shd w:val="clear" w:color="auto" w:fill="auto"/>
            <w:vAlign w:val="center"/>
          </w:tcPr>
          <w:p w14:paraId="5D47CD62">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夹袋器设计参数：0.2MPa，工作温度：120℃，材质：S304，直径：DN250mm,与管道外径连接尺寸Φ273mm,采用法兰连接，法兰尺寸：DN250mm法兰 4个，法兰压力等级标准： CL150 WN  HG/T20615</w:t>
            </w:r>
          </w:p>
        </w:tc>
        <w:tc>
          <w:tcPr>
            <w:tcW w:w="1134" w:type="dxa"/>
            <w:tcBorders>
              <w:top w:val="nil"/>
              <w:left w:val="nil"/>
              <w:bottom w:val="single" w:color="auto" w:sz="8" w:space="0"/>
              <w:right w:val="single" w:color="auto" w:sz="8" w:space="0"/>
            </w:tcBorders>
            <w:shd w:val="clear" w:color="auto" w:fill="auto"/>
            <w:vAlign w:val="center"/>
          </w:tcPr>
          <w:p w14:paraId="5B995830">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2个</w:t>
            </w:r>
          </w:p>
        </w:tc>
      </w:tr>
      <w:tr w14:paraId="50BC8C54">
        <w:tblPrEx>
          <w:tblCellMar>
            <w:top w:w="0" w:type="dxa"/>
            <w:left w:w="108" w:type="dxa"/>
            <w:bottom w:w="0" w:type="dxa"/>
            <w:right w:w="108" w:type="dxa"/>
          </w:tblCellMar>
        </w:tblPrEx>
        <w:trPr>
          <w:trHeight w:val="300" w:hRule="atLeast"/>
          <w:jc w:val="center"/>
        </w:trPr>
        <w:tc>
          <w:tcPr>
            <w:tcW w:w="9498" w:type="dxa"/>
            <w:gridSpan w:val="4"/>
            <w:tcBorders>
              <w:top w:val="nil"/>
              <w:left w:val="single" w:color="auto" w:sz="8" w:space="0"/>
              <w:bottom w:val="single" w:color="auto" w:sz="8" w:space="0"/>
              <w:right w:val="single" w:color="000000" w:sz="8" w:space="0"/>
            </w:tcBorders>
            <w:shd w:val="clear" w:color="auto" w:fill="auto"/>
            <w:vAlign w:val="center"/>
          </w:tcPr>
          <w:p w14:paraId="7FC99476">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二、除尘系统</w:t>
            </w:r>
          </w:p>
        </w:tc>
      </w:tr>
      <w:tr w14:paraId="4F7AD2AF">
        <w:tblPrEx>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right w:val="single" w:color="auto" w:sz="8" w:space="0"/>
            </w:tcBorders>
            <w:shd w:val="clear" w:color="auto" w:fill="auto"/>
            <w:vAlign w:val="center"/>
          </w:tcPr>
          <w:p w14:paraId="6A320316">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除尘机</w:t>
            </w:r>
          </w:p>
        </w:tc>
        <w:tc>
          <w:tcPr>
            <w:tcW w:w="1407" w:type="dxa"/>
            <w:tcBorders>
              <w:top w:val="nil"/>
              <w:left w:val="nil"/>
              <w:bottom w:val="single" w:color="auto" w:sz="8" w:space="0"/>
              <w:right w:val="single" w:color="auto" w:sz="8" w:space="0"/>
            </w:tcBorders>
            <w:shd w:val="clear" w:color="auto" w:fill="auto"/>
            <w:vAlign w:val="center"/>
          </w:tcPr>
          <w:p w14:paraId="71AF55CF">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除尘机</w:t>
            </w:r>
          </w:p>
        </w:tc>
        <w:tc>
          <w:tcPr>
            <w:tcW w:w="6106" w:type="dxa"/>
            <w:tcBorders>
              <w:top w:val="nil"/>
              <w:left w:val="nil"/>
              <w:bottom w:val="single" w:color="auto" w:sz="8" w:space="0"/>
              <w:right w:val="single" w:color="auto" w:sz="8" w:space="0"/>
            </w:tcBorders>
            <w:shd w:val="clear" w:color="auto" w:fill="auto"/>
            <w:vAlign w:val="center"/>
          </w:tcPr>
          <w:p w14:paraId="2037C37B">
            <w:pPr>
              <w:spacing w:line="300" w:lineRule="exact"/>
              <w:ind w:firstLine="0" w:firstLineChars="0"/>
              <w:jc w:val="left"/>
              <w:rPr>
                <w:rFonts w:hint="default" w:ascii="宋体" w:hAnsi="宋体" w:eastAsia="宋体" w:cs="宋体"/>
                <w:sz w:val="18"/>
                <w:szCs w:val="18"/>
                <w:lang w:val="en-US" w:eastAsia="zh-CN"/>
              </w:rPr>
            </w:pPr>
            <w:r>
              <w:rPr>
                <w:rFonts w:hint="eastAsia" w:ascii="宋体" w:hAnsi="宋体" w:cs="宋体"/>
                <w:sz w:val="18"/>
                <w:szCs w:val="18"/>
              </w:rPr>
              <w:t>具体参数：S304材质，除尘风量：1500m³/h,风压：≥6500Pa，吸风口直径DN150mm，</w:t>
            </w:r>
            <w:r>
              <w:rPr>
                <w:rFonts w:hint="eastAsia" w:ascii="宋体" w:hAnsi="宋体" w:cs="宋体"/>
                <w:sz w:val="18"/>
                <w:szCs w:val="18"/>
                <w:lang w:eastAsia="zh-CN"/>
              </w:rPr>
              <w:t>过滤效率</w:t>
            </w:r>
            <w:r>
              <w:rPr>
                <w:rFonts w:hint="eastAsia" w:ascii="宋体" w:hAnsi="宋体" w:cs="宋体"/>
                <w:sz w:val="18"/>
                <w:szCs w:val="18"/>
                <w:lang w:val="en-US" w:eastAsia="zh-CN"/>
              </w:rPr>
              <w:t>:0.5-1micron@99.99%。</w:t>
            </w:r>
          </w:p>
        </w:tc>
        <w:tc>
          <w:tcPr>
            <w:tcW w:w="1134" w:type="dxa"/>
            <w:tcBorders>
              <w:top w:val="nil"/>
              <w:left w:val="nil"/>
              <w:bottom w:val="single" w:color="auto" w:sz="8" w:space="0"/>
              <w:right w:val="single" w:color="auto" w:sz="8" w:space="0"/>
            </w:tcBorders>
            <w:shd w:val="clear" w:color="auto" w:fill="auto"/>
            <w:vAlign w:val="center"/>
          </w:tcPr>
          <w:p w14:paraId="0889FD4E">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1台</w:t>
            </w:r>
          </w:p>
        </w:tc>
      </w:tr>
      <w:tr w14:paraId="2EF16FE8">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vAlign w:val="center"/>
          </w:tcPr>
          <w:p w14:paraId="6940B50B">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32364D96">
            <w:pPr>
              <w:widowControl/>
              <w:spacing w:line="300" w:lineRule="exact"/>
              <w:ind w:firstLine="0" w:firstLineChars="0"/>
              <w:jc w:val="center"/>
              <w:rPr>
                <w:rFonts w:ascii="宋体" w:hAnsi="宋体" w:cs="宋体"/>
                <w:sz w:val="18"/>
                <w:szCs w:val="18"/>
              </w:rPr>
            </w:pPr>
            <w:r>
              <w:rPr>
                <w:rFonts w:hint="eastAsia" w:ascii="宋体" w:hAnsi="宋体" w:cs="宋体"/>
                <w:sz w:val="18"/>
                <w:szCs w:val="18"/>
                <w:highlight w:val="none"/>
              </w:rPr>
              <w:t>除尘机电机</w:t>
            </w:r>
          </w:p>
        </w:tc>
        <w:tc>
          <w:tcPr>
            <w:tcW w:w="6106" w:type="dxa"/>
            <w:tcBorders>
              <w:top w:val="nil"/>
              <w:left w:val="nil"/>
              <w:bottom w:val="single" w:color="auto" w:sz="8" w:space="0"/>
              <w:right w:val="single" w:color="auto" w:sz="8" w:space="0"/>
            </w:tcBorders>
            <w:shd w:val="clear" w:color="auto" w:fill="auto"/>
            <w:vAlign w:val="center"/>
          </w:tcPr>
          <w:p w14:paraId="7C97EF04">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粉尘防爆电机：三相380V,50Hz，IP55，电机引线螺纹接口。电机防爆等级/防护等级：Extb ⅢC T130℃ Db/IP55，除尘风机电机与除尘机电控箱使用的电缆属成套设备，电缆要求阻燃铠装电力电缆且使用国力知名品牌。</w:t>
            </w:r>
          </w:p>
          <w:p w14:paraId="2C97CD98">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：卧龙电气南阳防爆集团</w:t>
            </w:r>
            <w:r>
              <w:rPr>
                <w:rFonts w:hint="eastAsia" w:ascii="宋体" w:hAnsi="宋体" w:cs="宋体"/>
                <w:sz w:val="18"/>
                <w:szCs w:val="18"/>
                <w:lang w:eastAsia="zh-CN"/>
              </w:rPr>
              <w:t>股份有限公司</w:t>
            </w:r>
            <w:r>
              <w:rPr>
                <w:rFonts w:hint="eastAsia" w:ascii="宋体" w:hAnsi="宋体" w:cs="宋体"/>
                <w:sz w:val="18"/>
                <w:szCs w:val="18"/>
              </w:rPr>
              <w:t>，佳木斯电机</w:t>
            </w:r>
            <w:r>
              <w:rPr>
                <w:rFonts w:hint="eastAsia" w:ascii="宋体" w:hAnsi="宋体" w:cs="宋体"/>
                <w:sz w:val="18"/>
                <w:szCs w:val="18"/>
                <w:lang w:eastAsia="zh-CN"/>
              </w:rPr>
              <w:t>股份有限公司</w:t>
            </w:r>
            <w:r>
              <w:rPr>
                <w:rFonts w:hint="eastAsia" w:ascii="宋体" w:hAnsi="宋体" w:cs="宋体"/>
                <w:sz w:val="18"/>
                <w:szCs w:val="18"/>
              </w:rPr>
              <w:t>；南阳防爆（苏州）</w:t>
            </w:r>
            <w:r>
              <w:rPr>
                <w:rFonts w:hint="eastAsia" w:ascii="宋体" w:hAnsi="宋体" w:cs="宋体"/>
                <w:sz w:val="18"/>
                <w:szCs w:val="18"/>
                <w:lang w:eastAsia="zh-CN"/>
              </w:rPr>
              <w:t>特种装备有限公司</w:t>
            </w:r>
            <w:r>
              <w:rPr>
                <w:rFonts w:hint="eastAsia" w:ascii="宋体" w:hAnsi="宋体" w:cs="宋体"/>
                <w:sz w:val="18"/>
                <w:szCs w:val="18"/>
              </w:rPr>
              <w:t>；湘潭电机</w:t>
            </w:r>
            <w:r>
              <w:rPr>
                <w:rFonts w:hint="eastAsia" w:ascii="宋体" w:hAnsi="宋体" w:cs="宋体"/>
                <w:sz w:val="18"/>
                <w:szCs w:val="18"/>
                <w:lang w:eastAsia="zh-CN"/>
              </w:rPr>
              <w:t>股份有限公司。</w:t>
            </w:r>
          </w:p>
        </w:tc>
        <w:tc>
          <w:tcPr>
            <w:tcW w:w="1134" w:type="dxa"/>
            <w:tcBorders>
              <w:top w:val="nil"/>
              <w:left w:val="nil"/>
              <w:bottom w:val="single" w:color="auto" w:sz="8" w:space="0"/>
              <w:right w:val="single" w:color="auto" w:sz="8" w:space="0"/>
            </w:tcBorders>
            <w:shd w:val="clear" w:color="auto" w:fill="auto"/>
            <w:vAlign w:val="center"/>
          </w:tcPr>
          <w:p w14:paraId="4C1FB919">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1台</w:t>
            </w:r>
          </w:p>
          <w:p w14:paraId="5CA7BA30">
            <w:pPr>
              <w:widowControl/>
              <w:spacing w:line="300" w:lineRule="exact"/>
              <w:ind w:firstLine="0" w:firstLineChars="0"/>
              <w:jc w:val="center"/>
              <w:rPr>
                <w:rFonts w:ascii="宋体" w:hAnsi="宋体" w:cs="宋体"/>
                <w:sz w:val="18"/>
                <w:szCs w:val="18"/>
              </w:rPr>
            </w:pPr>
          </w:p>
        </w:tc>
      </w:tr>
      <w:tr w14:paraId="6C3F4464">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vAlign w:val="center"/>
          </w:tcPr>
          <w:p w14:paraId="5ACF3734">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62D778E7">
            <w:pPr>
              <w:widowControl/>
              <w:spacing w:line="300" w:lineRule="exact"/>
              <w:ind w:firstLine="0" w:firstLineChars="0"/>
              <w:jc w:val="center"/>
              <w:rPr>
                <w:rFonts w:ascii="宋体" w:hAnsi="宋体" w:cs="宋体"/>
                <w:sz w:val="18"/>
                <w:szCs w:val="18"/>
              </w:rPr>
            </w:pPr>
            <w:r>
              <w:rPr>
                <w:rFonts w:hint="eastAsia" w:ascii="宋体" w:hAnsi="宋体" w:cs="宋体"/>
                <w:sz w:val="18"/>
                <w:szCs w:val="18"/>
                <w:highlight w:val="none"/>
              </w:rPr>
              <w:t>除尘机电控箱</w:t>
            </w:r>
          </w:p>
        </w:tc>
        <w:tc>
          <w:tcPr>
            <w:tcW w:w="6106" w:type="dxa"/>
            <w:tcBorders>
              <w:top w:val="nil"/>
              <w:left w:val="nil"/>
              <w:bottom w:val="single" w:color="auto" w:sz="8" w:space="0"/>
              <w:right w:val="single" w:color="auto" w:sz="8" w:space="0"/>
            </w:tcBorders>
            <w:shd w:val="clear" w:color="auto" w:fill="auto"/>
            <w:vAlign w:val="center"/>
          </w:tcPr>
          <w:p w14:paraId="0E31ACCB">
            <w:pPr>
              <w:widowControl/>
              <w:spacing w:line="300" w:lineRule="exact"/>
              <w:ind w:firstLine="0" w:firstLineChars="0"/>
              <w:jc w:val="left"/>
              <w:rPr>
                <w:rFonts w:hint="eastAsia" w:ascii="宋体" w:hAnsi="宋体" w:cs="宋体"/>
                <w:b w:val="0"/>
                <w:bCs w:val="0"/>
                <w:sz w:val="18"/>
                <w:szCs w:val="18"/>
                <w:lang w:eastAsia="zh-CN"/>
              </w:rPr>
            </w:pPr>
            <w:r>
              <w:rPr>
                <w:rFonts w:hint="eastAsia" w:ascii="宋体" w:hAnsi="宋体" w:cs="宋体"/>
                <w:sz w:val="18"/>
                <w:szCs w:val="18"/>
              </w:rPr>
              <w:t>S304材质，可自动/手动，两种操作切换，电缆进电控箱方式：下进下出，</w:t>
            </w:r>
          </w:p>
          <w:p w14:paraId="0ECBE76A">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防爆等级/防护等级：Ex tb ⅢC T80℃ Db/IP66</w:t>
            </w:r>
            <w:r>
              <w:rPr>
                <w:rFonts w:hint="eastAsia" w:ascii="宋体" w:hAnsi="宋体" w:cs="宋体"/>
                <w:sz w:val="18"/>
                <w:szCs w:val="18"/>
                <w:lang w:val="en-US" w:eastAsia="zh-CN"/>
              </w:rPr>
              <w:t xml:space="preserve"> WF2</w:t>
            </w:r>
            <w:r>
              <w:rPr>
                <w:rFonts w:hint="eastAsia" w:ascii="宋体" w:hAnsi="宋体" w:cs="宋体"/>
                <w:sz w:val="18"/>
                <w:szCs w:val="18"/>
              </w:rPr>
              <w:t>。</w:t>
            </w:r>
            <w:r>
              <w:rPr>
                <w:rFonts w:hint="eastAsia" w:ascii="宋体" w:hAnsi="宋体" w:cs="宋体"/>
                <w:sz w:val="18"/>
                <w:szCs w:val="18"/>
                <w:lang w:eastAsia="zh-CN"/>
              </w:rPr>
              <w:t>电控箱</w:t>
            </w:r>
            <w:r>
              <w:rPr>
                <w:rFonts w:hint="eastAsia" w:ascii="宋体" w:hAnsi="宋体" w:cs="宋体"/>
                <w:b w:val="0"/>
                <w:bCs w:val="0"/>
                <w:sz w:val="18"/>
                <w:szCs w:val="18"/>
                <w:lang w:eastAsia="zh-CN"/>
              </w:rPr>
              <w:t>三包围防护罩。</w:t>
            </w:r>
          </w:p>
          <w:p w14:paraId="2F928198">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：华荣</w:t>
            </w:r>
            <w:r>
              <w:rPr>
                <w:rFonts w:hint="eastAsia" w:ascii="宋体" w:hAnsi="宋体" w:cs="宋体"/>
                <w:sz w:val="18"/>
                <w:szCs w:val="18"/>
                <w:lang w:eastAsia="zh-CN"/>
              </w:rPr>
              <w:t>科技股份有限公司</w:t>
            </w:r>
            <w:r>
              <w:rPr>
                <w:rFonts w:hint="eastAsia" w:ascii="宋体" w:hAnsi="宋体" w:cs="宋体"/>
                <w:sz w:val="18"/>
                <w:szCs w:val="18"/>
              </w:rPr>
              <w:t>、创正电气</w:t>
            </w:r>
            <w:r>
              <w:rPr>
                <w:rFonts w:hint="eastAsia" w:ascii="宋体" w:hAnsi="宋体" w:cs="宋体"/>
                <w:sz w:val="18"/>
                <w:szCs w:val="18"/>
                <w:lang w:eastAsia="zh-CN"/>
              </w:rPr>
              <w:t>股份有限公司</w:t>
            </w:r>
            <w:r>
              <w:rPr>
                <w:rFonts w:hint="eastAsia" w:ascii="宋体" w:hAnsi="宋体" w:cs="宋体"/>
                <w:sz w:val="18"/>
                <w:szCs w:val="18"/>
              </w:rPr>
              <w:t>、库柏电气</w:t>
            </w:r>
            <w:r>
              <w:rPr>
                <w:rFonts w:hint="eastAsia" w:ascii="宋体" w:hAnsi="宋体" w:cs="宋体"/>
                <w:sz w:val="18"/>
                <w:szCs w:val="18"/>
                <w:lang w:eastAsia="zh-CN"/>
              </w:rPr>
              <w:t>（上海</w:t>
            </w:r>
            <w:r>
              <w:rPr>
                <w:rFonts w:hint="eastAsia" w:ascii="宋体" w:hAnsi="宋体" w:cs="宋体"/>
                <w:sz w:val="18"/>
                <w:szCs w:val="18"/>
                <w:lang w:val="en-US" w:eastAsia="zh-CN"/>
              </w:rPr>
              <w:t>)有限公司</w:t>
            </w:r>
            <w:r>
              <w:rPr>
                <w:rFonts w:hint="eastAsia" w:ascii="宋体" w:hAnsi="宋体" w:cs="宋体"/>
                <w:sz w:val="18"/>
                <w:szCs w:val="18"/>
                <w:lang w:eastAsia="zh-CN"/>
              </w:rPr>
              <w:t>。</w:t>
            </w:r>
          </w:p>
        </w:tc>
        <w:tc>
          <w:tcPr>
            <w:tcW w:w="1134" w:type="dxa"/>
            <w:tcBorders>
              <w:top w:val="nil"/>
              <w:left w:val="nil"/>
              <w:bottom w:val="single" w:color="auto" w:sz="8" w:space="0"/>
              <w:right w:val="single" w:color="auto" w:sz="8" w:space="0"/>
            </w:tcBorders>
            <w:shd w:val="clear" w:color="auto" w:fill="auto"/>
            <w:vAlign w:val="center"/>
          </w:tcPr>
          <w:p w14:paraId="62F4DD8D">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p w14:paraId="2F1C44B4">
            <w:pPr>
              <w:widowControl/>
              <w:spacing w:line="300" w:lineRule="exact"/>
              <w:ind w:firstLine="0" w:firstLineChars="0"/>
              <w:jc w:val="center"/>
              <w:rPr>
                <w:rFonts w:ascii="宋体" w:hAnsi="宋体" w:cs="宋体"/>
                <w:sz w:val="18"/>
                <w:szCs w:val="18"/>
              </w:rPr>
            </w:pPr>
          </w:p>
        </w:tc>
      </w:tr>
      <w:tr w14:paraId="2CABE340">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vAlign w:val="center"/>
          </w:tcPr>
          <w:p w14:paraId="70FED18D">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6E3831D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夹袋器DN100</w:t>
            </w:r>
          </w:p>
        </w:tc>
        <w:tc>
          <w:tcPr>
            <w:tcW w:w="6106" w:type="dxa"/>
            <w:tcBorders>
              <w:top w:val="nil"/>
              <w:left w:val="nil"/>
              <w:bottom w:val="single" w:color="auto" w:sz="8" w:space="0"/>
              <w:right w:val="single" w:color="auto" w:sz="8" w:space="0"/>
            </w:tcBorders>
            <w:shd w:val="clear" w:color="auto" w:fill="auto"/>
            <w:vAlign w:val="center"/>
          </w:tcPr>
          <w:p w14:paraId="71514658">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夹袋器设计参数：0.2MPa，工作温度：120℃，材质：S304，直径：DN100mm,与管道外径连接尺寸Φ114.3mm,采用法兰连接，法兰尺寸：DN100mm法兰 4个，法兰压力等级标准： CL150 WN  HG/T20615</w:t>
            </w:r>
          </w:p>
        </w:tc>
        <w:tc>
          <w:tcPr>
            <w:tcW w:w="1134" w:type="dxa"/>
            <w:tcBorders>
              <w:top w:val="nil"/>
              <w:left w:val="nil"/>
              <w:bottom w:val="single" w:color="auto" w:sz="8" w:space="0"/>
              <w:right w:val="single" w:color="auto" w:sz="8" w:space="0"/>
            </w:tcBorders>
            <w:shd w:val="clear" w:color="auto" w:fill="auto"/>
            <w:vAlign w:val="center"/>
          </w:tcPr>
          <w:p w14:paraId="3AAF984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w:t>
            </w:r>
          </w:p>
        </w:tc>
      </w:tr>
      <w:tr w14:paraId="3A6E1508">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bottom w:val="single" w:color="000000" w:sz="8" w:space="0"/>
              <w:right w:val="single" w:color="auto" w:sz="8" w:space="0"/>
            </w:tcBorders>
            <w:shd w:val="clear" w:color="auto" w:fill="auto"/>
            <w:vAlign w:val="center"/>
          </w:tcPr>
          <w:p w14:paraId="17BCFBBA">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533B715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放空罐</w:t>
            </w:r>
          </w:p>
        </w:tc>
        <w:tc>
          <w:tcPr>
            <w:tcW w:w="6106" w:type="dxa"/>
            <w:tcBorders>
              <w:top w:val="nil"/>
              <w:left w:val="nil"/>
              <w:bottom w:val="single" w:color="auto" w:sz="8" w:space="0"/>
              <w:right w:val="single" w:color="auto" w:sz="8" w:space="0"/>
            </w:tcBorders>
            <w:shd w:val="clear" w:color="auto" w:fill="auto"/>
            <w:vAlign w:val="center"/>
          </w:tcPr>
          <w:p w14:paraId="36FFE32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原有利旧需重新防腐</w:t>
            </w:r>
          </w:p>
        </w:tc>
        <w:tc>
          <w:tcPr>
            <w:tcW w:w="1134" w:type="dxa"/>
            <w:tcBorders>
              <w:top w:val="nil"/>
              <w:left w:val="nil"/>
              <w:bottom w:val="single" w:color="auto" w:sz="8" w:space="0"/>
              <w:right w:val="single" w:color="auto" w:sz="8" w:space="0"/>
            </w:tcBorders>
            <w:shd w:val="clear" w:color="auto" w:fill="auto"/>
            <w:vAlign w:val="center"/>
          </w:tcPr>
          <w:p w14:paraId="217C44D9">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w:t>
            </w:r>
          </w:p>
        </w:tc>
      </w:tr>
      <w:tr w14:paraId="32258392">
        <w:tblPrEx>
          <w:tblCellMar>
            <w:top w:w="0" w:type="dxa"/>
            <w:left w:w="108" w:type="dxa"/>
            <w:bottom w:w="0" w:type="dxa"/>
            <w:right w:w="108" w:type="dxa"/>
          </w:tblCellMar>
        </w:tblPrEx>
        <w:trPr>
          <w:trHeight w:val="327" w:hRule="atLeast"/>
          <w:jc w:val="center"/>
        </w:trPr>
        <w:tc>
          <w:tcPr>
            <w:tcW w:w="9498" w:type="dxa"/>
            <w:gridSpan w:val="4"/>
            <w:tcBorders>
              <w:top w:val="nil"/>
              <w:left w:val="single" w:color="auto" w:sz="8" w:space="0"/>
              <w:bottom w:val="single" w:color="000000" w:sz="8" w:space="0"/>
              <w:right w:val="single" w:color="auto" w:sz="8" w:space="0"/>
            </w:tcBorders>
            <w:shd w:val="clear" w:color="auto" w:fill="auto"/>
            <w:vAlign w:val="center"/>
          </w:tcPr>
          <w:p w14:paraId="684BBE99">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三、重量控制系统</w:t>
            </w:r>
          </w:p>
        </w:tc>
      </w:tr>
      <w:tr w14:paraId="4F056E49">
        <w:tblPrEx>
          <w:tblCellMar>
            <w:top w:w="0" w:type="dxa"/>
            <w:left w:w="108" w:type="dxa"/>
            <w:bottom w:w="0" w:type="dxa"/>
            <w:right w:w="108" w:type="dxa"/>
          </w:tblCellMar>
        </w:tblPrEx>
        <w:trPr>
          <w:trHeight w:val="459" w:hRule="atLeast"/>
          <w:jc w:val="center"/>
        </w:trPr>
        <w:tc>
          <w:tcPr>
            <w:tcW w:w="851" w:type="dxa"/>
            <w:vMerge w:val="restart"/>
            <w:tcBorders>
              <w:top w:val="nil"/>
              <w:left w:val="single" w:color="auto" w:sz="8" w:space="0"/>
              <w:right w:val="single" w:color="auto" w:sz="8" w:space="0"/>
            </w:tcBorders>
            <w:shd w:val="clear" w:color="auto" w:fill="auto"/>
            <w:vAlign w:val="center"/>
          </w:tcPr>
          <w:p w14:paraId="0EBDB795">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重量控制系统</w:t>
            </w:r>
          </w:p>
        </w:tc>
        <w:tc>
          <w:tcPr>
            <w:tcW w:w="1407" w:type="dxa"/>
            <w:tcBorders>
              <w:top w:val="nil"/>
              <w:left w:val="nil"/>
              <w:bottom w:val="single" w:color="auto" w:sz="8" w:space="0"/>
              <w:right w:val="single" w:color="auto" w:sz="8" w:space="0"/>
            </w:tcBorders>
            <w:shd w:val="clear" w:color="auto" w:fill="auto"/>
            <w:vAlign w:val="center"/>
          </w:tcPr>
          <w:p w14:paraId="6C32B7A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地磅</w:t>
            </w:r>
          </w:p>
        </w:tc>
        <w:tc>
          <w:tcPr>
            <w:tcW w:w="6106" w:type="dxa"/>
            <w:tcBorders>
              <w:top w:val="nil"/>
              <w:left w:val="nil"/>
              <w:bottom w:val="single" w:color="auto" w:sz="8" w:space="0"/>
              <w:right w:val="single" w:color="auto" w:sz="8" w:space="0"/>
            </w:tcBorders>
            <w:shd w:val="clear" w:color="auto" w:fill="auto"/>
            <w:vAlign w:val="center"/>
          </w:tcPr>
          <w:p w14:paraId="241B8C02">
            <w:pPr>
              <w:widowControl/>
              <w:spacing w:line="300" w:lineRule="exact"/>
              <w:ind w:firstLine="0" w:firstLineChars="0"/>
              <w:jc w:val="left"/>
              <w:rPr>
                <w:rFonts w:hint="eastAsia" w:ascii="宋体" w:hAnsi="宋体" w:cs="宋体"/>
                <w:sz w:val="18"/>
                <w:szCs w:val="18"/>
                <w:lang w:eastAsia="zh-CN"/>
              </w:rPr>
            </w:pPr>
            <w:r>
              <w:rPr>
                <w:rFonts w:hint="eastAsia" w:ascii="宋体" w:hAnsi="宋体" w:cs="宋体"/>
                <w:sz w:val="18"/>
                <w:szCs w:val="18"/>
                <w:lang w:val="en-US" w:eastAsia="zh-CN"/>
              </w:rPr>
              <w:t>1、</w:t>
            </w:r>
            <w:r>
              <w:rPr>
                <w:rFonts w:hint="eastAsia" w:ascii="宋体" w:hAnsi="宋体" w:cs="宋体"/>
                <w:sz w:val="18"/>
                <w:szCs w:val="18"/>
              </w:rPr>
              <w:t>长度24m*宽度3m原有地磅</w:t>
            </w:r>
            <w:r>
              <w:rPr>
                <w:rFonts w:hint="eastAsia" w:ascii="宋体" w:hAnsi="宋体" w:cs="宋体"/>
                <w:sz w:val="18"/>
                <w:szCs w:val="18"/>
                <w:lang w:eastAsia="zh-CN"/>
              </w:rPr>
              <w:t>本体</w:t>
            </w:r>
            <w:r>
              <w:rPr>
                <w:rFonts w:hint="eastAsia" w:ascii="宋体" w:hAnsi="宋体" w:cs="宋体"/>
                <w:sz w:val="18"/>
                <w:szCs w:val="18"/>
              </w:rPr>
              <w:t>钢结构利旧，</w:t>
            </w:r>
            <w:r>
              <w:rPr>
                <w:rFonts w:hint="eastAsia" w:ascii="宋体" w:hAnsi="宋体" w:cs="宋体"/>
                <w:sz w:val="18"/>
                <w:szCs w:val="18"/>
                <w:lang w:eastAsia="zh-CN"/>
              </w:rPr>
              <w:t>需将地磅本体从地坑用吊车吊出</w:t>
            </w:r>
            <w:r>
              <w:rPr>
                <w:rFonts w:hint="eastAsia" w:ascii="宋体" w:hAnsi="宋体" w:cs="宋体"/>
                <w:sz w:val="18"/>
                <w:szCs w:val="18"/>
              </w:rPr>
              <w:t>地</w:t>
            </w:r>
            <w:r>
              <w:rPr>
                <w:rFonts w:hint="eastAsia" w:ascii="宋体" w:hAnsi="宋体" w:cs="宋体"/>
                <w:sz w:val="18"/>
                <w:szCs w:val="18"/>
                <w:lang w:eastAsia="zh-CN"/>
              </w:rPr>
              <w:t>坑，将地磅本体</w:t>
            </w:r>
            <w:r>
              <w:rPr>
                <w:rFonts w:hint="eastAsia" w:ascii="宋体" w:hAnsi="宋体" w:cs="宋体"/>
                <w:sz w:val="18"/>
                <w:szCs w:val="18"/>
              </w:rPr>
              <w:t>钢结构重新防腐</w:t>
            </w:r>
            <w:r>
              <w:rPr>
                <w:rFonts w:hint="eastAsia" w:ascii="宋体" w:hAnsi="宋体" w:cs="宋体"/>
                <w:sz w:val="18"/>
                <w:szCs w:val="18"/>
                <w:lang w:eastAsia="zh-CN"/>
              </w:rPr>
              <w:t>后回装。</w:t>
            </w:r>
          </w:p>
          <w:p w14:paraId="4BF2E2BF">
            <w:pPr>
              <w:widowControl/>
              <w:spacing w:line="300" w:lineRule="exact"/>
              <w:ind w:firstLine="0" w:firstLineChars="0"/>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2、需修复地坑两侧排水沟支撑盖板水泥撑基及两侧盖板（钢板）的防腐。</w:t>
            </w:r>
          </w:p>
        </w:tc>
        <w:tc>
          <w:tcPr>
            <w:tcW w:w="1134" w:type="dxa"/>
            <w:tcBorders>
              <w:top w:val="nil"/>
              <w:left w:val="nil"/>
              <w:bottom w:val="single" w:color="auto" w:sz="8" w:space="0"/>
              <w:right w:val="single" w:color="auto" w:sz="8" w:space="0"/>
            </w:tcBorders>
            <w:shd w:val="clear" w:color="auto" w:fill="auto"/>
            <w:vAlign w:val="center"/>
          </w:tcPr>
          <w:p w14:paraId="2DBE2B0B">
            <w:pPr>
              <w:widowControl/>
              <w:spacing w:line="300" w:lineRule="exact"/>
              <w:ind w:firstLine="0" w:firstLineChars="0"/>
              <w:jc w:val="center"/>
              <w:rPr>
                <w:rFonts w:ascii="宋体" w:hAnsi="宋体" w:cs="宋体"/>
                <w:sz w:val="18"/>
                <w:szCs w:val="18"/>
              </w:rPr>
            </w:pPr>
            <w:r>
              <w:rPr>
                <w:rFonts w:hint="eastAsia" w:ascii="宋体" w:hAnsi="宋体" w:cs="宋体"/>
                <w:sz w:val="18"/>
                <w:szCs w:val="18"/>
                <w:lang w:val="en-US" w:eastAsia="zh-CN"/>
              </w:rPr>
              <w:t>180</w:t>
            </w:r>
            <w:r>
              <w:rPr>
                <w:rFonts w:hint="eastAsia" w:ascii="宋体" w:hAnsi="宋体" w:cs="宋体"/>
                <w:sz w:val="18"/>
                <w:szCs w:val="18"/>
              </w:rPr>
              <w:t>平方米</w:t>
            </w:r>
          </w:p>
        </w:tc>
      </w:tr>
      <w:tr w14:paraId="24076E9D">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shd w:val="clear" w:color="auto" w:fill="auto"/>
            <w:vAlign w:val="center"/>
          </w:tcPr>
          <w:p w14:paraId="5E721561">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4460C4A5">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数字式称重</w:t>
            </w:r>
          </w:p>
          <w:p w14:paraId="1012E0B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显示控制器</w:t>
            </w:r>
          </w:p>
        </w:tc>
        <w:tc>
          <w:tcPr>
            <w:tcW w:w="6106" w:type="dxa"/>
            <w:tcBorders>
              <w:top w:val="nil"/>
              <w:left w:val="nil"/>
              <w:bottom w:val="single" w:color="auto" w:sz="8" w:space="0"/>
              <w:right w:val="single" w:color="auto" w:sz="8" w:space="0"/>
            </w:tcBorders>
            <w:shd w:val="clear" w:color="auto" w:fill="auto"/>
            <w:vAlign w:val="center"/>
          </w:tcPr>
          <w:p w14:paraId="1EEE4CC9">
            <w:pPr>
              <w:pStyle w:val="26"/>
              <w:widowControl/>
              <w:numPr>
                <w:ilvl w:val="0"/>
                <w:numId w:val="10"/>
              </w:numPr>
              <w:spacing w:line="300" w:lineRule="exact"/>
              <w:ind w:firstLineChars="0"/>
              <w:jc w:val="left"/>
              <w:rPr>
                <w:rFonts w:ascii="宋体" w:hAnsi="宋体" w:cs="宋体"/>
                <w:sz w:val="18"/>
                <w:szCs w:val="18"/>
              </w:rPr>
            </w:pPr>
            <w:r>
              <w:rPr>
                <w:rFonts w:hint="eastAsia" w:ascii="宋体" w:hAnsi="宋体" w:cs="宋体"/>
                <w:sz w:val="18"/>
                <w:szCs w:val="18"/>
              </w:rPr>
              <w:t>量程：0~80 t (净重)；</w:t>
            </w:r>
          </w:p>
          <w:p w14:paraId="57A7B89D">
            <w:pPr>
              <w:pStyle w:val="26"/>
              <w:widowControl/>
              <w:numPr>
                <w:ilvl w:val="0"/>
                <w:numId w:val="10"/>
              </w:numPr>
              <w:spacing w:line="300" w:lineRule="exact"/>
              <w:ind w:firstLineChars="0"/>
              <w:jc w:val="left"/>
              <w:rPr>
                <w:rFonts w:ascii="宋体" w:hAnsi="宋体" w:cs="宋体"/>
                <w:sz w:val="18"/>
                <w:szCs w:val="18"/>
              </w:rPr>
            </w:pPr>
            <w:r>
              <w:rPr>
                <w:rFonts w:hint="eastAsia" w:ascii="宋体" w:hAnsi="宋体" w:cs="宋体"/>
                <w:sz w:val="18"/>
                <w:szCs w:val="18"/>
              </w:rPr>
              <w:t>输出：RS485-MODBAS通讯、RS-232</w:t>
            </w:r>
            <w:r>
              <w:rPr>
                <w:rFonts w:ascii="宋体" w:hAnsi="宋体" w:cs="宋体"/>
                <w:sz w:val="18"/>
                <w:szCs w:val="18"/>
              </w:rPr>
              <w:t>、</w:t>
            </w:r>
            <w:r>
              <w:rPr>
                <w:rFonts w:hint="eastAsia" w:ascii="宋体" w:hAnsi="宋体" w:cs="宋体"/>
                <w:sz w:val="18"/>
                <w:szCs w:val="18"/>
              </w:rPr>
              <w:t>4</w:t>
            </w:r>
            <w:r>
              <w:rPr>
                <w:rFonts w:ascii="宋体" w:hAnsi="宋体" w:cs="宋体"/>
                <w:sz w:val="18"/>
                <w:szCs w:val="18"/>
              </w:rPr>
              <w:t>-20mA、</w:t>
            </w:r>
            <w:r>
              <w:rPr>
                <w:rFonts w:hint="eastAsia" w:ascii="宋体" w:hAnsi="宋体" w:cs="宋体"/>
                <w:sz w:val="18"/>
                <w:szCs w:val="18"/>
              </w:rPr>
              <w:t>7位荧光数码显示器；</w:t>
            </w:r>
          </w:p>
          <w:p w14:paraId="5E244FCE">
            <w:pPr>
              <w:pStyle w:val="26"/>
              <w:widowControl/>
              <w:numPr>
                <w:ilvl w:val="0"/>
                <w:numId w:val="10"/>
              </w:numPr>
              <w:spacing w:line="300" w:lineRule="exact"/>
              <w:ind w:firstLineChars="0"/>
              <w:jc w:val="left"/>
              <w:rPr>
                <w:rFonts w:ascii="宋体" w:hAnsi="宋体" w:cs="宋体"/>
                <w:sz w:val="18"/>
                <w:szCs w:val="18"/>
              </w:rPr>
            </w:pPr>
            <w:r>
              <w:rPr>
                <w:rFonts w:hint="eastAsia" w:ascii="宋体" w:hAnsi="宋体" w:cs="宋体"/>
                <w:sz w:val="18"/>
                <w:szCs w:val="18"/>
              </w:rPr>
              <w:t>工作电压：AC</w:t>
            </w:r>
            <w:r>
              <w:rPr>
                <w:rFonts w:ascii="宋体" w:hAnsi="宋体" w:cs="宋体"/>
                <w:sz w:val="18"/>
                <w:szCs w:val="18"/>
              </w:rPr>
              <w:t xml:space="preserve"> </w:t>
            </w:r>
            <w:r>
              <w:rPr>
                <w:rFonts w:hint="eastAsia" w:ascii="宋体" w:hAnsi="宋体" w:cs="宋体"/>
                <w:sz w:val="18"/>
                <w:szCs w:val="18"/>
              </w:rPr>
              <w:t xml:space="preserve">220V 50Hz </w:t>
            </w:r>
          </w:p>
          <w:p w14:paraId="7B4AA2F7">
            <w:pPr>
              <w:pStyle w:val="26"/>
              <w:widowControl/>
              <w:numPr>
                <w:ilvl w:val="0"/>
                <w:numId w:val="10"/>
              </w:numPr>
              <w:spacing w:line="300" w:lineRule="exact"/>
              <w:ind w:firstLineChars="0"/>
              <w:jc w:val="left"/>
              <w:rPr>
                <w:rFonts w:ascii="宋体" w:hAnsi="宋体" w:cs="宋体"/>
                <w:sz w:val="18"/>
                <w:szCs w:val="18"/>
              </w:rPr>
            </w:pPr>
            <w:r>
              <w:rPr>
                <w:rFonts w:hint="eastAsia" w:ascii="宋体" w:hAnsi="宋体" w:cs="宋体"/>
                <w:sz w:val="18"/>
                <w:szCs w:val="18"/>
              </w:rPr>
              <w:t>防爆等级：Ex tb ⅢC T80℃ Db，防护等级：IP68</w:t>
            </w:r>
          </w:p>
          <w:p w14:paraId="0668ED57">
            <w:pPr>
              <w:pStyle w:val="26"/>
              <w:widowControl/>
              <w:numPr>
                <w:ilvl w:val="0"/>
                <w:numId w:val="10"/>
              </w:numPr>
              <w:spacing w:line="300" w:lineRule="exact"/>
              <w:ind w:firstLineChars="0"/>
              <w:jc w:val="left"/>
              <w:rPr>
                <w:rFonts w:ascii="宋体" w:hAnsi="宋体" w:cs="宋体"/>
                <w:sz w:val="18"/>
                <w:szCs w:val="18"/>
              </w:rPr>
            </w:pPr>
            <w:r>
              <w:rPr>
                <w:rFonts w:hint="eastAsia" w:ascii="宋体" w:hAnsi="宋体" w:cs="宋体"/>
                <w:sz w:val="18"/>
                <w:szCs w:val="18"/>
              </w:rPr>
              <w:t>品牌：宁波柯力</w:t>
            </w:r>
          </w:p>
        </w:tc>
        <w:tc>
          <w:tcPr>
            <w:tcW w:w="1134" w:type="dxa"/>
            <w:tcBorders>
              <w:top w:val="nil"/>
              <w:left w:val="nil"/>
              <w:bottom w:val="single" w:color="auto" w:sz="8" w:space="0"/>
              <w:right w:val="single" w:color="auto" w:sz="8" w:space="0"/>
            </w:tcBorders>
            <w:shd w:val="clear" w:color="auto" w:fill="auto"/>
            <w:vAlign w:val="center"/>
          </w:tcPr>
          <w:p w14:paraId="48702D8E">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43E0DDC6">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shd w:val="clear" w:color="auto" w:fill="auto"/>
            <w:vAlign w:val="center"/>
          </w:tcPr>
          <w:p w14:paraId="62781976">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16C9A8EC">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接线盒</w:t>
            </w:r>
          </w:p>
        </w:tc>
        <w:tc>
          <w:tcPr>
            <w:tcW w:w="6106" w:type="dxa"/>
            <w:tcBorders>
              <w:top w:val="nil"/>
              <w:left w:val="nil"/>
              <w:bottom w:val="single" w:color="auto" w:sz="8" w:space="0"/>
              <w:right w:val="single" w:color="auto" w:sz="8" w:space="0"/>
            </w:tcBorders>
            <w:shd w:val="clear" w:color="auto" w:fill="auto"/>
            <w:vAlign w:val="center"/>
          </w:tcPr>
          <w:p w14:paraId="7237BAAB">
            <w:pPr>
              <w:pStyle w:val="26"/>
              <w:widowControl/>
              <w:numPr>
                <w:ilvl w:val="0"/>
                <w:numId w:val="11"/>
              </w:numPr>
              <w:spacing w:line="300" w:lineRule="exact"/>
              <w:ind w:firstLineChars="0"/>
              <w:jc w:val="left"/>
              <w:rPr>
                <w:rFonts w:ascii="宋体" w:hAnsi="宋体" w:cs="宋体"/>
                <w:sz w:val="18"/>
                <w:szCs w:val="18"/>
              </w:rPr>
            </w:pPr>
            <w:r>
              <w:rPr>
                <w:rFonts w:hint="eastAsia" w:ascii="宋体" w:hAnsi="宋体" w:cs="宋体"/>
                <w:sz w:val="18"/>
                <w:szCs w:val="18"/>
              </w:rPr>
              <w:t>量程：0~80 t (净重)，输出/入RS485，</w:t>
            </w:r>
          </w:p>
          <w:p w14:paraId="600548EE">
            <w:pPr>
              <w:pStyle w:val="26"/>
              <w:widowControl/>
              <w:numPr>
                <w:ilvl w:val="0"/>
                <w:numId w:val="11"/>
              </w:numPr>
              <w:spacing w:line="300" w:lineRule="exact"/>
              <w:ind w:firstLineChars="0"/>
              <w:jc w:val="left"/>
              <w:rPr>
                <w:rFonts w:ascii="宋体" w:hAnsi="宋体" w:cs="宋体"/>
                <w:sz w:val="18"/>
                <w:szCs w:val="18"/>
              </w:rPr>
            </w:pPr>
            <w:r>
              <w:rPr>
                <w:rFonts w:hint="eastAsia" w:ascii="宋体" w:hAnsi="宋体" w:cs="宋体"/>
                <w:sz w:val="18"/>
                <w:szCs w:val="18"/>
              </w:rPr>
              <w:t>工作电压：220V 50Hz ；检定分度：20kg;</w:t>
            </w:r>
          </w:p>
          <w:p w14:paraId="0D367269">
            <w:pPr>
              <w:pStyle w:val="26"/>
              <w:widowControl/>
              <w:numPr>
                <w:ilvl w:val="0"/>
                <w:numId w:val="11"/>
              </w:numPr>
              <w:spacing w:line="300" w:lineRule="exact"/>
              <w:ind w:firstLineChars="0"/>
              <w:jc w:val="left"/>
              <w:rPr>
                <w:rFonts w:ascii="宋体" w:hAnsi="宋体" w:cs="宋体"/>
                <w:sz w:val="18"/>
                <w:szCs w:val="18"/>
              </w:rPr>
            </w:pPr>
            <w:r>
              <w:rPr>
                <w:rFonts w:hint="eastAsia" w:ascii="宋体" w:hAnsi="宋体" w:cs="宋体"/>
                <w:sz w:val="18"/>
                <w:szCs w:val="18"/>
              </w:rPr>
              <w:t>防爆等级：Ex tb ⅢC T80℃ Db， 防护等级：IP68</w:t>
            </w:r>
          </w:p>
          <w:p w14:paraId="24B7921E">
            <w:pPr>
              <w:pStyle w:val="26"/>
              <w:widowControl/>
              <w:numPr>
                <w:ilvl w:val="0"/>
                <w:numId w:val="11"/>
              </w:numPr>
              <w:spacing w:line="300" w:lineRule="exact"/>
              <w:ind w:firstLineChars="0"/>
              <w:jc w:val="left"/>
              <w:rPr>
                <w:rFonts w:ascii="宋体" w:hAnsi="宋体" w:cs="宋体"/>
                <w:sz w:val="18"/>
                <w:szCs w:val="18"/>
              </w:rPr>
            </w:pPr>
            <w:r>
              <w:rPr>
                <w:rFonts w:hint="eastAsia" w:ascii="宋体" w:hAnsi="宋体" w:cs="宋体"/>
                <w:sz w:val="18"/>
                <w:szCs w:val="18"/>
              </w:rPr>
              <w:t>品牌：宁波柯力</w:t>
            </w:r>
          </w:p>
        </w:tc>
        <w:tc>
          <w:tcPr>
            <w:tcW w:w="1134" w:type="dxa"/>
            <w:tcBorders>
              <w:top w:val="nil"/>
              <w:left w:val="nil"/>
              <w:bottom w:val="single" w:color="auto" w:sz="8" w:space="0"/>
              <w:right w:val="single" w:color="auto" w:sz="8" w:space="0"/>
            </w:tcBorders>
            <w:shd w:val="clear" w:color="auto" w:fill="auto"/>
            <w:vAlign w:val="center"/>
          </w:tcPr>
          <w:p w14:paraId="62B717BB">
            <w:pPr>
              <w:widowControl/>
              <w:spacing w:line="30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1个</w:t>
            </w:r>
            <w:r>
              <w:rPr>
                <w:rFonts w:hint="eastAsia" w:ascii="宋体" w:hAnsi="宋体" w:cs="宋体"/>
                <w:sz w:val="18"/>
                <w:szCs w:val="18"/>
                <w:highlight w:val="lightGray"/>
                <w:lang w:val="en-US" w:eastAsia="zh-CN"/>
              </w:rPr>
              <w:t>+1个（做为备件更换）</w:t>
            </w:r>
            <w:r>
              <w:rPr>
                <w:rFonts w:hint="eastAsia" w:ascii="宋体" w:hAnsi="宋体" w:cs="宋体"/>
                <w:sz w:val="18"/>
                <w:szCs w:val="18"/>
                <w:lang w:val="en-US" w:eastAsia="zh-CN"/>
              </w:rPr>
              <w:t>共2个</w:t>
            </w:r>
          </w:p>
        </w:tc>
      </w:tr>
      <w:tr w14:paraId="0B62366C">
        <w:tblPrEx>
          <w:tblCellMar>
            <w:top w:w="0" w:type="dxa"/>
            <w:left w:w="108" w:type="dxa"/>
            <w:bottom w:w="0" w:type="dxa"/>
            <w:right w:w="108" w:type="dxa"/>
          </w:tblCellMar>
        </w:tblPrEx>
        <w:trPr>
          <w:trHeight w:val="1055" w:hRule="atLeast"/>
          <w:jc w:val="center"/>
        </w:trPr>
        <w:tc>
          <w:tcPr>
            <w:tcW w:w="851" w:type="dxa"/>
            <w:vMerge w:val="continue"/>
            <w:tcBorders>
              <w:left w:val="single" w:color="auto" w:sz="8" w:space="0"/>
              <w:right w:val="single" w:color="auto" w:sz="8" w:space="0"/>
            </w:tcBorders>
            <w:shd w:val="clear" w:color="auto" w:fill="auto"/>
            <w:vAlign w:val="center"/>
          </w:tcPr>
          <w:p w14:paraId="1E07E522">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5D9A8DF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数字式称重传感器</w:t>
            </w:r>
          </w:p>
        </w:tc>
        <w:tc>
          <w:tcPr>
            <w:tcW w:w="6106" w:type="dxa"/>
            <w:tcBorders>
              <w:top w:val="nil"/>
              <w:left w:val="nil"/>
              <w:bottom w:val="single" w:color="auto" w:sz="8" w:space="0"/>
              <w:right w:val="single" w:color="auto" w:sz="8" w:space="0"/>
            </w:tcBorders>
            <w:shd w:val="clear" w:color="auto" w:fill="auto"/>
            <w:vAlign w:val="center"/>
          </w:tcPr>
          <w:p w14:paraId="6790C8F8">
            <w:pPr>
              <w:pStyle w:val="26"/>
              <w:widowControl/>
              <w:numPr>
                <w:ilvl w:val="0"/>
                <w:numId w:val="12"/>
              </w:numPr>
              <w:spacing w:line="300" w:lineRule="exact"/>
              <w:ind w:firstLineChars="0"/>
              <w:jc w:val="left"/>
              <w:rPr>
                <w:rFonts w:ascii="宋体" w:hAnsi="宋体" w:cs="宋体"/>
                <w:sz w:val="18"/>
                <w:szCs w:val="18"/>
              </w:rPr>
            </w:pPr>
            <w:r>
              <w:rPr>
                <w:rFonts w:hint="eastAsia" w:ascii="宋体" w:hAnsi="宋体" w:cs="宋体"/>
                <w:sz w:val="18"/>
                <w:szCs w:val="18"/>
              </w:rPr>
              <w:t>量程：0~40 t ；精度等级：OIML(III)；</w:t>
            </w:r>
          </w:p>
          <w:p w14:paraId="2EF5B59E">
            <w:pPr>
              <w:pStyle w:val="26"/>
              <w:widowControl/>
              <w:numPr>
                <w:ilvl w:val="0"/>
                <w:numId w:val="12"/>
              </w:numPr>
              <w:spacing w:line="300" w:lineRule="exact"/>
              <w:ind w:firstLineChars="0"/>
              <w:jc w:val="left"/>
              <w:rPr>
                <w:rFonts w:ascii="宋体" w:hAnsi="宋体" w:cs="宋体"/>
                <w:sz w:val="18"/>
                <w:szCs w:val="18"/>
              </w:rPr>
            </w:pPr>
            <w:r>
              <w:rPr>
                <w:rFonts w:hint="eastAsia" w:ascii="宋体" w:hAnsi="宋体" w:cs="宋体"/>
                <w:sz w:val="18"/>
                <w:szCs w:val="18"/>
              </w:rPr>
              <w:t>数字传感器型号：ZSFB-D40T</w:t>
            </w:r>
          </w:p>
          <w:p w14:paraId="208D1C39">
            <w:pPr>
              <w:pStyle w:val="26"/>
              <w:widowControl/>
              <w:numPr>
                <w:ilvl w:val="0"/>
                <w:numId w:val="12"/>
              </w:numPr>
              <w:spacing w:line="300" w:lineRule="exact"/>
              <w:ind w:firstLineChars="0"/>
              <w:jc w:val="left"/>
              <w:rPr>
                <w:rFonts w:ascii="宋体" w:hAnsi="宋体" w:cs="宋体"/>
                <w:sz w:val="18"/>
                <w:szCs w:val="18"/>
              </w:rPr>
            </w:pPr>
            <w:r>
              <w:rPr>
                <w:rFonts w:hint="eastAsia" w:ascii="宋体" w:hAnsi="宋体" w:cs="宋体"/>
                <w:sz w:val="18"/>
                <w:szCs w:val="18"/>
              </w:rPr>
              <w:t>防爆等级：Ex tb ⅢC T80℃ Db，防护等级：IP68</w:t>
            </w:r>
          </w:p>
          <w:p w14:paraId="2904B1B7">
            <w:pPr>
              <w:pStyle w:val="26"/>
              <w:widowControl/>
              <w:numPr>
                <w:ilvl w:val="0"/>
                <w:numId w:val="12"/>
              </w:numPr>
              <w:spacing w:line="300" w:lineRule="exact"/>
              <w:ind w:firstLineChars="0"/>
              <w:jc w:val="left"/>
              <w:rPr>
                <w:rFonts w:ascii="宋体" w:hAnsi="宋体" w:cs="宋体"/>
                <w:sz w:val="18"/>
                <w:szCs w:val="18"/>
              </w:rPr>
            </w:pPr>
            <w:r>
              <w:rPr>
                <w:rFonts w:hint="eastAsia" w:ascii="宋体" w:hAnsi="宋体" w:cs="宋体"/>
                <w:sz w:val="18"/>
                <w:szCs w:val="18"/>
              </w:rPr>
              <w:t>品牌：宁波柯力</w:t>
            </w:r>
          </w:p>
        </w:tc>
        <w:tc>
          <w:tcPr>
            <w:tcW w:w="1134" w:type="dxa"/>
            <w:tcBorders>
              <w:top w:val="nil"/>
              <w:left w:val="nil"/>
              <w:bottom w:val="single" w:color="auto" w:sz="8" w:space="0"/>
              <w:right w:val="single" w:color="auto" w:sz="8" w:space="0"/>
            </w:tcBorders>
            <w:shd w:val="clear" w:color="auto" w:fill="auto"/>
            <w:vAlign w:val="center"/>
          </w:tcPr>
          <w:p w14:paraId="6C265563">
            <w:pPr>
              <w:widowControl/>
              <w:spacing w:line="300" w:lineRule="exact"/>
              <w:ind w:firstLine="0" w:firstLineChars="0"/>
              <w:jc w:val="center"/>
              <w:rPr>
                <w:rFonts w:hint="default" w:ascii="宋体" w:hAnsi="宋体" w:eastAsia="宋体" w:cs="宋体"/>
                <w:sz w:val="18"/>
                <w:szCs w:val="18"/>
                <w:lang w:val="en-US" w:eastAsia="zh-CN"/>
              </w:rPr>
            </w:pPr>
            <w:r>
              <w:rPr>
                <w:rFonts w:ascii="宋体" w:hAnsi="宋体" w:cs="宋体"/>
                <w:sz w:val="18"/>
                <w:szCs w:val="18"/>
              </w:rPr>
              <w:t>12</w:t>
            </w:r>
            <w:r>
              <w:rPr>
                <w:rFonts w:hint="eastAsia" w:ascii="宋体" w:hAnsi="宋体" w:cs="宋体"/>
                <w:sz w:val="18"/>
                <w:szCs w:val="18"/>
              </w:rPr>
              <w:t>个</w:t>
            </w:r>
            <w:r>
              <w:rPr>
                <w:rFonts w:hint="eastAsia" w:ascii="宋体" w:hAnsi="宋体" w:cs="宋体"/>
                <w:sz w:val="18"/>
                <w:szCs w:val="18"/>
                <w:highlight w:val="lightGray"/>
                <w:lang w:val="en-US" w:eastAsia="zh-CN"/>
              </w:rPr>
              <w:t>+4个（做为备件更换）</w:t>
            </w:r>
            <w:r>
              <w:rPr>
                <w:rFonts w:hint="eastAsia" w:ascii="宋体" w:hAnsi="宋体" w:cs="宋体"/>
                <w:sz w:val="18"/>
                <w:szCs w:val="18"/>
                <w:lang w:val="en-US" w:eastAsia="zh-CN"/>
              </w:rPr>
              <w:t>共16个</w:t>
            </w:r>
          </w:p>
        </w:tc>
      </w:tr>
      <w:tr w14:paraId="03EE9568">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right w:val="single" w:color="auto" w:sz="8" w:space="0"/>
            </w:tcBorders>
            <w:shd w:val="clear" w:color="auto" w:fill="auto"/>
            <w:vAlign w:val="center"/>
          </w:tcPr>
          <w:p w14:paraId="26326FEC">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62C2EC6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现场大屏幕LED显示</w:t>
            </w:r>
          </w:p>
        </w:tc>
        <w:tc>
          <w:tcPr>
            <w:tcW w:w="6106" w:type="dxa"/>
            <w:tcBorders>
              <w:top w:val="nil"/>
              <w:left w:val="nil"/>
              <w:bottom w:val="single" w:color="auto" w:sz="8" w:space="0"/>
              <w:right w:val="single" w:color="auto" w:sz="8" w:space="0"/>
            </w:tcBorders>
            <w:shd w:val="clear" w:color="auto" w:fill="auto"/>
            <w:vAlign w:val="center"/>
          </w:tcPr>
          <w:p w14:paraId="29671F86">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6位，红色字体，字高10cm，需与称重控制器连接</w:t>
            </w:r>
          </w:p>
        </w:tc>
        <w:tc>
          <w:tcPr>
            <w:tcW w:w="1134" w:type="dxa"/>
            <w:tcBorders>
              <w:top w:val="nil"/>
              <w:left w:val="nil"/>
              <w:bottom w:val="single" w:color="auto" w:sz="8" w:space="0"/>
              <w:right w:val="single" w:color="auto" w:sz="8" w:space="0"/>
            </w:tcBorders>
            <w:shd w:val="clear" w:color="auto" w:fill="auto"/>
            <w:vAlign w:val="center"/>
          </w:tcPr>
          <w:p w14:paraId="3DE1E0E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2个</w:t>
            </w:r>
          </w:p>
        </w:tc>
      </w:tr>
      <w:tr w14:paraId="53FD335A">
        <w:tblPrEx>
          <w:tblCellMar>
            <w:top w:w="0" w:type="dxa"/>
            <w:left w:w="108" w:type="dxa"/>
            <w:bottom w:w="0" w:type="dxa"/>
            <w:right w:w="108" w:type="dxa"/>
          </w:tblCellMar>
        </w:tblPrEx>
        <w:trPr>
          <w:trHeight w:val="300" w:hRule="atLeast"/>
          <w:jc w:val="center"/>
        </w:trPr>
        <w:tc>
          <w:tcPr>
            <w:tcW w:w="851" w:type="dxa"/>
            <w:vMerge w:val="continue"/>
            <w:tcBorders>
              <w:left w:val="single" w:color="auto" w:sz="8" w:space="0"/>
              <w:bottom w:val="single" w:color="000000" w:sz="8" w:space="0"/>
              <w:right w:val="single" w:color="auto" w:sz="8" w:space="0"/>
            </w:tcBorders>
            <w:shd w:val="clear" w:color="auto" w:fill="auto"/>
            <w:vAlign w:val="center"/>
          </w:tcPr>
          <w:p w14:paraId="122133A9">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3606D46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地磅工业用操作站、打印机</w:t>
            </w:r>
          </w:p>
        </w:tc>
        <w:tc>
          <w:tcPr>
            <w:tcW w:w="6106" w:type="dxa"/>
            <w:tcBorders>
              <w:top w:val="nil"/>
              <w:left w:val="nil"/>
              <w:bottom w:val="single" w:color="auto" w:sz="8" w:space="0"/>
              <w:right w:val="single" w:color="auto" w:sz="8" w:space="0"/>
            </w:tcBorders>
            <w:shd w:val="clear" w:color="auto" w:fill="auto"/>
            <w:vAlign w:val="center"/>
          </w:tcPr>
          <w:p w14:paraId="3375B513">
            <w:pPr>
              <w:pStyle w:val="26"/>
              <w:widowControl/>
              <w:numPr>
                <w:ilvl w:val="0"/>
                <w:numId w:val="13"/>
              </w:numPr>
              <w:spacing w:line="300" w:lineRule="exact"/>
              <w:ind w:firstLineChars="0"/>
              <w:jc w:val="left"/>
              <w:rPr>
                <w:rFonts w:ascii="宋体" w:hAnsi="宋体" w:cs="宋体"/>
                <w:sz w:val="18"/>
                <w:szCs w:val="18"/>
              </w:rPr>
            </w:pPr>
            <w:r>
              <w:rPr>
                <w:rFonts w:hint="eastAsia" w:ascii="宋体" w:hAnsi="宋体" w:cs="宋体"/>
                <w:sz w:val="18"/>
                <w:szCs w:val="18"/>
              </w:rPr>
              <w:t>磅单、报表格式具有自定义功能，用户可根据自己的需要修改打印表格形式；</w:t>
            </w:r>
          </w:p>
          <w:p w14:paraId="650640BC">
            <w:pPr>
              <w:pStyle w:val="26"/>
              <w:widowControl/>
              <w:numPr>
                <w:ilvl w:val="0"/>
                <w:numId w:val="13"/>
              </w:numPr>
              <w:spacing w:line="300" w:lineRule="exact"/>
              <w:ind w:firstLineChars="0"/>
              <w:jc w:val="left"/>
              <w:rPr>
                <w:rFonts w:ascii="宋体" w:hAnsi="宋体" w:cs="宋体"/>
                <w:sz w:val="18"/>
                <w:szCs w:val="18"/>
              </w:rPr>
            </w:pPr>
            <w:r>
              <w:rPr>
                <w:rFonts w:hint="eastAsia" w:ascii="宋体" w:hAnsi="宋体" w:cs="宋体"/>
                <w:sz w:val="18"/>
                <w:szCs w:val="18"/>
              </w:rPr>
              <w:t>需考虑数据库冗余设计，提供一定数量的备用字段，以便于可随时对已有的信息进行扩充；</w:t>
            </w:r>
          </w:p>
          <w:p w14:paraId="74032838">
            <w:pPr>
              <w:pStyle w:val="26"/>
              <w:widowControl/>
              <w:numPr>
                <w:ilvl w:val="0"/>
                <w:numId w:val="13"/>
              </w:numPr>
              <w:spacing w:line="300" w:lineRule="exact"/>
              <w:ind w:firstLineChars="0"/>
              <w:jc w:val="left"/>
              <w:rPr>
                <w:rFonts w:ascii="宋体" w:hAnsi="宋体" w:cs="宋体"/>
                <w:sz w:val="18"/>
                <w:szCs w:val="18"/>
              </w:rPr>
            </w:pPr>
            <w:r>
              <w:rPr>
                <w:rFonts w:hint="eastAsia" w:ascii="宋体" w:hAnsi="宋体" w:cs="宋体"/>
                <w:sz w:val="18"/>
                <w:szCs w:val="18"/>
              </w:rPr>
              <w:t>具备联网功能，能将相关称重数据上传MES系统；</w:t>
            </w:r>
          </w:p>
          <w:p w14:paraId="1E799F3B">
            <w:pPr>
              <w:pStyle w:val="26"/>
              <w:widowControl/>
              <w:numPr>
                <w:ilvl w:val="0"/>
                <w:numId w:val="13"/>
              </w:numPr>
              <w:spacing w:line="300" w:lineRule="exact"/>
              <w:ind w:firstLineChars="0"/>
              <w:jc w:val="left"/>
              <w:rPr>
                <w:rFonts w:ascii="宋体" w:hAnsi="宋体" w:cs="宋体"/>
                <w:sz w:val="18"/>
                <w:szCs w:val="18"/>
              </w:rPr>
            </w:pPr>
            <w:r>
              <w:rPr>
                <w:rFonts w:hint="eastAsia" w:ascii="宋体" w:hAnsi="宋体" w:cs="宋体"/>
                <w:sz w:val="18"/>
                <w:szCs w:val="18"/>
              </w:rPr>
              <w:t>操作站不低于如下配置：</w:t>
            </w:r>
            <w:r>
              <w:rPr>
                <w:rFonts w:hint="eastAsia" w:ascii="宋体" w:hAnsi="宋体" w:cs="宋体"/>
                <w:sz w:val="18"/>
                <w:szCs w:val="18"/>
                <w:lang w:val="en-US" w:eastAsia="zh-CN"/>
              </w:rPr>
              <w:t>1台</w:t>
            </w:r>
          </w:p>
          <w:p w14:paraId="708FF161">
            <w:pPr>
              <w:pStyle w:val="26"/>
              <w:widowControl/>
              <w:numPr>
                <w:ilvl w:val="0"/>
                <w:numId w:val="14"/>
              </w:numPr>
              <w:spacing w:line="300" w:lineRule="exact"/>
              <w:ind w:firstLineChars="0"/>
              <w:jc w:val="left"/>
              <w:rPr>
                <w:rFonts w:ascii="宋体" w:hAnsi="宋体" w:cs="宋体"/>
                <w:sz w:val="18"/>
                <w:szCs w:val="18"/>
              </w:rPr>
            </w:pPr>
            <w:r>
              <w:rPr>
                <w:rFonts w:ascii="宋体" w:hAnsi="宋体" w:cs="宋体"/>
                <w:sz w:val="18"/>
                <w:szCs w:val="18"/>
              </w:rPr>
              <w:t xml:space="preserve">CPU: </w:t>
            </w:r>
            <w:r>
              <w:rPr>
                <w:rFonts w:hint="eastAsia" w:ascii="宋体" w:hAnsi="宋体" w:cs="宋体"/>
                <w:sz w:val="18"/>
                <w:szCs w:val="18"/>
              </w:rPr>
              <w:t>64</w:t>
            </w:r>
            <w:r>
              <w:rPr>
                <w:rFonts w:ascii="宋体" w:hAnsi="宋体" w:cs="宋体"/>
                <w:sz w:val="18"/>
                <w:szCs w:val="18"/>
              </w:rPr>
              <w:t xml:space="preserve"> </w:t>
            </w:r>
            <w:r>
              <w:rPr>
                <w:rFonts w:hint="eastAsia" w:ascii="宋体" w:hAnsi="宋体" w:cs="宋体"/>
                <w:sz w:val="18"/>
                <w:szCs w:val="18"/>
              </w:rPr>
              <w:t>位 主频</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3.0 G</w:t>
            </w:r>
            <w:r>
              <w:rPr>
                <w:rFonts w:ascii="宋体" w:hAnsi="宋体" w:cs="宋体"/>
                <w:sz w:val="18"/>
                <w:szCs w:val="18"/>
              </w:rPr>
              <w:t>Hz</w:t>
            </w:r>
            <w:r>
              <w:rPr>
                <w:rFonts w:hint="eastAsia" w:ascii="宋体" w:hAnsi="宋体" w:cs="宋体"/>
                <w:sz w:val="18"/>
                <w:szCs w:val="18"/>
              </w:rPr>
              <w:t>；</w:t>
            </w:r>
          </w:p>
          <w:p w14:paraId="4DAD45C9">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rPr>
              <w:t>硬盘</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2.0</w:t>
            </w:r>
            <w:r>
              <w:rPr>
                <w:rFonts w:ascii="宋体" w:hAnsi="宋体" w:cs="宋体"/>
                <w:sz w:val="18"/>
                <w:szCs w:val="18"/>
              </w:rPr>
              <w:t xml:space="preserve">  TB，做raid 1</w:t>
            </w:r>
            <w:r>
              <w:rPr>
                <w:rFonts w:hint="eastAsia" w:ascii="宋体" w:hAnsi="宋体" w:cs="宋体"/>
                <w:sz w:val="18"/>
                <w:szCs w:val="18"/>
              </w:rPr>
              <w:t>；</w:t>
            </w:r>
          </w:p>
          <w:p w14:paraId="24482814">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rPr>
              <w:t>内存</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16</w:t>
            </w:r>
            <w:r>
              <w:rPr>
                <w:rFonts w:hint="eastAsia" w:ascii="宋体" w:hAnsi="宋体" w:cs="宋体"/>
                <w:sz w:val="18"/>
                <w:szCs w:val="18"/>
              </w:rPr>
              <w:t xml:space="preserve"> </w:t>
            </w:r>
            <w:r>
              <w:rPr>
                <w:rFonts w:ascii="宋体" w:hAnsi="宋体" w:cs="宋体"/>
                <w:sz w:val="18"/>
                <w:szCs w:val="18"/>
              </w:rPr>
              <w:t>GB</w:t>
            </w:r>
            <w:r>
              <w:rPr>
                <w:rFonts w:hint="eastAsia" w:ascii="宋体" w:hAnsi="宋体" w:cs="宋体"/>
                <w:sz w:val="18"/>
                <w:szCs w:val="18"/>
              </w:rPr>
              <w:t>双通道；</w:t>
            </w:r>
          </w:p>
          <w:p w14:paraId="27C3A0FF">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rPr>
              <w:t>显示器：22 inch TFT LCD；</w:t>
            </w:r>
          </w:p>
          <w:p w14:paraId="42633A91">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lang w:eastAsia="zh-CN"/>
              </w:rPr>
              <w:t>激光</w:t>
            </w:r>
            <w:r>
              <w:rPr>
                <w:rFonts w:hint="eastAsia" w:ascii="宋体" w:hAnsi="宋体" w:cs="宋体"/>
                <w:sz w:val="18"/>
                <w:szCs w:val="18"/>
              </w:rPr>
              <w:t>打印机，报表打印机</w:t>
            </w:r>
            <w:r>
              <w:rPr>
                <w:rFonts w:hint="eastAsia" w:ascii="宋体" w:hAnsi="宋体" w:cs="宋体"/>
                <w:sz w:val="18"/>
                <w:szCs w:val="18"/>
                <w:lang w:val="en-US" w:eastAsia="zh-CN"/>
              </w:rPr>
              <w:t>1台</w:t>
            </w:r>
            <w:r>
              <w:rPr>
                <w:rFonts w:hint="eastAsia" w:ascii="宋体" w:hAnsi="宋体" w:cs="宋体"/>
                <w:sz w:val="18"/>
                <w:szCs w:val="18"/>
              </w:rPr>
              <w:t>；</w:t>
            </w:r>
          </w:p>
          <w:p w14:paraId="5DE9A241">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rPr>
              <w:t>操作站应能以指令方式对打印机的工作进行切换，打印机应能满足操作站进行屏幕图形打印和报警报表打印的需要；</w:t>
            </w:r>
          </w:p>
          <w:p w14:paraId="015DD3F9">
            <w:pPr>
              <w:pStyle w:val="26"/>
              <w:widowControl/>
              <w:numPr>
                <w:ilvl w:val="0"/>
                <w:numId w:val="14"/>
              </w:numPr>
              <w:spacing w:line="300" w:lineRule="exact"/>
              <w:ind w:firstLineChars="0"/>
              <w:jc w:val="left"/>
              <w:rPr>
                <w:rFonts w:ascii="宋体" w:hAnsi="宋体" w:cs="宋体"/>
                <w:sz w:val="18"/>
                <w:szCs w:val="18"/>
              </w:rPr>
            </w:pPr>
            <w:r>
              <w:rPr>
                <w:rFonts w:hint="eastAsia" w:ascii="宋体" w:hAnsi="宋体" w:cs="宋体"/>
                <w:sz w:val="18"/>
                <w:szCs w:val="18"/>
              </w:rPr>
              <w:t>投标技术文件中应提供操作站的各种设备的详细技术资料和说明。</w:t>
            </w:r>
          </w:p>
        </w:tc>
        <w:tc>
          <w:tcPr>
            <w:tcW w:w="1134" w:type="dxa"/>
            <w:tcBorders>
              <w:top w:val="nil"/>
              <w:left w:val="nil"/>
              <w:bottom w:val="single" w:color="auto" w:sz="8" w:space="0"/>
              <w:right w:val="single" w:color="auto" w:sz="8" w:space="0"/>
            </w:tcBorders>
            <w:shd w:val="clear" w:color="auto" w:fill="auto"/>
            <w:vAlign w:val="center"/>
          </w:tcPr>
          <w:p w14:paraId="66F81AC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 xml:space="preserve">1套 </w:t>
            </w:r>
            <w:r>
              <w:rPr>
                <w:rFonts w:ascii="宋体" w:hAnsi="宋体" w:cs="宋体"/>
                <w:sz w:val="18"/>
                <w:szCs w:val="18"/>
              </w:rPr>
              <w:t xml:space="preserve">                                                                         </w:t>
            </w:r>
          </w:p>
        </w:tc>
      </w:tr>
      <w:tr w14:paraId="5D440F34">
        <w:tblPrEx>
          <w:tblCellMar>
            <w:top w:w="0" w:type="dxa"/>
            <w:left w:w="108" w:type="dxa"/>
            <w:bottom w:w="0" w:type="dxa"/>
            <w:right w:w="108" w:type="dxa"/>
          </w:tblCellMar>
        </w:tblPrEx>
        <w:trPr>
          <w:trHeight w:val="300" w:hRule="atLeast"/>
          <w:jc w:val="center"/>
        </w:trPr>
        <w:tc>
          <w:tcPr>
            <w:tcW w:w="9498" w:type="dxa"/>
            <w:gridSpan w:val="4"/>
            <w:tcBorders>
              <w:left w:val="single" w:color="auto" w:sz="8" w:space="0"/>
              <w:bottom w:val="single" w:color="000000" w:sz="8" w:space="0"/>
              <w:right w:val="single" w:color="auto" w:sz="8" w:space="0"/>
            </w:tcBorders>
            <w:shd w:val="clear" w:color="auto" w:fill="auto"/>
            <w:vAlign w:val="center"/>
          </w:tcPr>
          <w:p w14:paraId="38CDCC68">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四、PLC现场控制柜</w:t>
            </w:r>
          </w:p>
        </w:tc>
      </w:tr>
      <w:tr w14:paraId="7218C73A">
        <w:tblPrEx>
          <w:tblCellMar>
            <w:top w:w="0" w:type="dxa"/>
            <w:left w:w="108" w:type="dxa"/>
            <w:bottom w:w="0" w:type="dxa"/>
            <w:right w:w="108" w:type="dxa"/>
          </w:tblCellMar>
        </w:tblPrEx>
        <w:trPr>
          <w:trHeight w:val="1182" w:hRule="atLeast"/>
          <w:jc w:val="center"/>
        </w:trPr>
        <w:tc>
          <w:tcPr>
            <w:tcW w:w="851" w:type="dxa"/>
            <w:tcBorders>
              <w:left w:val="single" w:color="auto" w:sz="8" w:space="0"/>
              <w:bottom w:val="single" w:color="000000" w:sz="8" w:space="0"/>
              <w:right w:val="single" w:color="auto" w:sz="8" w:space="0"/>
            </w:tcBorders>
            <w:shd w:val="clear" w:color="auto" w:fill="auto"/>
            <w:vAlign w:val="center"/>
          </w:tcPr>
          <w:p w14:paraId="5C4417E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PLC现场控制柜</w:t>
            </w:r>
          </w:p>
        </w:tc>
        <w:tc>
          <w:tcPr>
            <w:tcW w:w="7513" w:type="dxa"/>
            <w:gridSpan w:val="2"/>
            <w:tcBorders>
              <w:top w:val="nil"/>
              <w:left w:val="nil"/>
              <w:bottom w:val="single" w:color="auto" w:sz="8" w:space="0"/>
              <w:right w:val="single" w:color="auto" w:sz="8" w:space="0"/>
            </w:tcBorders>
            <w:shd w:val="clear" w:color="auto" w:fill="auto"/>
            <w:vAlign w:val="center"/>
          </w:tcPr>
          <w:p w14:paraId="602F997E">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电压：220V±5%; 频率: 50±0.2Hz；</w:t>
            </w:r>
          </w:p>
          <w:p w14:paraId="7DE988E3">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防爆等级：Ex tb ⅢC T80℃ Db；</w:t>
            </w:r>
          </w:p>
          <w:p w14:paraId="14474867">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控制柜内配置：PLC</w:t>
            </w:r>
            <w:r>
              <w:rPr>
                <w:rFonts w:ascii="宋体" w:hAnsi="宋体" w:cs="宋体"/>
                <w:b w:val="0"/>
                <w:bCs w:val="0"/>
                <w:sz w:val="18"/>
                <w:szCs w:val="18"/>
              </w:rPr>
              <w:t>、AI</w:t>
            </w:r>
            <w:r>
              <w:rPr>
                <w:rFonts w:hint="eastAsia" w:ascii="宋体" w:hAnsi="宋体" w:cs="宋体"/>
                <w:b w:val="0"/>
                <w:bCs w:val="0"/>
                <w:sz w:val="18"/>
                <w:szCs w:val="18"/>
              </w:rPr>
              <w:t>/</w:t>
            </w:r>
            <w:r>
              <w:rPr>
                <w:rFonts w:ascii="宋体" w:hAnsi="宋体" w:cs="宋体"/>
                <w:b w:val="0"/>
                <w:bCs w:val="0"/>
                <w:sz w:val="18"/>
                <w:szCs w:val="18"/>
              </w:rPr>
              <w:t>AO卡、DI</w:t>
            </w:r>
            <w:r>
              <w:rPr>
                <w:rFonts w:hint="eastAsia" w:ascii="宋体" w:hAnsi="宋体" w:cs="宋体"/>
                <w:b w:val="0"/>
                <w:bCs w:val="0"/>
                <w:sz w:val="18"/>
                <w:szCs w:val="18"/>
              </w:rPr>
              <w:t>/</w:t>
            </w:r>
            <w:r>
              <w:rPr>
                <w:rFonts w:ascii="宋体" w:hAnsi="宋体" w:cs="宋体"/>
                <w:b w:val="0"/>
                <w:bCs w:val="0"/>
                <w:sz w:val="18"/>
                <w:szCs w:val="18"/>
              </w:rPr>
              <w:t>DO卡、通讯卡、直流开关电源、按钮、指示灯、接线端子、安装导轨、线盒、切换开关等，</w:t>
            </w:r>
            <w:r>
              <w:rPr>
                <w:rFonts w:hint="eastAsia" w:ascii="宋体" w:hAnsi="宋体" w:cs="宋体"/>
                <w:b w:val="0"/>
                <w:bCs w:val="0"/>
                <w:sz w:val="18"/>
                <w:szCs w:val="18"/>
              </w:rPr>
              <w:t>具体要求详见数据表。</w:t>
            </w:r>
          </w:p>
          <w:p w14:paraId="696167AF">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旋钮/按钮型式，操作柱与PLC机柜采用航空连接头连接，连接电缆由厂家成套提供；</w:t>
            </w:r>
          </w:p>
          <w:p w14:paraId="3096D0B3">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品牌要求：PLC</w:t>
            </w:r>
            <w:r>
              <w:rPr>
                <w:rFonts w:ascii="宋体" w:hAnsi="宋体" w:cs="宋体"/>
                <w:b w:val="0"/>
                <w:bCs w:val="0"/>
                <w:sz w:val="18"/>
                <w:szCs w:val="18"/>
              </w:rPr>
              <w:t>品牌要求</w:t>
            </w:r>
            <w:r>
              <w:rPr>
                <w:rFonts w:hint="eastAsia" w:ascii="宋体" w:hAnsi="宋体" w:cs="宋体"/>
                <w:b w:val="0"/>
                <w:bCs w:val="0"/>
                <w:sz w:val="18"/>
                <w:szCs w:val="18"/>
              </w:rPr>
              <w:t>Siemens，</w:t>
            </w:r>
          </w:p>
          <w:p w14:paraId="02348556">
            <w:pPr>
              <w:pStyle w:val="26"/>
              <w:widowControl/>
              <w:numPr>
                <w:ilvl w:val="0"/>
                <w:numId w:val="15"/>
              </w:numPr>
              <w:spacing w:line="300" w:lineRule="exact"/>
              <w:ind w:firstLineChars="0"/>
              <w:jc w:val="left"/>
              <w:rPr>
                <w:rFonts w:ascii="宋体" w:hAnsi="宋体" w:cs="宋体"/>
                <w:b w:val="0"/>
                <w:bCs w:val="0"/>
                <w:sz w:val="18"/>
                <w:szCs w:val="18"/>
              </w:rPr>
            </w:pPr>
            <w:r>
              <w:rPr>
                <w:rFonts w:hint="eastAsia" w:ascii="宋体" w:hAnsi="宋体" w:cs="宋体"/>
                <w:b w:val="0"/>
                <w:bCs w:val="0"/>
                <w:sz w:val="18"/>
                <w:szCs w:val="18"/>
              </w:rPr>
              <w:t>品牌要求</w:t>
            </w:r>
            <w:r>
              <w:rPr>
                <w:rFonts w:hint="eastAsia" w:ascii="宋体" w:hAnsi="宋体" w:cs="宋体"/>
                <w:b w:val="0"/>
                <w:bCs w:val="0"/>
                <w:sz w:val="18"/>
                <w:szCs w:val="18"/>
                <w:lang w:eastAsia="zh-CN"/>
              </w:rPr>
              <w:t>：</w:t>
            </w:r>
            <w:r>
              <w:rPr>
                <w:rFonts w:hint="eastAsia" w:ascii="宋体" w:hAnsi="宋体" w:cs="宋体"/>
                <w:b w:val="0"/>
                <w:bCs w:val="0"/>
                <w:sz w:val="18"/>
                <w:szCs w:val="18"/>
              </w:rPr>
              <w:t>华荣</w:t>
            </w:r>
            <w:r>
              <w:rPr>
                <w:rFonts w:hint="eastAsia" w:ascii="宋体" w:hAnsi="宋体" w:cs="宋体"/>
                <w:b w:val="0"/>
                <w:bCs w:val="0"/>
                <w:sz w:val="18"/>
                <w:szCs w:val="18"/>
                <w:lang w:eastAsia="zh-CN"/>
              </w:rPr>
              <w:t>科技股份有限公司</w:t>
            </w:r>
            <w:r>
              <w:rPr>
                <w:rFonts w:hint="eastAsia" w:ascii="宋体" w:hAnsi="宋体" w:cs="宋体"/>
                <w:b w:val="0"/>
                <w:bCs w:val="0"/>
                <w:sz w:val="18"/>
                <w:szCs w:val="18"/>
              </w:rPr>
              <w:t>、创正电气</w:t>
            </w:r>
            <w:r>
              <w:rPr>
                <w:rFonts w:hint="eastAsia" w:ascii="宋体" w:hAnsi="宋体" w:cs="宋体"/>
                <w:b w:val="0"/>
                <w:bCs w:val="0"/>
                <w:sz w:val="18"/>
                <w:szCs w:val="18"/>
                <w:lang w:eastAsia="zh-CN"/>
              </w:rPr>
              <w:t>股份有限公司</w:t>
            </w:r>
            <w:r>
              <w:rPr>
                <w:rFonts w:hint="eastAsia" w:ascii="宋体" w:hAnsi="宋体" w:cs="宋体"/>
                <w:b w:val="0"/>
                <w:bCs w:val="0"/>
                <w:sz w:val="18"/>
                <w:szCs w:val="18"/>
              </w:rPr>
              <w:t>、库柏电气</w:t>
            </w:r>
            <w:r>
              <w:rPr>
                <w:rFonts w:hint="eastAsia" w:ascii="宋体" w:hAnsi="宋体" w:cs="宋体"/>
                <w:b w:val="0"/>
                <w:bCs w:val="0"/>
                <w:sz w:val="18"/>
                <w:szCs w:val="18"/>
                <w:lang w:eastAsia="zh-CN"/>
              </w:rPr>
              <w:t>（上海</w:t>
            </w:r>
            <w:r>
              <w:rPr>
                <w:rFonts w:hint="eastAsia" w:ascii="宋体" w:hAnsi="宋体" w:cs="宋体"/>
                <w:b w:val="0"/>
                <w:bCs w:val="0"/>
                <w:sz w:val="18"/>
                <w:szCs w:val="18"/>
                <w:lang w:val="en-US" w:eastAsia="zh-CN"/>
              </w:rPr>
              <w:t>)有限公司</w:t>
            </w:r>
            <w:r>
              <w:rPr>
                <w:rFonts w:hint="eastAsia" w:ascii="宋体" w:hAnsi="宋体" w:cs="宋体"/>
                <w:b w:val="0"/>
                <w:bCs w:val="0"/>
                <w:sz w:val="18"/>
                <w:szCs w:val="18"/>
                <w:lang w:eastAsia="zh-CN"/>
              </w:rPr>
              <w:t>。</w:t>
            </w:r>
          </w:p>
        </w:tc>
        <w:tc>
          <w:tcPr>
            <w:tcW w:w="1134" w:type="dxa"/>
            <w:tcBorders>
              <w:top w:val="nil"/>
              <w:left w:val="nil"/>
              <w:bottom w:val="single" w:color="auto" w:sz="8" w:space="0"/>
              <w:right w:val="single" w:color="auto" w:sz="8" w:space="0"/>
            </w:tcBorders>
            <w:shd w:val="clear" w:color="auto" w:fill="auto"/>
            <w:vAlign w:val="center"/>
          </w:tcPr>
          <w:p w14:paraId="133D6326">
            <w:pPr>
              <w:widowControl/>
              <w:spacing w:line="300" w:lineRule="exact"/>
              <w:ind w:firstLine="0" w:firstLineChars="0"/>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个</w:t>
            </w:r>
          </w:p>
        </w:tc>
      </w:tr>
      <w:tr w14:paraId="7C1444C9">
        <w:tblPrEx>
          <w:tblCellMar>
            <w:top w:w="0" w:type="dxa"/>
            <w:left w:w="108" w:type="dxa"/>
            <w:bottom w:w="0" w:type="dxa"/>
            <w:right w:w="108" w:type="dxa"/>
          </w:tblCellMar>
        </w:tblPrEx>
        <w:trPr>
          <w:trHeight w:val="300" w:hRule="atLeast"/>
          <w:jc w:val="center"/>
        </w:trPr>
        <w:tc>
          <w:tcPr>
            <w:tcW w:w="8364" w:type="dxa"/>
            <w:gridSpan w:val="3"/>
            <w:tcBorders>
              <w:left w:val="single" w:color="auto" w:sz="8" w:space="0"/>
              <w:bottom w:val="single" w:color="000000" w:sz="8" w:space="0"/>
              <w:right w:val="single" w:color="auto" w:sz="8" w:space="0"/>
            </w:tcBorders>
            <w:shd w:val="clear" w:color="auto" w:fill="auto"/>
            <w:vAlign w:val="center"/>
          </w:tcPr>
          <w:p w14:paraId="077CE66D">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五、照明配电箱</w:t>
            </w:r>
          </w:p>
        </w:tc>
        <w:tc>
          <w:tcPr>
            <w:tcW w:w="1134" w:type="dxa"/>
            <w:tcBorders>
              <w:top w:val="nil"/>
              <w:left w:val="nil"/>
              <w:bottom w:val="single" w:color="auto" w:sz="8" w:space="0"/>
              <w:right w:val="single" w:color="auto" w:sz="8" w:space="0"/>
            </w:tcBorders>
            <w:shd w:val="clear" w:color="auto" w:fill="auto"/>
            <w:vAlign w:val="center"/>
          </w:tcPr>
          <w:p w14:paraId="792A8A8D">
            <w:pPr>
              <w:widowControl/>
              <w:spacing w:line="300" w:lineRule="exact"/>
              <w:ind w:firstLine="0" w:firstLineChars="0"/>
              <w:jc w:val="center"/>
              <w:rPr>
                <w:rFonts w:ascii="宋体" w:hAnsi="宋体" w:cs="宋体"/>
                <w:sz w:val="18"/>
                <w:szCs w:val="18"/>
              </w:rPr>
            </w:pPr>
          </w:p>
        </w:tc>
      </w:tr>
      <w:tr w14:paraId="4E1B8F32">
        <w:tblPrEx>
          <w:tblCellMar>
            <w:top w:w="0" w:type="dxa"/>
            <w:left w:w="108" w:type="dxa"/>
            <w:bottom w:w="0" w:type="dxa"/>
            <w:right w:w="108" w:type="dxa"/>
          </w:tblCellMar>
        </w:tblPrEx>
        <w:trPr>
          <w:trHeight w:val="300" w:hRule="atLeast"/>
          <w:jc w:val="center"/>
        </w:trPr>
        <w:tc>
          <w:tcPr>
            <w:tcW w:w="851" w:type="dxa"/>
            <w:tcBorders>
              <w:left w:val="single" w:color="auto" w:sz="8" w:space="0"/>
              <w:bottom w:val="single" w:color="000000" w:sz="8" w:space="0"/>
              <w:right w:val="single" w:color="auto" w:sz="8" w:space="0"/>
            </w:tcBorders>
            <w:shd w:val="clear" w:color="auto" w:fill="auto"/>
            <w:vAlign w:val="center"/>
          </w:tcPr>
          <w:p w14:paraId="1341359E">
            <w:pPr>
              <w:widowControl/>
              <w:spacing w:line="300" w:lineRule="exact"/>
              <w:ind w:firstLine="0" w:firstLineChars="0"/>
              <w:jc w:val="center"/>
              <w:rPr>
                <w:rFonts w:ascii="宋体" w:hAnsi="宋体" w:cs="宋体"/>
                <w:sz w:val="18"/>
                <w:szCs w:val="18"/>
              </w:rPr>
            </w:pPr>
            <w:r>
              <w:rPr>
                <w:rFonts w:hint="eastAsia" w:ascii="宋体" w:hAnsi="宋体" w:cs="宋体"/>
                <w:sz w:val="18"/>
                <w:szCs w:val="18"/>
                <w:highlight w:val="none"/>
              </w:rPr>
              <w:t>照明配电箱</w:t>
            </w:r>
          </w:p>
        </w:tc>
        <w:tc>
          <w:tcPr>
            <w:tcW w:w="7513" w:type="dxa"/>
            <w:gridSpan w:val="2"/>
            <w:tcBorders>
              <w:top w:val="nil"/>
              <w:left w:val="nil"/>
              <w:bottom w:val="single" w:color="auto" w:sz="8" w:space="0"/>
              <w:right w:val="single" w:color="auto" w:sz="8" w:space="0"/>
            </w:tcBorders>
            <w:shd w:val="clear" w:color="auto" w:fill="auto"/>
            <w:vAlign w:val="center"/>
          </w:tcPr>
          <w:p w14:paraId="7621F3CB">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1、箱体：304不锈钢材质</w:t>
            </w:r>
          </w:p>
          <w:p w14:paraId="56BA54D8">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2、挂壁式、电缆线下进下出防爆等级：Ex tb ⅢC T80℃ Db  IP66</w:t>
            </w: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rPr>
              <w:t>WF2</w:t>
            </w:r>
          </w:p>
          <w:p w14:paraId="6EED097E">
            <w:pPr>
              <w:pStyle w:val="26"/>
              <w:widowControl/>
              <w:tabs>
                <w:tab w:val="center" w:pos="3648"/>
              </w:tabs>
              <w:spacing w:line="300" w:lineRule="exact"/>
              <w:ind w:firstLine="0" w:firstLineChars="0"/>
              <w:jc w:val="left"/>
              <w:rPr>
                <w:rFonts w:hint="eastAsia" w:ascii="宋体" w:hAnsi="宋体" w:eastAsia="宋体" w:cs="宋体"/>
                <w:b w:val="0"/>
                <w:bCs w:val="0"/>
                <w:sz w:val="18"/>
                <w:szCs w:val="18"/>
                <w:lang w:val="en-US" w:eastAsia="zh-CN"/>
              </w:rPr>
            </w:pPr>
            <w:r>
              <w:rPr>
                <w:rFonts w:hint="eastAsia" w:ascii="宋体" w:hAnsi="宋体" w:cs="宋体"/>
                <w:b w:val="0"/>
                <w:bCs w:val="0"/>
                <w:sz w:val="18"/>
                <w:szCs w:val="18"/>
              </w:rPr>
              <w:t>3、照明控制支持时控、光控、手动控制等</w:t>
            </w:r>
            <w:r>
              <w:rPr>
                <w:rFonts w:hint="eastAsia" w:ascii="宋体" w:hAnsi="宋体" w:cs="宋体"/>
                <w:b w:val="0"/>
                <w:bCs w:val="0"/>
                <w:sz w:val="18"/>
                <w:szCs w:val="18"/>
                <w:lang w:eastAsia="zh-CN"/>
              </w:rPr>
              <w:t>、</w:t>
            </w:r>
            <w:r>
              <w:rPr>
                <w:rFonts w:hint="eastAsia" w:ascii="宋体" w:hAnsi="宋体" w:cs="宋体"/>
                <w:b w:val="0"/>
                <w:bCs w:val="0"/>
                <w:sz w:val="18"/>
                <w:szCs w:val="18"/>
                <w:lang w:eastAsia="zh-CN"/>
              </w:rPr>
              <w:tab/>
            </w:r>
            <w:r>
              <w:rPr>
                <w:rFonts w:hint="eastAsia" w:ascii="宋体" w:hAnsi="宋体" w:cs="宋体"/>
                <w:b w:val="0"/>
                <w:bCs w:val="0"/>
                <w:sz w:val="18"/>
                <w:szCs w:val="18"/>
                <w:lang w:eastAsia="zh-CN"/>
              </w:rPr>
              <w:t>三包围防护罩；</w:t>
            </w:r>
          </w:p>
          <w:p w14:paraId="4B684EBA">
            <w:pPr>
              <w:widowControl/>
              <w:spacing w:line="300" w:lineRule="exact"/>
              <w:ind w:firstLine="0" w:firstLineChars="0"/>
              <w:jc w:val="left"/>
              <w:rPr>
                <w:rFonts w:hint="eastAsia" w:ascii="宋体" w:hAnsi="宋体" w:eastAsia="宋体" w:cs="宋体"/>
                <w:b w:val="0"/>
                <w:bCs w:val="0"/>
                <w:sz w:val="18"/>
                <w:szCs w:val="18"/>
                <w:lang w:eastAsia="zh-CN"/>
              </w:rPr>
            </w:pPr>
            <w:r>
              <w:rPr>
                <w:rFonts w:hint="eastAsia" w:ascii="宋体" w:hAnsi="宋体" w:cs="宋体"/>
                <w:b w:val="0"/>
                <w:bCs w:val="0"/>
                <w:sz w:val="18"/>
                <w:szCs w:val="18"/>
              </w:rPr>
              <w:t>4、品牌</w:t>
            </w:r>
            <w:r>
              <w:rPr>
                <w:rFonts w:hint="eastAsia" w:ascii="宋体" w:hAnsi="宋体" w:cs="宋体"/>
                <w:b w:val="0"/>
                <w:bCs w:val="0"/>
                <w:sz w:val="18"/>
                <w:szCs w:val="18"/>
                <w:lang w:eastAsia="zh-CN"/>
              </w:rPr>
              <w:t>要求</w:t>
            </w:r>
            <w:r>
              <w:rPr>
                <w:rFonts w:hint="eastAsia" w:ascii="宋体" w:hAnsi="宋体" w:cs="宋体"/>
                <w:b w:val="0"/>
                <w:bCs w:val="0"/>
                <w:sz w:val="18"/>
                <w:szCs w:val="18"/>
              </w:rPr>
              <w:t>：华荣</w:t>
            </w:r>
            <w:r>
              <w:rPr>
                <w:rFonts w:hint="eastAsia" w:ascii="宋体" w:hAnsi="宋体" w:cs="宋体"/>
                <w:b w:val="0"/>
                <w:bCs w:val="0"/>
                <w:sz w:val="18"/>
                <w:szCs w:val="18"/>
                <w:lang w:eastAsia="zh-CN"/>
              </w:rPr>
              <w:t>科技股份有限公司</w:t>
            </w:r>
            <w:r>
              <w:rPr>
                <w:rFonts w:hint="eastAsia" w:ascii="宋体" w:hAnsi="宋体" w:cs="宋体"/>
                <w:b w:val="0"/>
                <w:bCs w:val="0"/>
                <w:sz w:val="18"/>
                <w:szCs w:val="18"/>
              </w:rPr>
              <w:t>、创正电气</w:t>
            </w:r>
            <w:r>
              <w:rPr>
                <w:rFonts w:hint="eastAsia" w:ascii="宋体" w:hAnsi="宋体" w:cs="宋体"/>
                <w:b w:val="0"/>
                <w:bCs w:val="0"/>
                <w:sz w:val="18"/>
                <w:szCs w:val="18"/>
                <w:lang w:eastAsia="zh-CN"/>
              </w:rPr>
              <w:t>股份有限公司</w:t>
            </w:r>
            <w:r>
              <w:rPr>
                <w:rFonts w:hint="eastAsia" w:ascii="宋体" w:hAnsi="宋体" w:cs="宋体"/>
                <w:b w:val="0"/>
                <w:bCs w:val="0"/>
                <w:sz w:val="18"/>
                <w:szCs w:val="18"/>
              </w:rPr>
              <w:t>、库柏电气</w:t>
            </w:r>
            <w:r>
              <w:rPr>
                <w:rFonts w:hint="eastAsia" w:ascii="宋体" w:hAnsi="宋体" w:cs="宋体"/>
                <w:b w:val="0"/>
                <w:bCs w:val="0"/>
                <w:sz w:val="18"/>
                <w:szCs w:val="18"/>
                <w:lang w:eastAsia="zh-CN"/>
              </w:rPr>
              <w:t>（上海</w:t>
            </w:r>
            <w:r>
              <w:rPr>
                <w:rFonts w:hint="eastAsia" w:ascii="宋体" w:hAnsi="宋体" w:cs="宋体"/>
                <w:b w:val="0"/>
                <w:bCs w:val="0"/>
                <w:sz w:val="18"/>
                <w:szCs w:val="18"/>
                <w:lang w:val="en-US" w:eastAsia="zh-CN"/>
              </w:rPr>
              <w:t>)有限公司</w:t>
            </w:r>
            <w:r>
              <w:rPr>
                <w:rFonts w:hint="eastAsia" w:ascii="宋体" w:hAnsi="宋体" w:cs="宋体"/>
                <w:b w:val="0"/>
                <w:bCs w:val="0"/>
                <w:sz w:val="18"/>
                <w:szCs w:val="18"/>
                <w:lang w:eastAsia="zh-CN"/>
              </w:rPr>
              <w:t>。</w:t>
            </w:r>
          </w:p>
        </w:tc>
        <w:tc>
          <w:tcPr>
            <w:tcW w:w="1134" w:type="dxa"/>
            <w:tcBorders>
              <w:top w:val="nil"/>
              <w:left w:val="nil"/>
              <w:bottom w:val="single" w:color="auto" w:sz="8" w:space="0"/>
              <w:right w:val="single" w:color="auto" w:sz="8" w:space="0"/>
            </w:tcBorders>
            <w:shd w:val="clear" w:color="auto" w:fill="auto"/>
            <w:vAlign w:val="center"/>
          </w:tcPr>
          <w:p w14:paraId="36B60D3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p w14:paraId="0F117FD5">
            <w:pPr>
              <w:widowControl/>
              <w:spacing w:line="300" w:lineRule="exact"/>
              <w:ind w:firstLine="0" w:firstLineChars="0"/>
              <w:jc w:val="center"/>
              <w:rPr>
                <w:rFonts w:ascii="宋体" w:hAnsi="宋体" w:cs="宋体"/>
                <w:sz w:val="18"/>
                <w:szCs w:val="18"/>
              </w:rPr>
            </w:pPr>
          </w:p>
        </w:tc>
      </w:tr>
      <w:tr w14:paraId="55559FF5">
        <w:tblPrEx>
          <w:tblCellMar>
            <w:top w:w="0" w:type="dxa"/>
            <w:left w:w="108" w:type="dxa"/>
            <w:bottom w:w="0" w:type="dxa"/>
            <w:right w:w="108" w:type="dxa"/>
          </w:tblCellMar>
        </w:tblPrEx>
        <w:trPr>
          <w:trHeight w:val="300" w:hRule="atLeast"/>
          <w:jc w:val="center"/>
        </w:trPr>
        <w:tc>
          <w:tcPr>
            <w:tcW w:w="851" w:type="dxa"/>
            <w:tcBorders>
              <w:left w:val="single" w:color="auto" w:sz="8" w:space="0"/>
              <w:bottom w:val="single" w:color="000000" w:sz="8" w:space="0"/>
              <w:right w:val="single" w:color="auto" w:sz="8" w:space="0"/>
            </w:tcBorders>
            <w:shd w:val="clear" w:color="auto" w:fill="auto"/>
            <w:vAlign w:val="center"/>
          </w:tcPr>
          <w:p w14:paraId="6A26197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六</w:t>
            </w:r>
          </w:p>
        </w:tc>
        <w:tc>
          <w:tcPr>
            <w:tcW w:w="7513" w:type="dxa"/>
            <w:gridSpan w:val="2"/>
            <w:tcBorders>
              <w:top w:val="nil"/>
              <w:left w:val="nil"/>
              <w:bottom w:val="single" w:color="auto" w:sz="8" w:space="0"/>
              <w:right w:val="single" w:color="auto" w:sz="8" w:space="0"/>
            </w:tcBorders>
            <w:shd w:val="clear" w:color="auto" w:fill="auto"/>
            <w:vAlign w:val="center"/>
          </w:tcPr>
          <w:p w14:paraId="68FEEF08">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卷帘门</w:t>
            </w:r>
          </w:p>
        </w:tc>
        <w:tc>
          <w:tcPr>
            <w:tcW w:w="1134" w:type="dxa"/>
            <w:tcBorders>
              <w:top w:val="nil"/>
              <w:left w:val="nil"/>
              <w:bottom w:val="single" w:color="auto" w:sz="8" w:space="0"/>
              <w:right w:val="single" w:color="auto" w:sz="8" w:space="0"/>
            </w:tcBorders>
            <w:shd w:val="clear" w:color="auto" w:fill="auto"/>
            <w:vAlign w:val="center"/>
          </w:tcPr>
          <w:p w14:paraId="0AD75A53">
            <w:pPr>
              <w:widowControl/>
              <w:spacing w:line="300" w:lineRule="exact"/>
              <w:ind w:firstLine="0" w:firstLineChars="0"/>
              <w:jc w:val="center"/>
              <w:rPr>
                <w:rFonts w:ascii="宋体" w:hAnsi="宋体" w:cs="宋体"/>
                <w:sz w:val="18"/>
                <w:szCs w:val="18"/>
              </w:rPr>
            </w:pPr>
          </w:p>
        </w:tc>
      </w:tr>
      <w:tr w14:paraId="2A39EE98">
        <w:tblPrEx>
          <w:tblCellMar>
            <w:top w:w="0" w:type="dxa"/>
            <w:left w:w="108" w:type="dxa"/>
            <w:bottom w:w="0" w:type="dxa"/>
            <w:right w:w="108" w:type="dxa"/>
          </w:tblCellMar>
        </w:tblPrEx>
        <w:trPr>
          <w:trHeight w:val="656" w:hRule="atLeast"/>
          <w:jc w:val="center"/>
        </w:trPr>
        <w:tc>
          <w:tcPr>
            <w:tcW w:w="851" w:type="dxa"/>
            <w:tcBorders>
              <w:left w:val="single" w:color="auto" w:sz="8" w:space="0"/>
              <w:bottom w:val="single" w:color="000000" w:sz="8" w:space="0"/>
              <w:right w:val="single" w:color="auto" w:sz="8" w:space="0"/>
            </w:tcBorders>
            <w:shd w:val="clear" w:color="auto" w:fill="auto"/>
            <w:vAlign w:val="center"/>
          </w:tcPr>
          <w:p w14:paraId="68DD11F0">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卷帘门</w:t>
            </w:r>
          </w:p>
        </w:tc>
        <w:tc>
          <w:tcPr>
            <w:tcW w:w="7513" w:type="dxa"/>
            <w:gridSpan w:val="2"/>
            <w:tcBorders>
              <w:top w:val="nil"/>
              <w:left w:val="nil"/>
              <w:bottom w:val="single" w:color="auto" w:sz="8" w:space="0"/>
              <w:right w:val="single" w:color="auto" w:sz="8" w:space="0"/>
            </w:tcBorders>
            <w:shd w:val="clear" w:color="auto" w:fill="auto"/>
            <w:vAlign w:val="center"/>
          </w:tcPr>
          <w:p w14:paraId="69C7FE52">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外形尺寸：长*高7000*6500mm,</w:t>
            </w:r>
          </w:p>
          <w:p w14:paraId="61711AA5">
            <w:pPr>
              <w:widowControl/>
              <w:spacing w:line="300" w:lineRule="exact"/>
              <w:ind w:firstLine="0" w:firstLineChars="0"/>
              <w:jc w:val="left"/>
              <w:rPr>
                <w:rFonts w:hint="eastAsia" w:ascii="宋体" w:hAnsi="宋体" w:cs="宋体"/>
                <w:b w:val="0"/>
                <w:bCs w:val="0"/>
                <w:sz w:val="18"/>
                <w:szCs w:val="18"/>
              </w:rPr>
            </w:pPr>
            <w:r>
              <w:rPr>
                <w:rFonts w:hint="eastAsia" w:ascii="宋体" w:hAnsi="宋体" w:cs="宋体"/>
                <w:b w:val="0"/>
                <w:bCs w:val="0"/>
                <w:sz w:val="18"/>
                <w:szCs w:val="18"/>
              </w:rPr>
              <w:t>卷帘门电机：粉尘防爆、防爆等级：Ex tb IIIC T130℃ Db</w:t>
            </w:r>
          </w:p>
          <w:p w14:paraId="21603C9E">
            <w:pPr>
              <w:widowControl/>
              <w:spacing w:line="300" w:lineRule="exact"/>
              <w:ind w:firstLine="0" w:firstLineChars="0"/>
              <w:jc w:val="left"/>
              <w:rPr>
                <w:rFonts w:hint="eastAsia" w:ascii="宋体" w:hAnsi="宋体" w:cs="宋体"/>
                <w:b w:val="0"/>
                <w:bCs w:val="0"/>
                <w:sz w:val="18"/>
                <w:szCs w:val="18"/>
              </w:rPr>
            </w:pPr>
            <w:r>
              <w:rPr>
                <w:rFonts w:hint="eastAsia" w:ascii="宋体" w:hAnsi="宋体" w:cs="宋体"/>
                <w:b w:val="0"/>
                <w:bCs w:val="0"/>
                <w:sz w:val="18"/>
                <w:szCs w:val="18"/>
              </w:rPr>
              <w:t>铝型材卷帘门参数，帘片厚度1.2</w:t>
            </w:r>
            <w:r>
              <w:rPr>
                <w:rFonts w:hint="eastAsia" w:ascii="宋体" w:hAnsi="宋体" w:cs="宋体"/>
                <w:b w:val="0"/>
                <w:bCs w:val="0"/>
                <w:sz w:val="18"/>
                <w:szCs w:val="18"/>
                <w:lang w:val="en-US" w:eastAsia="zh-CN"/>
              </w:rPr>
              <w:t>mm</w:t>
            </w:r>
            <w:r>
              <w:rPr>
                <w:rFonts w:hint="eastAsia" w:ascii="宋体" w:hAnsi="宋体" w:cs="宋体"/>
                <w:b w:val="0"/>
                <w:bCs w:val="0"/>
                <w:sz w:val="18"/>
                <w:szCs w:val="18"/>
              </w:rPr>
              <w:t>.电机220v300瓦，提升600Kg，电机转数1400转，大粱管每分钟5.2圈</w:t>
            </w:r>
            <w:r>
              <w:rPr>
                <w:rFonts w:hint="eastAsia" w:ascii="宋体" w:hAnsi="宋体" w:cs="宋体"/>
                <w:b w:val="0"/>
                <w:bCs w:val="0"/>
                <w:sz w:val="18"/>
                <w:szCs w:val="18"/>
                <w:lang w:eastAsia="zh-CN"/>
              </w:rPr>
              <w:t>，配套的</w:t>
            </w:r>
            <w:r>
              <w:rPr>
                <w:rFonts w:hint="eastAsia" w:ascii="宋体" w:hAnsi="宋体" w:cs="宋体"/>
                <w:b w:val="0"/>
                <w:bCs w:val="0"/>
                <w:sz w:val="18"/>
                <w:szCs w:val="18"/>
              </w:rPr>
              <w:t>控制箱材质要求304不锈钢，控制箱和按钮防爆等级</w:t>
            </w:r>
            <w:r>
              <w:rPr>
                <w:rFonts w:hint="eastAsia" w:ascii="宋体" w:hAnsi="宋体" w:cs="宋体"/>
                <w:b w:val="0"/>
                <w:bCs w:val="0"/>
                <w:sz w:val="18"/>
                <w:szCs w:val="18"/>
                <w:lang w:val="en-US" w:eastAsia="zh-CN"/>
              </w:rPr>
              <w:t>:</w:t>
            </w:r>
            <w:r>
              <w:rPr>
                <w:rFonts w:hint="eastAsia" w:ascii="宋体" w:hAnsi="宋体" w:cs="宋体"/>
                <w:b w:val="0"/>
                <w:bCs w:val="0"/>
                <w:sz w:val="18"/>
                <w:szCs w:val="18"/>
              </w:rPr>
              <w:t>Ex tb IIIC T80℃ Db</w:t>
            </w:r>
          </w:p>
          <w:p w14:paraId="34BEA082">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防风等级：一级（</w:t>
            </w:r>
            <w:r>
              <w:rPr>
                <w:rFonts w:ascii="Arial" w:hAnsi="Arial" w:cs="Arial"/>
                <w:b w:val="0"/>
                <w:bCs w:val="0"/>
                <w:color w:val="333333"/>
                <w:sz w:val="18"/>
                <w:szCs w:val="18"/>
                <w:shd w:val="clear" w:color="auto" w:fill="FFFFFF"/>
              </w:rPr>
              <w:t>风力小于 7 级,风速小于 17.2 米/秒）</w:t>
            </w:r>
          </w:p>
        </w:tc>
        <w:tc>
          <w:tcPr>
            <w:tcW w:w="1134" w:type="dxa"/>
            <w:tcBorders>
              <w:top w:val="nil"/>
              <w:left w:val="nil"/>
              <w:bottom w:val="single" w:color="auto" w:sz="8" w:space="0"/>
              <w:right w:val="single" w:color="auto" w:sz="8" w:space="0"/>
            </w:tcBorders>
            <w:shd w:val="clear" w:color="auto" w:fill="auto"/>
            <w:vAlign w:val="center"/>
          </w:tcPr>
          <w:p w14:paraId="12D9820E">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1套</w:t>
            </w:r>
          </w:p>
        </w:tc>
      </w:tr>
      <w:tr w14:paraId="522CAA03">
        <w:tblPrEx>
          <w:tblCellMar>
            <w:top w:w="0" w:type="dxa"/>
            <w:left w:w="108" w:type="dxa"/>
            <w:bottom w:w="0" w:type="dxa"/>
            <w:right w:w="108" w:type="dxa"/>
          </w:tblCellMar>
        </w:tblPrEx>
        <w:trPr>
          <w:trHeight w:val="467" w:hRule="atLeast"/>
          <w:jc w:val="center"/>
        </w:trPr>
        <w:tc>
          <w:tcPr>
            <w:tcW w:w="851" w:type="dxa"/>
            <w:tcBorders>
              <w:left w:val="single" w:color="auto" w:sz="8" w:space="0"/>
              <w:bottom w:val="single" w:color="000000" w:sz="8" w:space="0"/>
              <w:right w:val="single" w:color="auto" w:sz="8" w:space="0"/>
            </w:tcBorders>
            <w:shd w:val="clear" w:color="auto" w:fill="auto"/>
            <w:vAlign w:val="center"/>
          </w:tcPr>
          <w:p w14:paraId="294D889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七</w:t>
            </w:r>
          </w:p>
        </w:tc>
        <w:tc>
          <w:tcPr>
            <w:tcW w:w="8647" w:type="dxa"/>
            <w:gridSpan w:val="3"/>
            <w:tcBorders>
              <w:top w:val="nil"/>
              <w:left w:val="nil"/>
              <w:bottom w:val="single" w:color="auto" w:sz="8" w:space="0"/>
              <w:right w:val="single" w:color="auto" w:sz="8" w:space="0"/>
            </w:tcBorders>
            <w:shd w:val="clear" w:color="auto" w:fill="auto"/>
            <w:vAlign w:val="center"/>
          </w:tcPr>
          <w:p w14:paraId="2D110B00">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主要阀门</w:t>
            </w:r>
          </w:p>
        </w:tc>
      </w:tr>
      <w:tr w14:paraId="1AF785E9">
        <w:tblPrEx>
          <w:tblCellMar>
            <w:top w:w="0" w:type="dxa"/>
            <w:left w:w="108" w:type="dxa"/>
            <w:bottom w:w="0" w:type="dxa"/>
            <w:right w:w="108" w:type="dxa"/>
          </w:tblCellMar>
        </w:tblPrEx>
        <w:trPr>
          <w:trHeight w:val="585" w:hRule="atLeast"/>
          <w:jc w:val="center"/>
        </w:trPr>
        <w:tc>
          <w:tcPr>
            <w:tcW w:w="851" w:type="dxa"/>
            <w:vMerge w:val="restart"/>
            <w:tcBorders>
              <w:top w:val="nil"/>
              <w:left w:val="single" w:color="auto" w:sz="8" w:space="0"/>
              <w:right w:val="single" w:color="auto" w:sz="8" w:space="0"/>
            </w:tcBorders>
            <w:shd w:val="clear" w:color="auto" w:fill="auto"/>
            <w:vAlign w:val="center"/>
          </w:tcPr>
          <w:p w14:paraId="6806C753">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工艺</w:t>
            </w:r>
          </w:p>
          <w:p w14:paraId="704A69A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阀门</w:t>
            </w:r>
          </w:p>
        </w:tc>
        <w:tc>
          <w:tcPr>
            <w:tcW w:w="1407" w:type="dxa"/>
            <w:tcBorders>
              <w:top w:val="nil"/>
              <w:left w:val="nil"/>
              <w:bottom w:val="single" w:color="auto" w:sz="8" w:space="0"/>
              <w:right w:val="single" w:color="auto" w:sz="8" w:space="0"/>
            </w:tcBorders>
            <w:shd w:val="clear" w:color="auto" w:fill="auto"/>
            <w:vAlign w:val="center"/>
          </w:tcPr>
          <w:p w14:paraId="0AF09F0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6"</w:t>
            </w:r>
            <w:r>
              <w:rPr>
                <w:rFonts w:ascii="宋体" w:hAnsi="宋体" w:cs="宋体"/>
                <w:sz w:val="18"/>
                <w:szCs w:val="18"/>
              </w:rPr>
              <w:t>蝶</w:t>
            </w:r>
            <w:r>
              <w:rPr>
                <w:rFonts w:hint="eastAsia" w:ascii="宋体" w:hAnsi="宋体" w:cs="宋体"/>
                <w:sz w:val="18"/>
                <w:szCs w:val="18"/>
              </w:rPr>
              <w:t>阀</w:t>
            </w:r>
          </w:p>
        </w:tc>
        <w:tc>
          <w:tcPr>
            <w:tcW w:w="6106" w:type="dxa"/>
            <w:tcBorders>
              <w:top w:val="nil"/>
              <w:left w:val="nil"/>
              <w:bottom w:val="single" w:color="auto" w:sz="8" w:space="0"/>
              <w:right w:val="single" w:color="auto" w:sz="8" w:space="0"/>
            </w:tcBorders>
            <w:shd w:val="clear" w:color="auto" w:fill="auto"/>
            <w:vAlign w:val="center"/>
          </w:tcPr>
          <w:p w14:paraId="4AAE01F2">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GATEVALVECL150,RF,A351-CF8BODY,304/StelliteTRIM,BB,OS&amp;Y,API600</w:t>
            </w:r>
          </w:p>
        </w:tc>
        <w:tc>
          <w:tcPr>
            <w:tcW w:w="1134" w:type="dxa"/>
            <w:tcBorders>
              <w:top w:val="nil"/>
              <w:left w:val="nil"/>
              <w:bottom w:val="single" w:color="auto" w:sz="8" w:space="0"/>
              <w:right w:val="single" w:color="auto" w:sz="8" w:space="0"/>
            </w:tcBorders>
            <w:shd w:val="clear" w:color="auto" w:fill="auto"/>
            <w:vAlign w:val="center"/>
          </w:tcPr>
          <w:p w14:paraId="238C855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78F0173B">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bottom w:val="single" w:color="000000" w:sz="8" w:space="0"/>
              <w:right w:val="single" w:color="auto" w:sz="8" w:space="0"/>
            </w:tcBorders>
            <w:shd w:val="clear" w:color="auto" w:fill="auto"/>
            <w:vAlign w:val="center"/>
          </w:tcPr>
          <w:p w14:paraId="07601D5E">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0842591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2"闸阀</w:t>
            </w:r>
          </w:p>
        </w:tc>
        <w:tc>
          <w:tcPr>
            <w:tcW w:w="6106" w:type="dxa"/>
            <w:tcBorders>
              <w:top w:val="nil"/>
              <w:left w:val="nil"/>
              <w:bottom w:val="single" w:color="auto" w:sz="8" w:space="0"/>
              <w:right w:val="single" w:color="auto" w:sz="8" w:space="0"/>
            </w:tcBorders>
            <w:shd w:val="clear" w:color="auto" w:fill="auto"/>
            <w:vAlign w:val="center"/>
          </w:tcPr>
          <w:p w14:paraId="20022FEC">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GATE VALVE CL150,RF,A351-CF8 BODY,304/Stellite TRIM,BB,OS&amp;Y,API600</w:t>
            </w:r>
          </w:p>
        </w:tc>
        <w:tc>
          <w:tcPr>
            <w:tcW w:w="1134" w:type="dxa"/>
            <w:tcBorders>
              <w:top w:val="nil"/>
              <w:left w:val="nil"/>
              <w:bottom w:val="single" w:color="auto" w:sz="8" w:space="0"/>
              <w:right w:val="single" w:color="auto" w:sz="8" w:space="0"/>
            </w:tcBorders>
            <w:shd w:val="clear" w:color="auto" w:fill="auto"/>
            <w:vAlign w:val="center"/>
          </w:tcPr>
          <w:p w14:paraId="3CA753A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3个</w:t>
            </w:r>
          </w:p>
        </w:tc>
      </w:tr>
      <w:tr w14:paraId="10B8B393">
        <w:tblPrEx>
          <w:tblCellMar>
            <w:top w:w="0" w:type="dxa"/>
            <w:left w:w="108" w:type="dxa"/>
            <w:bottom w:w="0" w:type="dxa"/>
            <w:right w:w="108" w:type="dxa"/>
          </w:tblCellMar>
        </w:tblPrEx>
        <w:trPr>
          <w:trHeight w:val="1044" w:hRule="atLeast"/>
          <w:jc w:val="center"/>
        </w:trPr>
        <w:tc>
          <w:tcPr>
            <w:tcW w:w="851" w:type="dxa"/>
            <w:vMerge w:val="restart"/>
            <w:tcBorders>
              <w:left w:val="single" w:color="auto" w:sz="8" w:space="0"/>
              <w:right w:val="single" w:color="auto" w:sz="8" w:space="0"/>
            </w:tcBorders>
            <w:shd w:val="clear" w:color="auto" w:fill="auto"/>
            <w:vAlign w:val="center"/>
          </w:tcPr>
          <w:p w14:paraId="3298E647">
            <w:pPr>
              <w:widowControl/>
              <w:spacing w:line="300" w:lineRule="exact"/>
              <w:ind w:firstLine="0" w:firstLineChars="0"/>
              <w:jc w:val="center"/>
              <w:rPr>
                <w:rFonts w:ascii="宋体" w:hAnsi="宋体" w:cs="宋体"/>
                <w:sz w:val="18"/>
                <w:szCs w:val="18"/>
              </w:rPr>
            </w:pPr>
            <w:r>
              <w:rPr>
                <w:rFonts w:ascii="宋体" w:hAnsi="宋体" w:cs="宋体"/>
                <w:sz w:val="18"/>
                <w:szCs w:val="18"/>
              </w:rPr>
              <w:t>仪表</w:t>
            </w:r>
          </w:p>
          <w:p w14:paraId="2981DB32">
            <w:pPr>
              <w:widowControl/>
              <w:spacing w:line="300" w:lineRule="exact"/>
              <w:ind w:firstLine="0" w:firstLineChars="0"/>
              <w:jc w:val="center"/>
              <w:rPr>
                <w:rFonts w:ascii="宋体" w:hAnsi="宋体" w:cs="宋体"/>
                <w:sz w:val="18"/>
                <w:szCs w:val="18"/>
              </w:rPr>
            </w:pPr>
            <w:r>
              <w:rPr>
                <w:rFonts w:ascii="宋体" w:hAnsi="宋体" w:cs="宋体"/>
                <w:sz w:val="18"/>
                <w:szCs w:val="18"/>
              </w:rPr>
              <w:t>控制阀</w:t>
            </w:r>
          </w:p>
        </w:tc>
        <w:tc>
          <w:tcPr>
            <w:tcW w:w="1407" w:type="dxa"/>
            <w:tcBorders>
              <w:top w:val="nil"/>
              <w:left w:val="nil"/>
              <w:bottom w:val="single" w:color="auto" w:sz="8" w:space="0"/>
              <w:right w:val="single" w:color="auto" w:sz="8" w:space="0"/>
            </w:tcBorders>
            <w:shd w:val="clear" w:color="auto" w:fill="auto"/>
            <w:vAlign w:val="center"/>
          </w:tcPr>
          <w:p w14:paraId="6A04FB86">
            <w:pPr>
              <w:widowControl/>
              <w:spacing w:line="300" w:lineRule="exact"/>
              <w:ind w:firstLine="0" w:firstLineChars="0"/>
              <w:jc w:val="center"/>
              <w:rPr>
                <w:rFonts w:ascii="宋体" w:hAnsi="宋体" w:cs="宋体"/>
                <w:sz w:val="18"/>
                <w:szCs w:val="18"/>
              </w:rPr>
            </w:pPr>
            <w:r>
              <w:rPr>
                <w:rFonts w:ascii="宋体" w:hAnsi="宋体" w:cs="宋体"/>
                <w:sz w:val="18"/>
                <w:szCs w:val="18"/>
              </w:rPr>
              <w:t>10</w:t>
            </w:r>
            <w:r>
              <w:rPr>
                <w:rFonts w:hint="eastAsia" w:ascii="宋体" w:hAnsi="宋体" w:cs="宋体"/>
                <w:sz w:val="18"/>
                <w:szCs w:val="18"/>
              </w:rPr>
              <w:t>"闸板阀</w:t>
            </w:r>
          </w:p>
          <w:p w14:paraId="015E36CA">
            <w:pPr>
              <w:widowControl/>
              <w:spacing w:line="300" w:lineRule="exact"/>
              <w:ind w:firstLine="0" w:firstLineChars="0"/>
              <w:jc w:val="center"/>
              <w:rPr>
                <w:rFonts w:ascii="宋体" w:hAnsi="宋体" w:cs="宋体"/>
                <w:sz w:val="18"/>
                <w:szCs w:val="18"/>
              </w:rPr>
            </w:pPr>
            <w:r>
              <w:rPr>
                <w:rFonts w:ascii="宋体" w:hAnsi="宋体" w:cs="宋体"/>
                <w:sz w:val="18"/>
                <w:szCs w:val="18"/>
              </w:rPr>
              <w:t>（利旧）</w:t>
            </w:r>
          </w:p>
        </w:tc>
        <w:tc>
          <w:tcPr>
            <w:tcW w:w="6106" w:type="dxa"/>
            <w:tcBorders>
              <w:top w:val="nil"/>
              <w:left w:val="nil"/>
              <w:bottom w:val="single" w:color="auto" w:sz="8" w:space="0"/>
              <w:right w:val="single" w:color="auto" w:sz="8" w:space="0"/>
            </w:tcBorders>
            <w:shd w:val="clear" w:color="auto" w:fill="auto"/>
            <w:vAlign w:val="center"/>
          </w:tcPr>
          <w:p w14:paraId="57DB809C">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需更换控制电磁阀（改用双电控两位五通）增加中间位置反馈开关（开到位、中间位置、关到位）并接入PLC系统；</w:t>
            </w:r>
          </w:p>
          <w:p w14:paraId="30DEFD8D">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电磁阀品牌要求</w:t>
            </w:r>
            <w:r>
              <w:rPr>
                <w:rFonts w:hint="eastAsia" w:ascii="宋体" w:hAnsi="宋体" w:cs="宋体"/>
                <w:b w:val="0"/>
                <w:bCs w:val="0"/>
                <w:sz w:val="18"/>
                <w:szCs w:val="18"/>
              </w:rPr>
              <w:t>:</w:t>
            </w:r>
            <w:r>
              <w:rPr>
                <w:rFonts w:ascii="宋体" w:hAnsi="宋体" w:cs="宋体"/>
                <w:b w:val="0"/>
                <w:bCs w:val="0"/>
                <w:sz w:val="18"/>
                <w:szCs w:val="18"/>
              </w:rPr>
              <w:t>诺冠、ASCO;</w:t>
            </w:r>
            <w:r>
              <w:rPr>
                <w:rFonts w:hint="eastAsia" w:ascii="宋体" w:hAnsi="宋体" w:cs="宋体"/>
                <w:b w:val="0"/>
                <w:bCs w:val="0"/>
                <w:sz w:val="18"/>
                <w:szCs w:val="18"/>
              </w:rPr>
              <w:t xml:space="preserve"> 反馈开关</w:t>
            </w:r>
            <w:r>
              <w:rPr>
                <w:rFonts w:ascii="宋体" w:hAnsi="宋体" w:cs="宋体"/>
                <w:b w:val="0"/>
                <w:bCs w:val="0"/>
                <w:sz w:val="18"/>
                <w:szCs w:val="18"/>
              </w:rPr>
              <w:t>品牌要求</w:t>
            </w:r>
            <w:r>
              <w:rPr>
                <w:rFonts w:hint="eastAsia" w:ascii="宋体" w:hAnsi="宋体" w:cs="宋体"/>
                <w:b w:val="0"/>
                <w:bCs w:val="0"/>
                <w:sz w:val="18"/>
                <w:szCs w:val="18"/>
              </w:rPr>
              <w:t>:</w:t>
            </w:r>
            <w:r>
              <w:rPr>
                <w:rFonts w:ascii="宋体" w:hAnsi="宋体" w:cs="宋体"/>
                <w:b w:val="0"/>
                <w:bCs w:val="0"/>
                <w:sz w:val="18"/>
                <w:szCs w:val="18"/>
              </w:rPr>
              <w:t>P+F；</w:t>
            </w:r>
          </w:p>
          <w:p w14:paraId="202E0A09">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详见数据表。</w:t>
            </w:r>
          </w:p>
        </w:tc>
        <w:tc>
          <w:tcPr>
            <w:tcW w:w="1134" w:type="dxa"/>
            <w:tcBorders>
              <w:top w:val="nil"/>
              <w:left w:val="nil"/>
              <w:bottom w:val="single" w:color="auto" w:sz="8" w:space="0"/>
              <w:right w:val="single" w:color="auto" w:sz="8" w:space="0"/>
            </w:tcBorders>
            <w:shd w:val="clear" w:color="auto" w:fill="auto"/>
            <w:vAlign w:val="center"/>
          </w:tcPr>
          <w:p w14:paraId="656ECA2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1套</w:t>
            </w:r>
          </w:p>
        </w:tc>
      </w:tr>
      <w:tr w14:paraId="3F9D06F4">
        <w:tblPrEx>
          <w:tblCellMar>
            <w:top w:w="0" w:type="dxa"/>
            <w:left w:w="108" w:type="dxa"/>
            <w:bottom w:w="0" w:type="dxa"/>
            <w:right w:w="108" w:type="dxa"/>
          </w:tblCellMar>
        </w:tblPrEx>
        <w:trPr>
          <w:trHeight w:val="971" w:hRule="atLeast"/>
          <w:jc w:val="center"/>
        </w:trPr>
        <w:tc>
          <w:tcPr>
            <w:tcW w:w="851" w:type="dxa"/>
            <w:vMerge w:val="continue"/>
            <w:tcBorders>
              <w:left w:val="single" w:color="auto" w:sz="8" w:space="0"/>
              <w:right w:val="single" w:color="auto" w:sz="8" w:space="0"/>
            </w:tcBorders>
            <w:shd w:val="clear" w:color="auto" w:fill="auto"/>
            <w:vAlign w:val="center"/>
          </w:tcPr>
          <w:p w14:paraId="491BB52A">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2FF939E9">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6"</w:t>
            </w:r>
            <w:r>
              <w:rPr>
                <w:rFonts w:ascii="宋体" w:hAnsi="宋体" w:cs="宋体"/>
                <w:sz w:val="18"/>
                <w:szCs w:val="18"/>
              </w:rPr>
              <w:t>蝶阀</w:t>
            </w:r>
          </w:p>
        </w:tc>
        <w:tc>
          <w:tcPr>
            <w:tcW w:w="6106" w:type="dxa"/>
            <w:tcBorders>
              <w:top w:val="nil"/>
              <w:left w:val="nil"/>
              <w:bottom w:val="single" w:color="auto" w:sz="8" w:space="0"/>
              <w:right w:val="single" w:color="auto" w:sz="8" w:space="0"/>
            </w:tcBorders>
            <w:shd w:val="clear" w:color="auto" w:fill="auto"/>
            <w:vAlign w:val="center"/>
          </w:tcPr>
          <w:p w14:paraId="2634CEE2">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集装箱排气管开关蝶阀 对夹式 6"</w:t>
            </w:r>
            <w:r>
              <w:rPr>
                <w:rFonts w:ascii="宋体" w:hAnsi="宋体" w:cs="宋体"/>
                <w:b w:val="0"/>
                <w:bCs w:val="0"/>
                <w:sz w:val="18"/>
                <w:szCs w:val="18"/>
              </w:rPr>
              <w:t xml:space="preserve"> </w:t>
            </w:r>
            <w:r>
              <w:rPr>
                <w:rFonts w:hint="eastAsia" w:ascii="宋体" w:hAnsi="宋体" w:cs="宋体"/>
                <w:b w:val="0"/>
                <w:bCs w:val="0"/>
                <w:sz w:val="18"/>
                <w:szCs w:val="18"/>
              </w:rPr>
              <w:t>ANSI CL150,RF</w:t>
            </w:r>
            <w:r>
              <w:rPr>
                <w:rFonts w:ascii="宋体" w:hAnsi="宋体" w:cs="宋体"/>
                <w:b w:val="0"/>
                <w:bCs w:val="0"/>
                <w:sz w:val="18"/>
                <w:szCs w:val="18"/>
              </w:rPr>
              <w:t>详见数据表</w:t>
            </w:r>
          </w:p>
          <w:p w14:paraId="48D63B7F">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阀门品牌要求：无锡智能、无锡斯考尔、徐州阿卡等；</w:t>
            </w:r>
          </w:p>
          <w:p w14:paraId="2593CF3F">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电磁阀品牌要求</w:t>
            </w:r>
            <w:r>
              <w:rPr>
                <w:rFonts w:hint="eastAsia" w:ascii="宋体" w:hAnsi="宋体" w:cs="宋体"/>
                <w:b w:val="0"/>
                <w:bCs w:val="0"/>
                <w:sz w:val="18"/>
                <w:szCs w:val="18"/>
              </w:rPr>
              <w:t>:</w:t>
            </w:r>
            <w:r>
              <w:rPr>
                <w:rFonts w:ascii="宋体" w:hAnsi="宋体" w:cs="宋体"/>
                <w:b w:val="0"/>
                <w:bCs w:val="0"/>
                <w:sz w:val="18"/>
                <w:szCs w:val="18"/>
              </w:rPr>
              <w:t>诺冠、ASCO;</w:t>
            </w:r>
            <w:r>
              <w:rPr>
                <w:rFonts w:hint="eastAsia" w:ascii="宋体" w:hAnsi="宋体" w:cs="宋体"/>
                <w:b w:val="0"/>
                <w:bCs w:val="0"/>
                <w:sz w:val="18"/>
                <w:szCs w:val="18"/>
              </w:rPr>
              <w:t xml:space="preserve"> 反馈开关</w:t>
            </w:r>
            <w:r>
              <w:rPr>
                <w:rFonts w:ascii="宋体" w:hAnsi="宋体" w:cs="宋体"/>
                <w:b w:val="0"/>
                <w:bCs w:val="0"/>
                <w:sz w:val="18"/>
                <w:szCs w:val="18"/>
              </w:rPr>
              <w:t>品牌要求</w:t>
            </w:r>
            <w:r>
              <w:rPr>
                <w:rFonts w:hint="eastAsia" w:ascii="宋体" w:hAnsi="宋体" w:cs="宋体"/>
                <w:b w:val="0"/>
                <w:bCs w:val="0"/>
                <w:sz w:val="18"/>
                <w:szCs w:val="18"/>
              </w:rPr>
              <w:t>:</w:t>
            </w:r>
            <w:r>
              <w:rPr>
                <w:rFonts w:ascii="宋体" w:hAnsi="宋体" w:cs="宋体"/>
                <w:b w:val="0"/>
                <w:bCs w:val="0"/>
                <w:sz w:val="18"/>
                <w:szCs w:val="18"/>
              </w:rPr>
              <w:t>P+F。</w:t>
            </w:r>
          </w:p>
        </w:tc>
        <w:tc>
          <w:tcPr>
            <w:tcW w:w="1134" w:type="dxa"/>
            <w:tcBorders>
              <w:top w:val="nil"/>
              <w:left w:val="nil"/>
              <w:bottom w:val="single" w:color="auto" w:sz="8" w:space="0"/>
              <w:right w:val="single" w:color="auto" w:sz="8" w:space="0"/>
            </w:tcBorders>
            <w:shd w:val="clear" w:color="auto" w:fill="auto"/>
            <w:vAlign w:val="center"/>
          </w:tcPr>
          <w:p w14:paraId="19F1E0B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55708E12">
        <w:tblPrEx>
          <w:tblCellMar>
            <w:top w:w="0" w:type="dxa"/>
            <w:left w:w="108" w:type="dxa"/>
            <w:bottom w:w="0" w:type="dxa"/>
            <w:right w:w="108" w:type="dxa"/>
          </w:tblCellMar>
        </w:tblPrEx>
        <w:trPr>
          <w:trHeight w:val="1056" w:hRule="atLeast"/>
          <w:jc w:val="center"/>
        </w:trPr>
        <w:tc>
          <w:tcPr>
            <w:tcW w:w="851" w:type="dxa"/>
            <w:vMerge w:val="continue"/>
            <w:tcBorders>
              <w:left w:val="single" w:color="auto" w:sz="8" w:space="0"/>
              <w:bottom w:val="single" w:color="000000" w:sz="8" w:space="0"/>
              <w:right w:val="single" w:color="auto" w:sz="8" w:space="0"/>
            </w:tcBorders>
            <w:shd w:val="clear" w:color="auto" w:fill="auto"/>
            <w:vAlign w:val="center"/>
          </w:tcPr>
          <w:p w14:paraId="2833F237">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267AF99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2"球阀</w:t>
            </w:r>
          </w:p>
        </w:tc>
        <w:tc>
          <w:tcPr>
            <w:tcW w:w="6106" w:type="dxa"/>
            <w:tcBorders>
              <w:top w:val="nil"/>
              <w:left w:val="nil"/>
              <w:bottom w:val="single" w:color="auto" w:sz="8" w:space="0"/>
              <w:right w:val="single" w:color="auto" w:sz="8" w:space="0"/>
            </w:tcBorders>
            <w:shd w:val="clear" w:color="auto" w:fill="auto"/>
            <w:vAlign w:val="center"/>
          </w:tcPr>
          <w:p w14:paraId="42BBA3F9">
            <w:pPr>
              <w:widowControl/>
              <w:spacing w:line="300" w:lineRule="exact"/>
              <w:ind w:firstLine="0" w:firstLineChars="0"/>
              <w:jc w:val="left"/>
              <w:rPr>
                <w:rFonts w:ascii="宋体" w:hAnsi="宋体" w:cs="宋体"/>
                <w:b w:val="0"/>
                <w:bCs w:val="0"/>
                <w:sz w:val="18"/>
                <w:szCs w:val="18"/>
              </w:rPr>
            </w:pPr>
            <w:r>
              <w:rPr>
                <w:rFonts w:hint="eastAsia" w:ascii="宋体" w:hAnsi="宋体" w:cs="宋体"/>
                <w:b w:val="0"/>
                <w:bCs w:val="0"/>
                <w:sz w:val="18"/>
                <w:szCs w:val="18"/>
              </w:rPr>
              <w:t>两段式全通径球阀 法兰 2"  ANSI CL150,RF</w:t>
            </w:r>
            <w:r>
              <w:rPr>
                <w:rFonts w:ascii="宋体" w:hAnsi="宋体" w:cs="宋体"/>
                <w:b w:val="0"/>
                <w:bCs w:val="0"/>
                <w:sz w:val="18"/>
                <w:szCs w:val="18"/>
              </w:rPr>
              <w:t xml:space="preserve"> 详见数据表</w:t>
            </w:r>
          </w:p>
          <w:p w14:paraId="30FAD50D">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阀门品牌要求：无锡智能、无锡斯考尔、徐州阿卡等；</w:t>
            </w:r>
          </w:p>
          <w:p w14:paraId="21AB3909">
            <w:pPr>
              <w:widowControl/>
              <w:spacing w:line="300" w:lineRule="exact"/>
              <w:ind w:firstLine="0" w:firstLineChars="0"/>
              <w:jc w:val="left"/>
              <w:rPr>
                <w:rFonts w:ascii="宋体" w:hAnsi="宋体" w:cs="宋体"/>
                <w:b w:val="0"/>
                <w:bCs w:val="0"/>
                <w:sz w:val="18"/>
                <w:szCs w:val="18"/>
              </w:rPr>
            </w:pPr>
            <w:r>
              <w:rPr>
                <w:rFonts w:ascii="宋体" w:hAnsi="宋体" w:cs="宋体"/>
                <w:b w:val="0"/>
                <w:bCs w:val="0"/>
                <w:sz w:val="18"/>
                <w:szCs w:val="18"/>
              </w:rPr>
              <w:t>电磁阀品牌要求</w:t>
            </w:r>
            <w:r>
              <w:rPr>
                <w:rFonts w:hint="eastAsia" w:ascii="宋体" w:hAnsi="宋体" w:cs="宋体"/>
                <w:b w:val="0"/>
                <w:bCs w:val="0"/>
                <w:sz w:val="18"/>
                <w:szCs w:val="18"/>
              </w:rPr>
              <w:t>:</w:t>
            </w:r>
            <w:r>
              <w:rPr>
                <w:rFonts w:ascii="宋体" w:hAnsi="宋体" w:cs="宋体"/>
                <w:b w:val="0"/>
                <w:bCs w:val="0"/>
                <w:sz w:val="18"/>
                <w:szCs w:val="18"/>
              </w:rPr>
              <w:t>诺冠、ASCO;</w:t>
            </w:r>
            <w:r>
              <w:rPr>
                <w:rFonts w:hint="eastAsia" w:ascii="宋体" w:hAnsi="宋体" w:cs="宋体"/>
                <w:b w:val="0"/>
                <w:bCs w:val="0"/>
                <w:sz w:val="18"/>
                <w:szCs w:val="18"/>
              </w:rPr>
              <w:t xml:space="preserve"> 反馈开关</w:t>
            </w:r>
            <w:r>
              <w:rPr>
                <w:rFonts w:ascii="宋体" w:hAnsi="宋体" w:cs="宋体"/>
                <w:b w:val="0"/>
                <w:bCs w:val="0"/>
                <w:sz w:val="18"/>
                <w:szCs w:val="18"/>
              </w:rPr>
              <w:t>品牌要求</w:t>
            </w:r>
            <w:r>
              <w:rPr>
                <w:rFonts w:hint="eastAsia" w:ascii="宋体" w:hAnsi="宋体" w:cs="宋体"/>
                <w:b w:val="0"/>
                <w:bCs w:val="0"/>
                <w:sz w:val="18"/>
                <w:szCs w:val="18"/>
              </w:rPr>
              <w:t>:</w:t>
            </w:r>
            <w:r>
              <w:rPr>
                <w:rFonts w:ascii="宋体" w:hAnsi="宋体" w:cs="宋体"/>
                <w:b w:val="0"/>
                <w:bCs w:val="0"/>
                <w:sz w:val="18"/>
                <w:szCs w:val="18"/>
              </w:rPr>
              <w:t>P+F。</w:t>
            </w:r>
          </w:p>
        </w:tc>
        <w:tc>
          <w:tcPr>
            <w:tcW w:w="1134" w:type="dxa"/>
            <w:tcBorders>
              <w:top w:val="nil"/>
              <w:left w:val="nil"/>
              <w:bottom w:val="single" w:color="auto" w:sz="8" w:space="0"/>
              <w:right w:val="single" w:color="auto" w:sz="8" w:space="0"/>
            </w:tcBorders>
            <w:shd w:val="clear" w:color="auto" w:fill="auto"/>
            <w:vAlign w:val="center"/>
          </w:tcPr>
          <w:p w14:paraId="4A15701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6657C2B8">
        <w:tblPrEx>
          <w:tblCellMar>
            <w:top w:w="0" w:type="dxa"/>
            <w:left w:w="108" w:type="dxa"/>
            <w:bottom w:w="0" w:type="dxa"/>
            <w:right w:w="108" w:type="dxa"/>
          </w:tblCellMar>
        </w:tblPrEx>
        <w:trPr>
          <w:trHeight w:val="442" w:hRule="atLeast"/>
          <w:jc w:val="center"/>
        </w:trPr>
        <w:tc>
          <w:tcPr>
            <w:tcW w:w="851" w:type="dxa"/>
            <w:tcBorders>
              <w:top w:val="nil"/>
              <w:left w:val="single" w:color="auto" w:sz="8" w:space="0"/>
              <w:bottom w:val="single" w:color="000000" w:sz="8" w:space="0"/>
              <w:right w:val="single" w:color="auto" w:sz="8" w:space="0"/>
            </w:tcBorders>
            <w:shd w:val="clear" w:color="auto" w:fill="auto"/>
            <w:vAlign w:val="center"/>
          </w:tcPr>
          <w:p w14:paraId="2B24988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八</w:t>
            </w:r>
          </w:p>
        </w:tc>
        <w:tc>
          <w:tcPr>
            <w:tcW w:w="8647" w:type="dxa"/>
            <w:gridSpan w:val="3"/>
            <w:tcBorders>
              <w:top w:val="nil"/>
              <w:left w:val="nil"/>
              <w:bottom w:val="single" w:color="auto" w:sz="8" w:space="0"/>
              <w:right w:val="single" w:color="auto" w:sz="8" w:space="0"/>
            </w:tcBorders>
            <w:shd w:val="clear" w:color="auto" w:fill="auto"/>
            <w:vAlign w:val="center"/>
          </w:tcPr>
          <w:p w14:paraId="52E66E98">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现场安装所需管件</w:t>
            </w:r>
          </w:p>
        </w:tc>
      </w:tr>
      <w:tr w14:paraId="653E0297">
        <w:tblPrEx>
          <w:tblCellMar>
            <w:top w:w="0" w:type="dxa"/>
            <w:left w:w="108" w:type="dxa"/>
            <w:bottom w:w="0" w:type="dxa"/>
            <w:right w:w="108" w:type="dxa"/>
          </w:tblCellMar>
        </w:tblPrEx>
        <w:trPr>
          <w:trHeight w:val="665" w:hRule="atLeast"/>
          <w:jc w:val="center"/>
        </w:trPr>
        <w:tc>
          <w:tcPr>
            <w:tcW w:w="851" w:type="dxa"/>
            <w:tcBorders>
              <w:top w:val="nil"/>
              <w:left w:val="single" w:color="auto" w:sz="8" w:space="0"/>
              <w:bottom w:val="single" w:color="000000" w:sz="8" w:space="0"/>
              <w:right w:val="single" w:color="auto" w:sz="8" w:space="0"/>
            </w:tcBorders>
            <w:shd w:val="clear" w:color="auto" w:fill="auto"/>
            <w:vAlign w:val="center"/>
          </w:tcPr>
          <w:p w14:paraId="610DC92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管件</w:t>
            </w:r>
          </w:p>
        </w:tc>
        <w:tc>
          <w:tcPr>
            <w:tcW w:w="7513" w:type="dxa"/>
            <w:gridSpan w:val="2"/>
            <w:tcBorders>
              <w:top w:val="nil"/>
              <w:left w:val="nil"/>
              <w:bottom w:val="single" w:color="auto" w:sz="8" w:space="0"/>
              <w:right w:val="single" w:color="auto" w:sz="8" w:space="0"/>
            </w:tcBorders>
            <w:shd w:val="clear" w:color="auto" w:fill="auto"/>
            <w:vAlign w:val="center"/>
          </w:tcPr>
          <w:p w14:paraId="4283ACBD">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现场安装的无缝钢管、法兰、弯头、气源管件、角钢、槽钢等1批（具体用量详见设计图纸材料表)</w:t>
            </w:r>
          </w:p>
        </w:tc>
        <w:tc>
          <w:tcPr>
            <w:tcW w:w="1134" w:type="dxa"/>
            <w:tcBorders>
              <w:top w:val="nil"/>
              <w:left w:val="nil"/>
              <w:bottom w:val="single" w:color="auto" w:sz="8" w:space="0"/>
              <w:right w:val="single" w:color="auto" w:sz="8" w:space="0"/>
            </w:tcBorders>
            <w:shd w:val="clear" w:color="auto" w:fill="auto"/>
            <w:vAlign w:val="center"/>
          </w:tcPr>
          <w:p w14:paraId="1F0F15D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1批</w:t>
            </w:r>
          </w:p>
        </w:tc>
      </w:tr>
      <w:tr w14:paraId="589F7569">
        <w:tblPrEx>
          <w:tblCellMar>
            <w:top w:w="0" w:type="dxa"/>
            <w:left w:w="108" w:type="dxa"/>
            <w:bottom w:w="0" w:type="dxa"/>
            <w:right w:w="108" w:type="dxa"/>
          </w:tblCellMar>
        </w:tblPrEx>
        <w:trPr>
          <w:trHeight w:val="447" w:hRule="atLeast"/>
          <w:jc w:val="center"/>
        </w:trPr>
        <w:tc>
          <w:tcPr>
            <w:tcW w:w="851" w:type="dxa"/>
            <w:tcBorders>
              <w:top w:val="nil"/>
              <w:left w:val="single" w:color="auto" w:sz="8" w:space="0"/>
              <w:bottom w:val="single" w:color="000000" w:sz="8" w:space="0"/>
              <w:right w:val="single" w:color="auto" w:sz="8" w:space="0"/>
            </w:tcBorders>
            <w:shd w:val="clear" w:color="auto" w:fill="auto"/>
            <w:vAlign w:val="center"/>
          </w:tcPr>
          <w:p w14:paraId="2617F195">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九</w:t>
            </w:r>
          </w:p>
        </w:tc>
        <w:tc>
          <w:tcPr>
            <w:tcW w:w="8647" w:type="dxa"/>
            <w:gridSpan w:val="3"/>
            <w:tcBorders>
              <w:top w:val="nil"/>
              <w:left w:val="nil"/>
              <w:bottom w:val="single" w:color="auto" w:sz="8" w:space="0"/>
              <w:right w:val="single" w:color="auto" w:sz="8" w:space="0"/>
            </w:tcBorders>
            <w:shd w:val="clear" w:color="auto" w:fill="auto"/>
            <w:vAlign w:val="center"/>
          </w:tcPr>
          <w:p w14:paraId="6E071C29">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电缆材料</w:t>
            </w:r>
          </w:p>
        </w:tc>
      </w:tr>
      <w:tr w14:paraId="3E003D14">
        <w:tblPrEx>
          <w:tblCellMar>
            <w:top w:w="0" w:type="dxa"/>
            <w:left w:w="108" w:type="dxa"/>
            <w:bottom w:w="0" w:type="dxa"/>
            <w:right w:w="108" w:type="dxa"/>
          </w:tblCellMar>
        </w:tblPrEx>
        <w:trPr>
          <w:trHeight w:val="585" w:hRule="atLeast"/>
          <w:jc w:val="center"/>
        </w:trPr>
        <w:tc>
          <w:tcPr>
            <w:tcW w:w="851" w:type="dxa"/>
            <w:vMerge w:val="restart"/>
            <w:tcBorders>
              <w:top w:val="nil"/>
              <w:left w:val="single" w:color="auto" w:sz="8" w:space="0"/>
              <w:right w:val="single" w:color="auto" w:sz="8" w:space="0"/>
            </w:tcBorders>
            <w:shd w:val="clear" w:color="auto" w:fill="auto"/>
            <w:vAlign w:val="center"/>
          </w:tcPr>
          <w:p w14:paraId="2D6A913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电缆</w:t>
            </w:r>
          </w:p>
        </w:tc>
        <w:tc>
          <w:tcPr>
            <w:tcW w:w="1407" w:type="dxa"/>
            <w:tcBorders>
              <w:top w:val="nil"/>
              <w:left w:val="nil"/>
              <w:bottom w:val="single" w:color="auto" w:sz="8" w:space="0"/>
              <w:right w:val="single" w:color="auto" w:sz="8" w:space="0"/>
            </w:tcBorders>
            <w:shd w:val="clear" w:color="auto" w:fill="auto"/>
            <w:vAlign w:val="center"/>
          </w:tcPr>
          <w:p w14:paraId="3850D30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阻燃屏蔽控制软电缆</w:t>
            </w:r>
          </w:p>
        </w:tc>
        <w:tc>
          <w:tcPr>
            <w:tcW w:w="6106" w:type="dxa"/>
            <w:tcBorders>
              <w:top w:val="nil"/>
              <w:left w:val="nil"/>
              <w:bottom w:val="single" w:color="auto" w:sz="8" w:space="0"/>
              <w:right w:val="single" w:color="auto" w:sz="8" w:space="0"/>
            </w:tcBorders>
            <w:shd w:val="clear" w:color="auto" w:fill="auto"/>
            <w:vAlign w:val="center"/>
          </w:tcPr>
          <w:p w14:paraId="7D5A429A">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1×3×1.5，ZRA-DJYVPR</w:t>
            </w:r>
          </w:p>
          <w:p w14:paraId="184F4EDD">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：福建南平太阳</w:t>
            </w:r>
            <w:r>
              <w:rPr>
                <w:rFonts w:hint="eastAsia" w:ascii="宋体" w:hAnsi="宋体" w:cs="宋体"/>
                <w:sz w:val="18"/>
                <w:szCs w:val="18"/>
                <w:lang w:eastAsia="zh-CN"/>
              </w:rPr>
              <w:t>电缆股份有限公司</w:t>
            </w:r>
            <w:r>
              <w:rPr>
                <w:rFonts w:hint="eastAsia" w:ascii="宋体" w:hAnsi="宋体" w:cs="宋体"/>
                <w:sz w:val="18"/>
                <w:szCs w:val="18"/>
              </w:rPr>
              <w:t>、江苏华宇</w:t>
            </w:r>
            <w:r>
              <w:rPr>
                <w:rFonts w:hint="eastAsia" w:ascii="宋体" w:hAnsi="宋体" w:cs="宋体"/>
                <w:sz w:val="18"/>
                <w:szCs w:val="18"/>
                <w:lang w:eastAsia="zh-CN"/>
              </w:rPr>
              <w:t>电缆有限公司</w:t>
            </w:r>
            <w:r>
              <w:rPr>
                <w:rFonts w:hint="eastAsia" w:ascii="宋体" w:hAnsi="宋体" w:cs="宋体"/>
                <w:sz w:val="18"/>
                <w:szCs w:val="18"/>
              </w:rPr>
              <w:t>、宝胜</w:t>
            </w:r>
            <w:r>
              <w:rPr>
                <w:rFonts w:hint="eastAsia" w:ascii="宋体" w:hAnsi="宋体" w:cs="宋体"/>
                <w:sz w:val="18"/>
                <w:szCs w:val="18"/>
                <w:lang w:eastAsia="zh-CN"/>
              </w:rPr>
              <w:t>科技创新股份有限公司</w:t>
            </w:r>
            <w:r>
              <w:rPr>
                <w:rFonts w:hint="eastAsia" w:ascii="宋体" w:hAnsi="宋体" w:cs="宋体"/>
                <w:sz w:val="18"/>
                <w:szCs w:val="18"/>
              </w:rPr>
              <w:t>、江苏上上</w:t>
            </w:r>
            <w:r>
              <w:rPr>
                <w:rFonts w:hint="eastAsia" w:ascii="宋体" w:hAnsi="宋体" w:cs="宋体"/>
                <w:sz w:val="18"/>
                <w:szCs w:val="18"/>
                <w:lang w:eastAsia="zh-CN"/>
              </w:rPr>
              <w:t>电缆集团有限公司</w:t>
            </w:r>
            <w:r>
              <w:rPr>
                <w:rFonts w:hint="eastAsia" w:ascii="宋体" w:hAnsi="宋体" w:cs="宋体"/>
                <w:sz w:val="18"/>
                <w:szCs w:val="18"/>
              </w:rPr>
              <w:t>、安徽天康</w:t>
            </w:r>
            <w:r>
              <w:rPr>
                <w:rFonts w:hint="eastAsia" w:ascii="宋体" w:hAnsi="宋体" w:cs="宋体"/>
                <w:sz w:val="18"/>
                <w:szCs w:val="18"/>
                <w:lang w:eastAsia="zh-CN"/>
              </w:rPr>
              <w:t>集团股份有限公司。</w:t>
            </w:r>
          </w:p>
        </w:tc>
        <w:tc>
          <w:tcPr>
            <w:tcW w:w="1134" w:type="dxa"/>
            <w:tcBorders>
              <w:top w:val="nil"/>
              <w:left w:val="nil"/>
              <w:bottom w:val="single" w:color="auto" w:sz="8" w:space="0"/>
              <w:right w:val="single" w:color="auto" w:sz="8" w:space="0"/>
            </w:tcBorders>
            <w:shd w:val="clear" w:color="auto" w:fill="auto"/>
            <w:vAlign w:val="center"/>
          </w:tcPr>
          <w:p w14:paraId="0C49984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10米</w:t>
            </w:r>
          </w:p>
        </w:tc>
      </w:tr>
      <w:tr w14:paraId="3EA549FD">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44633AE0">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25A13C30">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阻燃屏蔽控制软电缆</w:t>
            </w:r>
          </w:p>
        </w:tc>
        <w:tc>
          <w:tcPr>
            <w:tcW w:w="6106" w:type="dxa"/>
            <w:tcBorders>
              <w:top w:val="nil"/>
              <w:left w:val="nil"/>
              <w:bottom w:val="single" w:color="auto" w:sz="8" w:space="0"/>
              <w:right w:val="single" w:color="auto" w:sz="8" w:space="0"/>
            </w:tcBorders>
            <w:shd w:val="clear" w:color="auto" w:fill="auto"/>
            <w:vAlign w:val="center"/>
          </w:tcPr>
          <w:p w14:paraId="0960FB9D">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1、1×2×1.5，ZRA-DJYVPR</w:t>
            </w:r>
          </w:p>
          <w:p w14:paraId="22AF5303">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2、品牌</w:t>
            </w:r>
            <w:r>
              <w:rPr>
                <w:rFonts w:hint="eastAsia" w:ascii="宋体" w:hAnsi="宋体" w:cs="宋体"/>
                <w:sz w:val="18"/>
                <w:szCs w:val="18"/>
                <w:lang w:eastAsia="zh-CN"/>
              </w:rPr>
              <w:t>要求</w:t>
            </w:r>
            <w:r>
              <w:rPr>
                <w:rFonts w:hint="eastAsia" w:ascii="宋体" w:hAnsi="宋体" w:cs="宋体"/>
                <w:sz w:val="18"/>
                <w:szCs w:val="18"/>
              </w:rPr>
              <w:t>：福建南平太阳</w:t>
            </w:r>
            <w:r>
              <w:rPr>
                <w:rFonts w:hint="eastAsia" w:ascii="宋体" w:hAnsi="宋体" w:cs="宋体"/>
                <w:sz w:val="18"/>
                <w:szCs w:val="18"/>
                <w:lang w:eastAsia="zh-CN"/>
              </w:rPr>
              <w:t>电缆股份有限公司</w:t>
            </w:r>
            <w:r>
              <w:rPr>
                <w:rFonts w:hint="eastAsia" w:ascii="宋体" w:hAnsi="宋体" w:cs="宋体"/>
                <w:sz w:val="18"/>
                <w:szCs w:val="18"/>
              </w:rPr>
              <w:t>、江苏华宇</w:t>
            </w:r>
            <w:r>
              <w:rPr>
                <w:rFonts w:hint="eastAsia" w:ascii="宋体" w:hAnsi="宋体" w:cs="宋体"/>
                <w:sz w:val="18"/>
                <w:szCs w:val="18"/>
                <w:lang w:eastAsia="zh-CN"/>
              </w:rPr>
              <w:t>电缆有限公司</w:t>
            </w:r>
            <w:r>
              <w:rPr>
                <w:rFonts w:hint="eastAsia" w:ascii="宋体" w:hAnsi="宋体" w:cs="宋体"/>
                <w:sz w:val="18"/>
                <w:szCs w:val="18"/>
              </w:rPr>
              <w:t>、宝胜</w:t>
            </w:r>
            <w:r>
              <w:rPr>
                <w:rFonts w:hint="eastAsia" w:ascii="宋体" w:hAnsi="宋体" w:cs="宋体"/>
                <w:sz w:val="18"/>
                <w:szCs w:val="18"/>
                <w:lang w:eastAsia="zh-CN"/>
              </w:rPr>
              <w:t>科技创新股份有限公司</w:t>
            </w:r>
            <w:r>
              <w:rPr>
                <w:rFonts w:hint="eastAsia" w:ascii="宋体" w:hAnsi="宋体" w:cs="宋体"/>
                <w:sz w:val="18"/>
                <w:szCs w:val="18"/>
              </w:rPr>
              <w:t>、江苏上上</w:t>
            </w:r>
            <w:r>
              <w:rPr>
                <w:rFonts w:hint="eastAsia" w:ascii="宋体" w:hAnsi="宋体" w:cs="宋体"/>
                <w:sz w:val="18"/>
                <w:szCs w:val="18"/>
                <w:lang w:eastAsia="zh-CN"/>
              </w:rPr>
              <w:t>电缆集团有限公司</w:t>
            </w:r>
            <w:r>
              <w:rPr>
                <w:rFonts w:hint="eastAsia" w:ascii="宋体" w:hAnsi="宋体" w:cs="宋体"/>
                <w:sz w:val="18"/>
                <w:szCs w:val="18"/>
              </w:rPr>
              <w:t>、安徽天康</w:t>
            </w:r>
            <w:r>
              <w:rPr>
                <w:rFonts w:hint="eastAsia" w:ascii="宋体" w:hAnsi="宋体" w:cs="宋体"/>
                <w:sz w:val="18"/>
                <w:szCs w:val="18"/>
                <w:lang w:eastAsia="zh-CN"/>
              </w:rPr>
              <w:t>集团股份有限公司。</w:t>
            </w:r>
          </w:p>
        </w:tc>
        <w:tc>
          <w:tcPr>
            <w:tcW w:w="1134" w:type="dxa"/>
            <w:tcBorders>
              <w:top w:val="nil"/>
              <w:left w:val="nil"/>
              <w:bottom w:val="single" w:color="auto" w:sz="8" w:space="0"/>
              <w:right w:val="single" w:color="auto" w:sz="8" w:space="0"/>
            </w:tcBorders>
            <w:shd w:val="clear" w:color="auto" w:fill="auto"/>
            <w:vAlign w:val="center"/>
          </w:tcPr>
          <w:p w14:paraId="67AF2C6C">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230米</w:t>
            </w:r>
          </w:p>
        </w:tc>
      </w:tr>
      <w:tr w14:paraId="6C10DA96">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185628E1">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6489F893">
            <w:pPr>
              <w:widowControl/>
              <w:spacing w:line="300" w:lineRule="exact"/>
              <w:ind w:firstLine="0" w:firstLineChars="0"/>
              <w:jc w:val="center"/>
              <w:rPr>
                <w:rFonts w:ascii="宋体" w:hAnsi="宋体" w:cs="宋体"/>
                <w:sz w:val="18"/>
                <w:szCs w:val="18"/>
              </w:rPr>
            </w:pPr>
            <w:r>
              <w:rPr>
                <w:rFonts w:hint="eastAsia" w:ascii="宋体" w:hAnsi="宋体" w:cs="宋体"/>
                <w:sz w:val="18"/>
                <w:szCs w:val="18"/>
                <w:highlight w:val="none"/>
              </w:rPr>
              <w:t>阻燃铠装电力电缆</w:t>
            </w:r>
          </w:p>
        </w:tc>
        <w:tc>
          <w:tcPr>
            <w:tcW w:w="6106" w:type="dxa"/>
            <w:tcBorders>
              <w:top w:val="nil"/>
              <w:left w:val="nil"/>
              <w:bottom w:val="single" w:color="auto" w:sz="8" w:space="0"/>
              <w:right w:val="single" w:color="auto" w:sz="8" w:space="0"/>
            </w:tcBorders>
            <w:shd w:val="clear" w:color="auto" w:fill="auto"/>
            <w:vAlign w:val="center"/>
          </w:tcPr>
          <w:p w14:paraId="2E8EA528">
            <w:pPr>
              <w:widowControl/>
              <w:spacing w:line="300" w:lineRule="exact"/>
              <w:ind w:firstLine="0" w:firstLineChars="0"/>
              <w:jc w:val="left"/>
              <w:rPr>
                <w:rFonts w:hint="default" w:ascii="宋体" w:hAnsi="宋体" w:cs="宋体"/>
                <w:sz w:val="18"/>
                <w:szCs w:val="18"/>
                <w:lang w:val="en-US"/>
              </w:rPr>
            </w:pPr>
            <w:r>
              <w:rPr>
                <w:rFonts w:hint="eastAsia" w:ascii="宋体" w:hAnsi="宋体" w:cs="宋体"/>
                <w:sz w:val="18"/>
                <w:szCs w:val="18"/>
              </w:rPr>
              <w:t>1、5×4，ZA-YJV22-0.6/1</w:t>
            </w:r>
            <w:r>
              <w:rPr>
                <w:rFonts w:hint="eastAsia" w:ascii="宋体" w:hAnsi="宋体" w:cs="宋体"/>
                <w:sz w:val="18"/>
                <w:szCs w:val="18"/>
                <w:lang w:val="en-US" w:eastAsia="zh-CN"/>
              </w:rPr>
              <w:t>kv</w:t>
            </w:r>
          </w:p>
          <w:p w14:paraId="0250BD94">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：福建南平太阳</w:t>
            </w:r>
            <w:r>
              <w:rPr>
                <w:rFonts w:hint="eastAsia" w:ascii="宋体" w:hAnsi="宋体" w:cs="宋体"/>
                <w:sz w:val="18"/>
                <w:szCs w:val="18"/>
                <w:lang w:eastAsia="zh-CN"/>
              </w:rPr>
              <w:t>电缆股份有限公司</w:t>
            </w:r>
            <w:r>
              <w:rPr>
                <w:rFonts w:hint="eastAsia" w:ascii="宋体" w:hAnsi="宋体" w:cs="宋体"/>
                <w:sz w:val="18"/>
                <w:szCs w:val="18"/>
              </w:rPr>
              <w:t>、宝胜</w:t>
            </w:r>
            <w:r>
              <w:rPr>
                <w:rFonts w:hint="eastAsia" w:ascii="宋体" w:hAnsi="宋体" w:cs="宋体"/>
                <w:sz w:val="18"/>
                <w:szCs w:val="18"/>
                <w:lang w:eastAsia="zh-CN"/>
              </w:rPr>
              <w:t>科技创新股份有限公司</w:t>
            </w:r>
            <w:r>
              <w:rPr>
                <w:rFonts w:hint="eastAsia" w:ascii="宋体" w:hAnsi="宋体" w:cs="宋体"/>
                <w:sz w:val="18"/>
                <w:szCs w:val="18"/>
              </w:rPr>
              <w:t>、江苏上上</w:t>
            </w:r>
            <w:r>
              <w:rPr>
                <w:rFonts w:hint="eastAsia" w:ascii="宋体" w:hAnsi="宋体" w:cs="宋体"/>
                <w:sz w:val="18"/>
                <w:szCs w:val="18"/>
                <w:lang w:eastAsia="zh-CN"/>
              </w:rPr>
              <w:t>电缆集团有限公司。</w:t>
            </w:r>
          </w:p>
        </w:tc>
        <w:tc>
          <w:tcPr>
            <w:tcW w:w="1134" w:type="dxa"/>
            <w:tcBorders>
              <w:top w:val="nil"/>
              <w:left w:val="nil"/>
              <w:bottom w:val="single" w:color="auto" w:sz="8" w:space="0"/>
              <w:right w:val="single" w:color="auto" w:sz="8" w:space="0"/>
            </w:tcBorders>
            <w:shd w:val="clear" w:color="auto" w:fill="auto"/>
            <w:vAlign w:val="center"/>
          </w:tcPr>
          <w:p w14:paraId="194B9774">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120米</w:t>
            </w:r>
          </w:p>
        </w:tc>
      </w:tr>
      <w:tr w14:paraId="21295C83">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49FAC652">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5F6F8C8F">
            <w:pPr>
              <w:widowControl/>
              <w:spacing w:line="300" w:lineRule="exact"/>
              <w:ind w:firstLine="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highlight w:val="none"/>
              </w:rPr>
              <w:t>阻燃铠装电力电缆</w:t>
            </w:r>
          </w:p>
        </w:tc>
        <w:tc>
          <w:tcPr>
            <w:tcW w:w="6106" w:type="dxa"/>
            <w:tcBorders>
              <w:top w:val="nil"/>
              <w:left w:val="nil"/>
              <w:bottom w:val="single" w:color="auto" w:sz="8" w:space="0"/>
              <w:right w:val="single" w:color="auto" w:sz="8" w:space="0"/>
            </w:tcBorders>
            <w:shd w:val="clear" w:color="auto" w:fill="auto"/>
            <w:vAlign w:val="center"/>
          </w:tcPr>
          <w:p w14:paraId="368FCF14">
            <w:pPr>
              <w:widowControl/>
              <w:spacing w:line="300" w:lineRule="exact"/>
              <w:ind w:firstLine="0" w:firstLineChars="0"/>
              <w:jc w:val="left"/>
              <w:rPr>
                <w:rFonts w:hint="default" w:ascii="宋体" w:hAnsi="宋体" w:cs="宋体"/>
                <w:sz w:val="18"/>
                <w:szCs w:val="18"/>
                <w:lang w:val="en-US"/>
              </w:rPr>
            </w:pPr>
            <w:r>
              <w:rPr>
                <w:rFonts w:hint="eastAsia" w:ascii="宋体" w:hAnsi="宋体" w:cs="宋体"/>
                <w:sz w:val="18"/>
                <w:szCs w:val="18"/>
              </w:rPr>
              <w:t>1、</w:t>
            </w:r>
            <w:r>
              <w:rPr>
                <w:rFonts w:hint="eastAsia" w:ascii="宋体" w:hAnsi="宋体" w:cs="宋体"/>
                <w:sz w:val="18"/>
                <w:szCs w:val="18"/>
                <w:lang w:val="en-US" w:eastAsia="zh-CN"/>
              </w:rPr>
              <w:t>3</w:t>
            </w:r>
            <w:r>
              <w:rPr>
                <w:rFonts w:hint="eastAsia" w:ascii="宋体" w:hAnsi="宋体" w:cs="宋体"/>
                <w:sz w:val="18"/>
                <w:szCs w:val="18"/>
              </w:rPr>
              <w:t>×4，ZA-YJV22-0.6/1</w:t>
            </w:r>
            <w:r>
              <w:rPr>
                <w:rFonts w:hint="eastAsia" w:ascii="宋体" w:hAnsi="宋体" w:cs="宋体"/>
                <w:sz w:val="18"/>
                <w:szCs w:val="18"/>
                <w:lang w:val="en-US" w:eastAsia="zh-CN"/>
              </w:rPr>
              <w:t>kv</w:t>
            </w:r>
          </w:p>
          <w:p w14:paraId="2DC2FA65">
            <w:pPr>
              <w:widowControl/>
              <w:spacing w:line="300" w:lineRule="exact"/>
              <w:ind w:firstLine="0" w:firstLineChars="0"/>
              <w:jc w:val="left"/>
              <w:rPr>
                <w:rFonts w:hint="eastAsia" w:ascii="宋体" w:hAnsi="宋体" w:eastAsia="宋体" w:cs="宋体"/>
                <w:kern w:val="2"/>
                <w:sz w:val="18"/>
                <w:szCs w:val="18"/>
                <w:lang w:val="en-US" w:eastAsia="zh-CN" w:bidi="ar-SA"/>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：福建南平太阳</w:t>
            </w:r>
            <w:r>
              <w:rPr>
                <w:rFonts w:hint="eastAsia" w:ascii="宋体" w:hAnsi="宋体" w:cs="宋体"/>
                <w:sz w:val="18"/>
                <w:szCs w:val="18"/>
                <w:lang w:eastAsia="zh-CN"/>
              </w:rPr>
              <w:t>电缆股份有限公司</w:t>
            </w:r>
            <w:r>
              <w:rPr>
                <w:rFonts w:hint="eastAsia" w:ascii="宋体" w:hAnsi="宋体" w:cs="宋体"/>
                <w:sz w:val="18"/>
                <w:szCs w:val="18"/>
              </w:rPr>
              <w:t>、宝胜</w:t>
            </w:r>
            <w:r>
              <w:rPr>
                <w:rFonts w:hint="eastAsia" w:ascii="宋体" w:hAnsi="宋体" w:cs="宋体"/>
                <w:sz w:val="18"/>
                <w:szCs w:val="18"/>
                <w:lang w:eastAsia="zh-CN"/>
              </w:rPr>
              <w:t>科技创新股份有限公司</w:t>
            </w:r>
            <w:r>
              <w:rPr>
                <w:rFonts w:hint="eastAsia" w:ascii="宋体" w:hAnsi="宋体" w:cs="宋体"/>
                <w:sz w:val="18"/>
                <w:szCs w:val="18"/>
              </w:rPr>
              <w:t>、江苏上上</w:t>
            </w:r>
            <w:r>
              <w:rPr>
                <w:rFonts w:hint="eastAsia" w:ascii="宋体" w:hAnsi="宋体" w:cs="宋体"/>
                <w:sz w:val="18"/>
                <w:szCs w:val="18"/>
                <w:lang w:eastAsia="zh-CN"/>
              </w:rPr>
              <w:t>电缆集团有限公司。</w:t>
            </w:r>
          </w:p>
        </w:tc>
        <w:tc>
          <w:tcPr>
            <w:tcW w:w="1134" w:type="dxa"/>
            <w:tcBorders>
              <w:top w:val="nil"/>
              <w:left w:val="nil"/>
              <w:bottom w:val="single" w:color="auto" w:sz="8" w:space="0"/>
              <w:right w:val="single" w:color="auto" w:sz="8" w:space="0"/>
            </w:tcBorders>
            <w:shd w:val="clear" w:color="auto" w:fill="auto"/>
            <w:vAlign w:val="center"/>
          </w:tcPr>
          <w:p w14:paraId="6ADE2C94">
            <w:pPr>
              <w:widowControl/>
              <w:spacing w:line="300" w:lineRule="exact"/>
              <w:ind w:firstLine="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75</w:t>
            </w:r>
            <w:r>
              <w:rPr>
                <w:rFonts w:hint="eastAsia" w:ascii="宋体" w:hAnsi="宋体" w:cs="宋体"/>
                <w:sz w:val="18"/>
                <w:szCs w:val="18"/>
              </w:rPr>
              <w:t>米</w:t>
            </w:r>
          </w:p>
        </w:tc>
      </w:tr>
      <w:tr w14:paraId="7043CB40">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2E05C13D">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18F5AA99">
            <w:pPr>
              <w:widowControl/>
              <w:spacing w:line="300" w:lineRule="exact"/>
              <w:ind w:firstLine="0" w:firstLineChars="0"/>
              <w:jc w:val="center"/>
              <w:rPr>
                <w:rFonts w:ascii="宋体" w:hAnsi="宋体" w:cs="宋体"/>
                <w:sz w:val="18"/>
                <w:szCs w:val="18"/>
              </w:rPr>
            </w:pPr>
            <w:r>
              <w:rPr>
                <w:rFonts w:hint="eastAsia" w:ascii="宋体" w:hAnsi="宋体" w:cs="宋体"/>
                <w:sz w:val="18"/>
                <w:szCs w:val="18"/>
                <w:highlight w:val="none"/>
              </w:rPr>
              <w:t>双色接地专用线</w:t>
            </w:r>
          </w:p>
        </w:tc>
        <w:tc>
          <w:tcPr>
            <w:tcW w:w="6106" w:type="dxa"/>
            <w:tcBorders>
              <w:top w:val="nil"/>
              <w:left w:val="nil"/>
              <w:bottom w:val="single" w:color="auto" w:sz="8" w:space="0"/>
              <w:right w:val="single" w:color="auto" w:sz="8" w:space="0"/>
            </w:tcBorders>
            <w:shd w:val="clear" w:color="auto" w:fill="auto"/>
            <w:vAlign w:val="center"/>
          </w:tcPr>
          <w:p w14:paraId="76A9C314">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BVR-25</w:t>
            </w:r>
          </w:p>
          <w:p w14:paraId="5D70C417">
            <w:pPr>
              <w:widowControl/>
              <w:spacing w:line="300" w:lineRule="exact"/>
              <w:ind w:firstLine="0" w:firstLineChars="0"/>
              <w:jc w:val="left"/>
              <w:rPr>
                <w:rFonts w:hint="eastAsia" w:ascii="宋体" w:hAnsi="宋体" w:eastAsia="宋体" w:cs="宋体"/>
                <w:sz w:val="18"/>
                <w:szCs w:val="18"/>
                <w:lang w:eastAsia="zh-CN"/>
              </w:rPr>
            </w:pPr>
            <w:r>
              <w:rPr>
                <w:rFonts w:hint="eastAsia" w:ascii="宋体" w:hAnsi="宋体" w:cs="宋体"/>
                <w:sz w:val="18"/>
                <w:szCs w:val="18"/>
              </w:rPr>
              <w:t>品牌</w:t>
            </w:r>
            <w:r>
              <w:rPr>
                <w:rFonts w:hint="eastAsia" w:ascii="宋体" w:hAnsi="宋体" w:cs="宋体"/>
                <w:sz w:val="18"/>
                <w:szCs w:val="18"/>
                <w:lang w:eastAsia="zh-CN"/>
              </w:rPr>
              <w:t>要求</w:t>
            </w:r>
            <w:r>
              <w:rPr>
                <w:rFonts w:hint="eastAsia" w:ascii="宋体" w:hAnsi="宋体" w:cs="宋体"/>
                <w:sz w:val="18"/>
                <w:szCs w:val="18"/>
              </w:rPr>
              <w:t>：福建南平太阳</w:t>
            </w:r>
            <w:r>
              <w:rPr>
                <w:rFonts w:hint="eastAsia" w:ascii="宋体" w:hAnsi="宋体" w:cs="宋体"/>
                <w:sz w:val="18"/>
                <w:szCs w:val="18"/>
                <w:lang w:eastAsia="zh-CN"/>
              </w:rPr>
              <w:t>电缆股份有限公司</w:t>
            </w:r>
            <w:r>
              <w:rPr>
                <w:rFonts w:hint="eastAsia" w:ascii="宋体" w:hAnsi="宋体" w:cs="宋体"/>
                <w:sz w:val="18"/>
                <w:szCs w:val="18"/>
              </w:rPr>
              <w:t>、宝胜</w:t>
            </w:r>
            <w:r>
              <w:rPr>
                <w:rFonts w:hint="eastAsia" w:ascii="宋体" w:hAnsi="宋体" w:cs="宋体"/>
                <w:sz w:val="18"/>
                <w:szCs w:val="18"/>
                <w:lang w:eastAsia="zh-CN"/>
              </w:rPr>
              <w:t>科技创新股份有限公司</w:t>
            </w:r>
            <w:r>
              <w:rPr>
                <w:rFonts w:hint="eastAsia" w:ascii="宋体" w:hAnsi="宋体" w:cs="宋体"/>
                <w:sz w:val="18"/>
                <w:szCs w:val="18"/>
              </w:rPr>
              <w:t>、江苏上上</w:t>
            </w:r>
            <w:r>
              <w:rPr>
                <w:rFonts w:hint="eastAsia" w:ascii="宋体" w:hAnsi="宋体" w:cs="宋体"/>
                <w:sz w:val="18"/>
                <w:szCs w:val="18"/>
                <w:lang w:eastAsia="zh-CN"/>
              </w:rPr>
              <w:t>电缆集团有限公司。</w:t>
            </w:r>
          </w:p>
        </w:tc>
        <w:tc>
          <w:tcPr>
            <w:tcW w:w="1134" w:type="dxa"/>
            <w:tcBorders>
              <w:top w:val="nil"/>
              <w:left w:val="nil"/>
              <w:bottom w:val="single" w:color="auto" w:sz="8" w:space="0"/>
              <w:right w:val="single" w:color="auto" w:sz="8" w:space="0"/>
            </w:tcBorders>
            <w:shd w:val="clear" w:color="auto" w:fill="auto"/>
            <w:vAlign w:val="center"/>
          </w:tcPr>
          <w:p w14:paraId="25DA3A13">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50米</w:t>
            </w:r>
          </w:p>
        </w:tc>
      </w:tr>
      <w:tr w14:paraId="065B5391">
        <w:tblPrEx>
          <w:tblCellMar>
            <w:top w:w="0" w:type="dxa"/>
            <w:left w:w="108" w:type="dxa"/>
            <w:bottom w:w="0" w:type="dxa"/>
            <w:right w:w="108" w:type="dxa"/>
          </w:tblCellMar>
        </w:tblPrEx>
        <w:trPr>
          <w:trHeight w:val="585" w:hRule="atLeast"/>
          <w:jc w:val="center"/>
        </w:trPr>
        <w:tc>
          <w:tcPr>
            <w:tcW w:w="851" w:type="dxa"/>
            <w:tcBorders>
              <w:top w:val="nil"/>
              <w:left w:val="single" w:color="auto" w:sz="8" w:space="0"/>
              <w:bottom w:val="single" w:color="000000" w:sz="8" w:space="0"/>
              <w:right w:val="single" w:color="auto" w:sz="8" w:space="0"/>
            </w:tcBorders>
            <w:shd w:val="clear" w:color="auto" w:fill="auto"/>
            <w:vAlign w:val="center"/>
          </w:tcPr>
          <w:p w14:paraId="45200D2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十</w:t>
            </w:r>
          </w:p>
        </w:tc>
        <w:tc>
          <w:tcPr>
            <w:tcW w:w="8647" w:type="dxa"/>
            <w:gridSpan w:val="3"/>
            <w:tcBorders>
              <w:top w:val="nil"/>
              <w:left w:val="nil"/>
              <w:bottom w:val="single" w:color="auto" w:sz="8" w:space="0"/>
              <w:right w:val="single" w:color="auto" w:sz="8" w:space="0"/>
            </w:tcBorders>
            <w:shd w:val="clear" w:color="auto" w:fill="auto"/>
            <w:vAlign w:val="center"/>
          </w:tcPr>
          <w:p w14:paraId="6C161550">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装卸货辅助工具</w:t>
            </w:r>
          </w:p>
        </w:tc>
      </w:tr>
      <w:tr w14:paraId="038CDE28">
        <w:tblPrEx>
          <w:tblCellMar>
            <w:top w:w="0" w:type="dxa"/>
            <w:left w:w="108" w:type="dxa"/>
            <w:bottom w:w="0" w:type="dxa"/>
            <w:right w:w="108" w:type="dxa"/>
          </w:tblCellMar>
        </w:tblPrEx>
        <w:trPr>
          <w:trHeight w:val="585" w:hRule="atLeast"/>
          <w:jc w:val="center"/>
        </w:trPr>
        <w:tc>
          <w:tcPr>
            <w:tcW w:w="851" w:type="dxa"/>
            <w:vMerge w:val="restart"/>
            <w:tcBorders>
              <w:top w:val="nil"/>
              <w:left w:val="single" w:color="auto" w:sz="8" w:space="0"/>
              <w:right w:val="single" w:color="auto" w:sz="8" w:space="0"/>
            </w:tcBorders>
            <w:shd w:val="clear" w:color="auto" w:fill="auto"/>
            <w:vAlign w:val="center"/>
          </w:tcPr>
          <w:p w14:paraId="49D3A01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装卸货辅助工具</w:t>
            </w:r>
          </w:p>
        </w:tc>
        <w:tc>
          <w:tcPr>
            <w:tcW w:w="1407" w:type="dxa"/>
            <w:tcBorders>
              <w:top w:val="nil"/>
              <w:left w:val="nil"/>
              <w:bottom w:val="single" w:color="auto" w:sz="8" w:space="0"/>
              <w:right w:val="single" w:color="auto" w:sz="8" w:space="0"/>
            </w:tcBorders>
            <w:shd w:val="clear" w:color="auto" w:fill="auto"/>
            <w:vAlign w:val="center"/>
          </w:tcPr>
          <w:p w14:paraId="62D93FE1">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套袋辅助工具</w:t>
            </w:r>
          </w:p>
        </w:tc>
        <w:tc>
          <w:tcPr>
            <w:tcW w:w="6106" w:type="dxa"/>
            <w:tcBorders>
              <w:top w:val="nil"/>
              <w:left w:val="nil"/>
              <w:bottom w:val="single" w:color="auto" w:sz="8" w:space="0"/>
              <w:right w:val="single" w:color="auto" w:sz="8" w:space="0"/>
            </w:tcBorders>
            <w:shd w:val="clear" w:color="auto" w:fill="auto"/>
            <w:vAlign w:val="center"/>
          </w:tcPr>
          <w:p w14:paraId="51EDEA02">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外形尺寸：底层长×宽1800×800mm,顶层长×宽900×800mm</w:t>
            </w:r>
          </w:p>
          <w:p w14:paraId="01969384">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顶层距地高1.8M,栏杆高1.2M,外形尺寸：带有滑轮，滑轮有刹车功能，可轻便推行。</w:t>
            </w:r>
          </w:p>
        </w:tc>
        <w:tc>
          <w:tcPr>
            <w:tcW w:w="1134" w:type="dxa"/>
            <w:tcBorders>
              <w:top w:val="nil"/>
              <w:left w:val="nil"/>
              <w:bottom w:val="single" w:color="auto" w:sz="8" w:space="0"/>
              <w:right w:val="single" w:color="auto" w:sz="8" w:space="0"/>
            </w:tcBorders>
            <w:shd w:val="clear" w:color="auto" w:fill="auto"/>
            <w:vAlign w:val="center"/>
          </w:tcPr>
          <w:p w14:paraId="2C98EAA7">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3ED7EDC1">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0EB7E2BB">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5749F69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挂袋平台</w:t>
            </w:r>
          </w:p>
        </w:tc>
        <w:tc>
          <w:tcPr>
            <w:tcW w:w="6106" w:type="dxa"/>
            <w:tcBorders>
              <w:top w:val="nil"/>
              <w:left w:val="nil"/>
              <w:bottom w:val="single" w:color="auto" w:sz="8" w:space="0"/>
              <w:right w:val="single" w:color="auto" w:sz="8" w:space="0"/>
            </w:tcBorders>
            <w:shd w:val="clear" w:color="auto" w:fill="auto"/>
            <w:vAlign w:val="center"/>
          </w:tcPr>
          <w:p w14:paraId="50DE35E4">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外形尺寸：长×宽×高3000×1200×1400mm,顶层距地高1000mm,栏杆高1400mm,带有滑轮，滑轮有刹车功能，可轻便推行。</w:t>
            </w:r>
          </w:p>
        </w:tc>
        <w:tc>
          <w:tcPr>
            <w:tcW w:w="1134" w:type="dxa"/>
            <w:tcBorders>
              <w:top w:val="nil"/>
              <w:left w:val="nil"/>
              <w:bottom w:val="single" w:color="auto" w:sz="8" w:space="0"/>
              <w:right w:val="single" w:color="auto" w:sz="8" w:space="0"/>
            </w:tcBorders>
            <w:shd w:val="clear" w:color="auto" w:fill="auto"/>
            <w:vAlign w:val="center"/>
          </w:tcPr>
          <w:p w14:paraId="5460F56C">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1CD921FA">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right w:val="single" w:color="auto" w:sz="8" w:space="0"/>
            </w:tcBorders>
            <w:shd w:val="clear" w:color="auto" w:fill="auto"/>
            <w:vAlign w:val="center"/>
          </w:tcPr>
          <w:p w14:paraId="2A9C9F9E">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17F0F19F">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卸料凳子</w:t>
            </w:r>
          </w:p>
        </w:tc>
        <w:tc>
          <w:tcPr>
            <w:tcW w:w="6106" w:type="dxa"/>
            <w:tcBorders>
              <w:top w:val="nil"/>
              <w:left w:val="nil"/>
              <w:bottom w:val="single" w:color="auto" w:sz="8" w:space="0"/>
              <w:right w:val="single" w:color="auto" w:sz="8" w:space="0"/>
            </w:tcBorders>
            <w:shd w:val="clear" w:color="auto" w:fill="auto"/>
            <w:vAlign w:val="center"/>
          </w:tcPr>
          <w:p w14:paraId="1767118C">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外形尺寸：长×宽×高500×500×400mm,顶层距地高1100mm,栏杆高1200mm,带有滑轮，滑轮有刹车功能，可轻便推行。</w:t>
            </w:r>
          </w:p>
        </w:tc>
        <w:tc>
          <w:tcPr>
            <w:tcW w:w="1134" w:type="dxa"/>
            <w:tcBorders>
              <w:top w:val="nil"/>
              <w:left w:val="nil"/>
              <w:bottom w:val="single" w:color="auto" w:sz="8" w:space="0"/>
              <w:right w:val="single" w:color="auto" w:sz="8" w:space="0"/>
            </w:tcBorders>
            <w:shd w:val="clear" w:color="auto" w:fill="auto"/>
            <w:vAlign w:val="center"/>
          </w:tcPr>
          <w:p w14:paraId="2964D88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1个</w:t>
            </w:r>
          </w:p>
        </w:tc>
      </w:tr>
      <w:tr w14:paraId="4FA5FB8C">
        <w:tblPrEx>
          <w:tblCellMar>
            <w:top w:w="0" w:type="dxa"/>
            <w:left w:w="108" w:type="dxa"/>
            <w:bottom w:w="0" w:type="dxa"/>
            <w:right w:w="108" w:type="dxa"/>
          </w:tblCellMar>
        </w:tblPrEx>
        <w:trPr>
          <w:trHeight w:val="585" w:hRule="atLeast"/>
          <w:jc w:val="center"/>
        </w:trPr>
        <w:tc>
          <w:tcPr>
            <w:tcW w:w="851" w:type="dxa"/>
            <w:vMerge w:val="continue"/>
            <w:tcBorders>
              <w:left w:val="single" w:color="auto" w:sz="8" w:space="0"/>
              <w:bottom w:val="single" w:color="000000" w:sz="8" w:space="0"/>
              <w:right w:val="single" w:color="auto" w:sz="8" w:space="0"/>
            </w:tcBorders>
            <w:shd w:val="clear" w:color="auto" w:fill="auto"/>
            <w:vAlign w:val="center"/>
          </w:tcPr>
          <w:p w14:paraId="1FE1A792">
            <w:pPr>
              <w:widowControl/>
              <w:spacing w:line="300" w:lineRule="exact"/>
              <w:ind w:firstLine="0" w:firstLineChars="0"/>
              <w:jc w:val="center"/>
              <w:rPr>
                <w:rFonts w:ascii="宋体" w:hAnsi="宋体" w:cs="宋体"/>
                <w:sz w:val="18"/>
                <w:szCs w:val="18"/>
              </w:rPr>
            </w:pPr>
          </w:p>
        </w:tc>
        <w:tc>
          <w:tcPr>
            <w:tcW w:w="1407" w:type="dxa"/>
            <w:tcBorders>
              <w:top w:val="nil"/>
              <w:left w:val="nil"/>
              <w:bottom w:val="single" w:color="auto" w:sz="8" w:space="0"/>
              <w:right w:val="single" w:color="auto" w:sz="8" w:space="0"/>
            </w:tcBorders>
            <w:shd w:val="clear" w:color="auto" w:fill="auto"/>
            <w:vAlign w:val="center"/>
          </w:tcPr>
          <w:p w14:paraId="2B8EE022">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吹气囊胶管</w:t>
            </w:r>
          </w:p>
        </w:tc>
        <w:tc>
          <w:tcPr>
            <w:tcW w:w="6106" w:type="dxa"/>
            <w:tcBorders>
              <w:top w:val="nil"/>
              <w:left w:val="nil"/>
              <w:bottom w:val="single" w:color="auto" w:sz="8" w:space="0"/>
              <w:right w:val="single" w:color="auto" w:sz="8" w:space="0"/>
            </w:tcBorders>
            <w:shd w:val="clear" w:color="auto" w:fill="auto"/>
            <w:vAlign w:val="center"/>
          </w:tcPr>
          <w:p w14:paraId="6C0F1ABC">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Φ25软胶管长约30M,带快速接头尺寸Φ25mm；</w:t>
            </w:r>
          </w:p>
          <w:p w14:paraId="2CBC84CF">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操作介质：0.6MPa压缩空气；</w:t>
            </w:r>
          </w:p>
        </w:tc>
        <w:tc>
          <w:tcPr>
            <w:tcW w:w="1134" w:type="dxa"/>
            <w:tcBorders>
              <w:top w:val="nil"/>
              <w:left w:val="nil"/>
              <w:bottom w:val="single" w:color="auto" w:sz="8" w:space="0"/>
              <w:right w:val="single" w:color="auto" w:sz="8" w:space="0"/>
            </w:tcBorders>
            <w:shd w:val="clear" w:color="auto" w:fill="auto"/>
            <w:vAlign w:val="center"/>
          </w:tcPr>
          <w:p w14:paraId="22604550">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30米</w:t>
            </w:r>
          </w:p>
        </w:tc>
      </w:tr>
      <w:tr w14:paraId="4E5256B1">
        <w:tblPrEx>
          <w:tblCellMar>
            <w:top w:w="0" w:type="dxa"/>
            <w:left w:w="108" w:type="dxa"/>
            <w:bottom w:w="0" w:type="dxa"/>
            <w:right w:w="108"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14:paraId="54DA13DA">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十一</w:t>
            </w:r>
          </w:p>
        </w:tc>
        <w:tc>
          <w:tcPr>
            <w:tcW w:w="1407" w:type="dxa"/>
            <w:tcBorders>
              <w:top w:val="nil"/>
              <w:left w:val="nil"/>
              <w:bottom w:val="single" w:color="auto" w:sz="8" w:space="0"/>
              <w:right w:val="single" w:color="auto" w:sz="8" w:space="0"/>
            </w:tcBorders>
            <w:shd w:val="clear" w:color="auto" w:fill="auto"/>
            <w:vAlign w:val="center"/>
          </w:tcPr>
          <w:p w14:paraId="7FE2A5BD">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安装辅材</w:t>
            </w:r>
          </w:p>
        </w:tc>
        <w:tc>
          <w:tcPr>
            <w:tcW w:w="6106" w:type="dxa"/>
            <w:tcBorders>
              <w:top w:val="nil"/>
              <w:left w:val="nil"/>
              <w:bottom w:val="single" w:color="auto" w:sz="8" w:space="0"/>
              <w:right w:val="single" w:color="auto" w:sz="8" w:space="0"/>
            </w:tcBorders>
            <w:shd w:val="clear" w:color="auto" w:fill="auto"/>
            <w:vAlign w:val="center"/>
          </w:tcPr>
          <w:p w14:paraId="03D4B1EE">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项目施工所需全部辅助材料，包含1F可拆卸式平台等</w:t>
            </w:r>
          </w:p>
        </w:tc>
        <w:tc>
          <w:tcPr>
            <w:tcW w:w="1134" w:type="dxa"/>
            <w:tcBorders>
              <w:top w:val="nil"/>
              <w:left w:val="nil"/>
              <w:bottom w:val="single" w:color="auto" w:sz="8" w:space="0"/>
              <w:right w:val="single" w:color="auto" w:sz="8" w:space="0"/>
            </w:tcBorders>
            <w:shd w:val="clear" w:color="auto" w:fill="auto"/>
            <w:vAlign w:val="center"/>
          </w:tcPr>
          <w:p w14:paraId="47635E8F">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1项</w:t>
            </w:r>
          </w:p>
        </w:tc>
      </w:tr>
      <w:tr w14:paraId="727749F7">
        <w:tblPrEx>
          <w:tblCellMar>
            <w:top w:w="0" w:type="dxa"/>
            <w:left w:w="108" w:type="dxa"/>
            <w:bottom w:w="0" w:type="dxa"/>
            <w:right w:w="108" w:type="dxa"/>
          </w:tblCellMar>
        </w:tblPrEx>
        <w:trPr>
          <w:trHeight w:val="585"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14:paraId="5CF3D93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十二</w:t>
            </w:r>
          </w:p>
        </w:tc>
        <w:tc>
          <w:tcPr>
            <w:tcW w:w="1407" w:type="dxa"/>
            <w:tcBorders>
              <w:top w:val="nil"/>
              <w:left w:val="nil"/>
              <w:bottom w:val="single" w:color="auto" w:sz="8" w:space="0"/>
              <w:right w:val="single" w:color="auto" w:sz="8" w:space="0"/>
            </w:tcBorders>
            <w:shd w:val="clear" w:color="auto" w:fill="auto"/>
            <w:vAlign w:val="center"/>
          </w:tcPr>
          <w:p w14:paraId="2CE8CB98">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系统软件</w:t>
            </w:r>
          </w:p>
        </w:tc>
        <w:tc>
          <w:tcPr>
            <w:tcW w:w="6106" w:type="dxa"/>
            <w:tcBorders>
              <w:top w:val="nil"/>
              <w:left w:val="nil"/>
              <w:bottom w:val="single" w:color="auto" w:sz="8" w:space="0"/>
              <w:right w:val="single" w:color="auto" w:sz="8" w:space="0"/>
            </w:tcBorders>
            <w:shd w:val="clear" w:color="auto" w:fill="auto"/>
            <w:vAlign w:val="center"/>
          </w:tcPr>
          <w:p w14:paraId="348C8014">
            <w:pPr>
              <w:tabs>
                <w:tab w:val="left" w:pos="312"/>
              </w:tabs>
              <w:spacing w:line="300" w:lineRule="exact"/>
              <w:ind w:firstLine="0" w:firstLineChars="0"/>
              <w:jc w:val="left"/>
              <w:rPr>
                <w:rFonts w:ascii="宋体" w:hAnsi="宋体" w:cs="宋体"/>
                <w:sz w:val="18"/>
                <w:szCs w:val="18"/>
              </w:rPr>
            </w:pPr>
            <w:r>
              <w:rPr>
                <w:rFonts w:hint="eastAsia" w:ascii="宋体" w:hAnsi="宋体" w:cs="宋体"/>
                <w:sz w:val="18"/>
                <w:szCs w:val="18"/>
              </w:rPr>
              <w:t>将每辆车的车号、空重、净重、总重、内衬袋使用厂商、集装箱货柜号和出货客户信息等通过数据采集传输到MES系统，可有效溯源。</w:t>
            </w:r>
          </w:p>
        </w:tc>
        <w:tc>
          <w:tcPr>
            <w:tcW w:w="1134" w:type="dxa"/>
            <w:tcBorders>
              <w:top w:val="nil"/>
              <w:left w:val="nil"/>
              <w:bottom w:val="single" w:color="auto" w:sz="8" w:space="0"/>
              <w:right w:val="single" w:color="auto" w:sz="8" w:space="0"/>
            </w:tcBorders>
            <w:shd w:val="clear" w:color="auto" w:fill="auto"/>
            <w:vAlign w:val="center"/>
          </w:tcPr>
          <w:p w14:paraId="767B446B">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1项</w:t>
            </w:r>
          </w:p>
        </w:tc>
      </w:tr>
      <w:tr w14:paraId="2282961B">
        <w:tblPrEx>
          <w:tblCellMar>
            <w:top w:w="0" w:type="dxa"/>
            <w:left w:w="108" w:type="dxa"/>
            <w:bottom w:w="0" w:type="dxa"/>
            <w:right w:w="108" w:type="dxa"/>
          </w:tblCellMar>
        </w:tblPrEx>
        <w:trPr>
          <w:trHeight w:val="585" w:hRule="atLeast"/>
          <w:jc w:val="center"/>
        </w:trPr>
        <w:tc>
          <w:tcPr>
            <w:tcW w:w="851" w:type="dxa"/>
            <w:tcBorders>
              <w:top w:val="nil"/>
              <w:left w:val="single" w:color="auto" w:sz="8" w:space="0"/>
              <w:bottom w:val="single" w:color="auto" w:sz="8" w:space="0"/>
              <w:right w:val="single" w:color="auto" w:sz="8" w:space="0"/>
            </w:tcBorders>
            <w:shd w:val="clear" w:color="auto" w:fill="auto"/>
            <w:vAlign w:val="center"/>
          </w:tcPr>
          <w:p w14:paraId="0A25FBF5">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十三</w:t>
            </w:r>
          </w:p>
        </w:tc>
        <w:tc>
          <w:tcPr>
            <w:tcW w:w="1407" w:type="dxa"/>
            <w:tcBorders>
              <w:top w:val="nil"/>
              <w:left w:val="nil"/>
              <w:bottom w:val="single" w:color="auto" w:sz="8" w:space="0"/>
              <w:right w:val="single" w:color="auto" w:sz="8" w:space="0"/>
            </w:tcBorders>
            <w:shd w:val="clear" w:color="auto" w:fill="auto"/>
            <w:vAlign w:val="center"/>
          </w:tcPr>
          <w:p w14:paraId="5555E65C">
            <w:pPr>
              <w:widowControl/>
              <w:spacing w:line="300" w:lineRule="exact"/>
              <w:ind w:firstLine="0" w:firstLineChars="0"/>
              <w:jc w:val="center"/>
              <w:rPr>
                <w:rFonts w:ascii="宋体" w:hAnsi="宋体" w:cs="宋体"/>
                <w:sz w:val="18"/>
                <w:szCs w:val="18"/>
              </w:rPr>
            </w:pPr>
            <w:r>
              <w:rPr>
                <w:rFonts w:hint="eastAsia" w:ascii="宋体" w:hAnsi="宋体" w:cs="宋体"/>
                <w:sz w:val="18"/>
                <w:szCs w:val="18"/>
              </w:rPr>
              <w:t>设备防腐</w:t>
            </w:r>
          </w:p>
        </w:tc>
        <w:tc>
          <w:tcPr>
            <w:tcW w:w="6106" w:type="dxa"/>
            <w:tcBorders>
              <w:top w:val="nil"/>
              <w:left w:val="nil"/>
              <w:bottom w:val="single" w:color="auto" w:sz="8" w:space="0"/>
              <w:right w:val="single" w:color="auto" w:sz="8" w:space="0"/>
            </w:tcBorders>
            <w:shd w:val="clear" w:color="auto" w:fill="auto"/>
            <w:vAlign w:val="center"/>
          </w:tcPr>
          <w:p w14:paraId="34F9EB9C">
            <w:pPr>
              <w:widowControl/>
              <w:spacing w:line="300" w:lineRule="exact"/>
              <w:ind w:firstLine="0" w:firstLineChars="0"/>
              <w:jc w:val="left"/>
              <w:rPr>
                <w:rFonts w:ascii="宋体" w:hAnsi="宋体" w:cs="宋体"/>
                <w:sz w:val="18"/>
                <w:szCs w:val="18"/>
              </w:rPr>
            </w:pPr>
            <w:r>
              <w:rPr>
                <w:rFonts w:hint="eastAsia" w:ascii="宋体" w:hAnsi="宋体" w:cs="宋体"/>
                <w:sz w:val="18"/>
                <w:szCs w:val="18"/>
              </w:rPr>
              <w:t>S-6601C料仓一楼到四楼所有钢结构平台及地磅钢结构需按设计要求防腐，工程量：一般、其他钢构9980kg，大型钢构200㎡。</w:t>
            </w:r>
          </w:p>
        </w:tc>
        <w:tc>
          <w:tcPr>
            <w:tcW w:w="1134" w:type="dxa"/>
            <w:tcBorders>
              <w:top w:val="nil"/>
              <w:left w:val="nil"/>
              <w:bottom w:val="single" w:color="auto" w:sz="8" w:space="0"/>
              <w:right w:val="single" w:color="auto" w:sz="8" w:space="0"/>
            </w:tcBorders>
            <w:shd w:val="clear" w:color="auto" w:fill="auto"/>
            <w:vAlign w:val="center"/>
          </w:tcPr>
          <w:p w14:paraId="12B6EB4C">
            <w:pPr>
              <w:widowControl/>
              <w:spacing w:line="300" w:lineRule="exact"/>
              <w:ind w:firstLine="0" w:firstLineChars="0"/>
              <w:jc w:val="center"/>
              <w:rPr>
                <w:rFonts w:ascii="宋体" w:hAnsi="宋体" w:cs="宋体"/>
                <w:sz w:val="18"/>
                <w:szCs w:val="18"/>
              </w:rPr>
            </w:pPr>
          </w:p>
        </w:tc>
      </w:tr>
      <w:tr w14:paraId="19B33F1A">
        <w:tblPrEx>
          <w:tblCellMar>
            <w:top w:w="0" w:type="dxa"/>
            <w:left w:w="108" w:type="dxa"/>
            <w:bottom w:w="0" w:type="dxa"/>
            <w:right w:w="108" w:type="dxa"/>
          </w:tblCellMar>
        </w:tblPrEx>
        <w:trPr>
          <w:trHeight w:val="570" w:hRule="atLeast"/>
          <w:jc w:val="center"/>
        </w:trPr>
        <w:tc>
          <w:tcPr>
            <w:tcW w:w="949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2BE9FB6A">
            <w:pPr>
              <w:widowControl/>
              <w:spacing w:line="300" w:lineRule="exact"/>
              <w:ind w:firstLine="540" w:firstLineChars="300"/>
              <w:jc w:val="left"/>
              <w:rPr>
                <w:rFonts w:ascii="宋体" w:hAnsi="宋体" w:cs="宋体"/>
                <w:sz w:val="18"/>
                <w:szCs w:val="18"/>
              </w:rPr>
            </w:pPr>
            <w:r>
              <w:rPr>
                <w:rFonts w:hint="eastAsia" w:ascii="宋体" w:hAnsi="宋体" w:cs="宋体"/>
                <w:sz w:val="18"/>
                <w:szCs w:val="18"/>
              </w:rPr>
              <w:t>本表主要设备材料及工程量为预估，投标人需详细查阅设计图纸材料表要求，现场核实，如有遗漏在投标时补充完整。</w:t>
            </w:r>
          </w:p>
        </w:tc>
      </w:tr>
      <w:tr w14:paraId="2D0F09DF">
        <w:tblPrEx>
          <w:tblCellMar>
            <w:top w:w="0" w:type="dxa"/>
            <w:left w:w="108" w:type="dxa"/>
            <w:bottom w:w="0" w:type="dxa"/>
            <w:right w:w="108" w:type="dxa"/>
          </w:tblCellMar>
        </w:tblPrEx>
        <w:trPr>
          <w:trHeight w:val="570" w:hRule="atLeast"/>
          <w:jc w:val="center"/>
        </w:trPr>
        <w:tc>
          <w:tcPr>
            <w:tcW w:w="949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184F4D92">
            <w:pPr>
              <w:widowControl/>
              <w:spacing w:line="300" w:lineRule="exact"/>
              <w:ind w:left="0" w:leftChars="0" w:firstLine="0" w:firstLineChars="0"/>
              <w:jc w:val="left"/>
              <w:rPr>
                <w:rFonts w:hint="eastAsia" w:ascii="宋体" w:hAnsi="宋体" w:eastAsia="宋体" w:cs="宋体"/>
                <w:sz w:val="18"/>
                <w:szCs w:val="18"/>
                <w:lang w:eastAsia="zh-CN"/>
              </w:rPr>
            </w:pPr>
            <w:bookmarkStart w:id="3" w:name="_Toc156403239"/>
            <w:r>
              <w:rPr>
                <w:rFonts w:hint="eastAsia" w:ascii="宋体" w:hAnsi="宋体" w:cs="宋体"/>
                <w:sz w:val="18"/>
                <w:szCs w:val="18"/>
                <w:lang w:eastAsia="zh-CN"/>
              </w:rPr>
              <w:t>说明：项目相关材料</w:t>
            </w:r>
            <w:r>
              <w:rPr>
                <w:rFonts w:hint="eastAsia"/>
                <w:sz w:val="18"/>
                <w:szCs w:val="18"/>
              </w:rPr>
              <w:t>承包</w:t>
            </w:r>
            <w:r>
              <w:rPr>
                <w:rFonts w:hint="eastAsia"/>
                <w:sz w:val="18"/>
                <w:szCs w:val="18"/>
                <w:lang w:eastAsia="zh-CN"/>
              </w:rPr>
              <w:t>方</w:t>
            </w:r>
            <w:r>
              <w:rPr>
                <w:rFonts w:hint="eastAsia" w:ascii="宋体" w:hAnsi="宋体" w:cs="宋体"/>
                <w:sz w:val="18"/>
                <w:szCs w:val="18"/>
                <w:lang w:eastAsia="zh-CN"/>
              </w:rPr>
              <w:t>需详细查阅设计图纸包含或不限以上材料。相关材料备件有指定品</w:t>
            </w:r>
            <w:r>
              <w:rPr>
                <w:rFonts w:hint="eastAsia" w:ascii="宋体" w:hAnsi="宋体" w:cs="宋体"/>
                <w:sz w:val="18"/>
                <w:szCs w:val="18"/>
              </w:rPr>
              <w:t>牌</w:t>
            </w:r>
            <w:r>
              <w:rPr>
                <w:rFonts w:hint="eastAsia" w:ascii="宋体" w:hAnsi="宋体" w:cs="宋体"/>
                <w:sz w:val="18"/>
                <w:szCs w:val="18"/>
                <w:lang w:eastAsia="zh-CN"/>
              </w:rPr>
              <w:t>要求的，</w:t>
            </w:r>
            <w:r>
              <w:rPr>
                <w:rFonts w:hint="eastAsia"/>
                <w:sz w:val="18"/>
                <w:szCs w:val="18"/>
              </w:rPr>
              <w:t>承包</w:t>
            </w:r>
            <w:r>
              <w:rPr>
                <w:rFonts w:hint="eastAsia"/>
                <w:sz w:val="18"/>
                <w:szCs w:val="18"/>
                <w:lang w:eastAsia="zh-CN"/>
              </w:rPr>
              <w:t>方要严格按</w:t>
            </w:r>
            <w:r>
              <w:rPr>
                <w:rFonts w:hint="eastAsia" w:ascii="宋体" w:hAnsi="宋体" w:cs="宋体"/>
                <w:sz w:val="18"/>
                <w:szCs w:val="18"/>
                <w:lang w:eastAsia="zh-CN"/>
              </w:rPr>
              <w:t>品</w:t>
            </w:r>
            <w:r>
              <w:rPr>
                <w:rFonts w:hint="eastAsia" w:ascii="宋体" w:hAnsi="宋体" w:cs="宋体"/>
                <w:sz w:val="18"/>
                <w:szCs w:val="18"/>
              </w:rPr>
              <w:t>牌</w:t>
            </w:r>
            <w:r>
              <w:rPr>
                <w:rFonts w:hint="eastAsia" w:ascii="宋体" w:hAnsi="宋体" w:cs="宋体"/>
                <w:sz w:val="18"/>
                <w:szCs w:val="18"/>
                <w:lang w:eastAsia="zh-CN"/>
              </w:rPr>
              <w:t>要求供货。</w:t>
            </w:r>
          </w:p>
        </w:tc>
      </w:tr>
    </w:tbl>
    <w:p w14:paraId="149CCB89">
      <w:pPr>
        <w:pStyle w:val="2"/>
        <w:spacing w:before="240" w:line="400" w:lineRule="exact"/>
        <w:ind w:left="0"/>
      </w:pPr>
      <w:r>
        <w:rPr>
          <w:rFonts w:hint="eastAsia" w:ascii="宋体" w:hAnsi="宋体"/>
        </w:rPr>
        <w:t>承包人责任</w:t>
      </w:r>
      <w:bookmarkEnd w:id="3"/>
    </w:p>
    <w:p w14:paraId="4E6AA209">
      <w:pPr>
        <w:pStyle w:val="26"/>
        <w:numPr>
          <w:ilvl w:val="0"/>
          <w:numId w:val="16"/>
        </w:numPr>
        <w:spacing w:line="400" w:lineRule="exact"/>
        <w:ind w:firstLineChars="0"/>
      </w:pPr>
      <w:r>
        <w:rPr>
          <w:rFonts w:hint="eastAsia"/>
        </w:rPr>
        <w:t>承包人负责提供本项目范围内</w:t>
      </w:r>
      <w:r>
        <w:rPr>
          <w:rFonts w:hint="eastAsia"/>
          <w:b/>
        </w:rPr>
        <w:t>设备及材料供货清单（包含备件清单）</w:t>
      </w:r>
      <w:r>
        <w:rPr>
          <w:rFonts w:hint="eastAsia"/>
        </w:rPr>
        <w:t>、安装施工方案、控制系统安装、调试直至交工验收；</w:t>
      </w:r>
    </w:p>
    <w:p w14:paraId="7433AABD">
      <w:pPr>
        <w:pStyle w:val="26"/>
        <w:numPr>
          <w:ilvl w:val="0"/>
          <w:numId w:val="16"/>
        </w:numPr>
        <w:spacing w:line="400" w:lineRule="exact"/>
        <w:ind w:firstLineChars="0"/>
      </w:pPr>
      <w:r>
        <w:rPr>
          <w:rFonts w:hint="eastAsia"/>
        </w:rPr>
        <w:t>承包人进场前应</w:t>
      </w:r>
      <w:r>
        <w:t>编制施工组织设计(或施工方案)，做好各项施工准备工作</w:t>
      </w:r>
      <w:r>
        <w:rPr>
          <w:rFonts w:hint="eastAsia"/>
        </w:rPr>
        <w:t>,按福海创公司安全管理规定向QHSE部门提供相关资料办理入厂手续及人员培训，和其它必要的入厂备案资料和手续等；</w:t>
      </w:r>
    </w:p>
    <w:p w14:paraId="144B0C03">
      <w:pPr>
        <w:pStyle w:val="26"/>
        <w:numPr>
          <w:ilvl w:val="0"/>
          <w:numId w:val="16"/>
        </w:numPr>
        <w:spacing w:line="400" w:lineRule="exact"/>
        <w:ind w:firstLineChars="0"/>
      </w:pPr>
      <w:r>
        <w:rPr>
          <w:rFonts w:hint="eastAsia"/>
        </w:rPr>
        <w:t>因</w:t>
      </w:r>
      <w:r>
        <w:t>承包</w:t>
      </w:r>
      <w:r>
        <w:rPr>
          <w:rFonts w:hint="eastAsia"/>
          <w:lang w:eastAsia="zh-CN"/>
        </w:rPr>
        <w:t>单位</w:t>
      </w:r>
      <w:r>
        <w:t>的原因造成工程质量不符合合同规定的，承包方应负责无偿修理或返工</w:t>
      </w:r>
      <w:r>
        <w:rPr>
          <w:rFonts w:hint="eastAsia"/>
        </w:rPr>
        <w:t>并承担</w:t>
      </w:r>
      <w:r>
        <w:t>由此造成</w:t>
      </w:r>
      <w:r>
        <w:rPr>
          <w:rFonts w:hint="eastAsia"/>
        </w:rPr>
        <w:t>的损失；</w:t>
      </w:r>
    </w:p>
    <w:p w14:paraId="234EB8CB">
      <w:pPr>
        <w:pStyle w:val="26"/>
        <w:numPr>
          <w:ilvl w:val="0"/>
          <w:numId w:val="16"/>
        </w:numPr>
        <w:spacing w:line="400" w:lineRule="exact"/>
        <w:ind w:firstLineChars="0"/>
      </w:pPr>
      <w:r>
        <w:rPr>
          <w:rFonts w:hint="eastAsia"/>
        </w:rPr>
        <w:t>承包</w:t>
      </w:r>
      <w:r>
        <w:rPr>
          <w:rFonts w:hint="eastAsia"/>
          <w:lang w:eastAsia="zh-CN"/>
        </w:rPr>
        <w:t>单位</w:t>
      </w:r>
      <w:r>
        <w:rPr>
          <w:rFonts w:hint="eastAsia"/>
        </w:rPr>
        <w:t>所提供的设备、材料须满足招标文件要求的各项技术参数，</w:t>
      </w:r>
      <w:r>
        <w:rPr>
          <w:rFonts w:hint="eastAsia"/>
          <w:lang w:eastAsia="zh-CN"/>
        </w:rPr>
        <w:t>设备材料到货时需提供：钢材、管件、阀门材质证明、电缆、电气元件提供出厂合格证明和检验证明，防爆电机、防爆电控柜需提供防爆证明等相关证明材料，对</w:t>
      </w:r>
      <w:r>
        <w:rPr>
          <w:rFonts w:hint="eastAsia"/>
        </w:rPr>
        <w:t>不符合要求的设备</w:t>
      </w:r>
      <w:r>
        <w:rPr>
          <w:rFonts w:hint="eastAsia"/>
          <w:lang w:eastAsia="zh-CN"/>
        </w:rPr>
        <w:t>、管件、电气仪表配件等</w:t>
      </w:r>
      <w:r>
        <w:rPr>
          <w:rFonts w:hint="eastAsia"/>
        </w:rPr>
        <w:t>禁止用于本项目；</w:t>
      </w:r>
    </w:p>
    <w:p w14:paraId="22B227CE">
      <w:pPr>
        <w:pStyle w:val="26"/>
        <w:numPr>
          <w:ilvl w:val="0"/>
          <w:numId w:val="16"/>
        </w:numPr>
        <w:spacing w:line="400" w:lineRule="exact"/>
        <w:ind w:firstLineChars="0"/>
        <w:rPr>
          <w:rFonts w:ascii="宋体" w:hAnsi="宋体"/>
        </w:rPr>
      </w:pPr>
      <w:r>
        <w:t>承包</w:t>
      </w:r>
      <w:r>
        <w:rPr>
          <w:rFonts w:hint="eastAsia"/>
        </w:rPr>
        <w:t>人</w:t>
      </w:r>
      <w:r>
        <w:t>应按合同规定的时间如期完工和交付，由于承包</w:t>
      </w:r>
      <w:r>
        <w:rPr>
          <w:rFonts w:hint="eastAsia"/>
        </w:rPr>
        <w:t>人</w:t>
      </w:r>
      <w:r>
        <w:t>的原因造成逾期交</w:t>
      </w:r>
      <w:r>
        <w:rPr>
          <w:rFonts w:hint="eastAsia"/>
        </w:rPr>
        <w:t>工</w:t>
      </w:r>
      <w:r>
        <w:t>的，承包</w:t>
      </w:r>
      <w:r>
        <w:rPr>
          <w:rFonts w:hint="eastAsia"/>
        </w:rPr>
        <w:t>人</w:t>
      </w:r>
      <w:r>
        <w:t>应承担相应的</w:t>
      </w:r>
      <w:r>
        <w:fldChar w:fldCharType="begin"/>
      </w:r>
      <w:r>
        <w:instrText xml:space="preserve"> HYPERLINK "https://www.64365.com/baike/wyzr/" \t "_blank" \o "违约责任" </w:instrText>
      </w:r>
      <w:r>
        <w:fldChar w:fldCharType="separate"/>
      </w:r>
      <w:r>
        <w:t>违约责任</w:t>
      </w:r>
      <w:r>
        <w:fldChar w:fldCharType="end"/>
      </w:r>
      <w:r>
        <w:rPr>
          <w:rFonts w:hint="eastAsia"/>
        </w:rPr>
        <w:t>。</w:t>
      </w:r>
    </w:p>
    <w:p w14:paraId="6D745C96">
      <w:pPr>
        <w:numPr>
          <w:ilvl w:val="0"/>
          <w:numId w:val="16"/>
        </w:numPr>
        <w:tabs>
          <w:tab w:val="left" w:pos="709"/>
        </w:tabs>
        <w:ind w:firstLineChars="0"/>
        <w:rPr>
          <w:rFonts w:ascii="宋体" w:hAnsi="宋体"/>
          <w:highlight w:val="none"/>
        </w:rPr>
      </w:pPr>
      <w:r>
        <w:rPr>
          <w:rFonts w:hint="eastAsia" w:ascii="宋体" w:hAnsi="宋体" w:cs="宋体"/>
          <w:highlight w:val="none"/>
        </w:rPr>
        <w:t>承包商报价前须了解现场实际情况，确定清楚施工材料数量、施工工作量，进行技术澄清，如有异议须在投标前提出。施工过程中产生的所有工作量以及所需的施工材料均含于报价内，决购后不得以任何理由要求追加。</w:t>
      </w:r>
    </w:p>
    <w:p w14:paraId="36EF0B00">
      <w:pPr>
        <w:pStyle w:val="2"/>
        <w:spacing w:line="400" w:lineRule="exact"/>
        <w:ind w:left="0"/>
        <w:rPr>
          <w:rFonts w:ascii="宋体" w:hAnsi="宋体"/>
        </w:rPr>
      </w:pPr>
      <w:bookmarkStart w:id="4" w:name="_Toc156403240"/>
      <w:r>
        <w:rPr>
          <w:rFonts w:hint="eastAsia" w:ascii="宋体" w:hAnsi="宋体"/>
        </w:rPr>
        <w:t>规范性引用文件</w:t>
      </w:r>
      <w:bookmarkEnd w:id="4"/>
    </w:p>
    <w:p w14:paraId="48D7BAFB">
      <w:pPr>
        <w:spacing w:line="400" w:lineRule="exact"/>
        <w:ind w:firstLine="480"/>
      </w:pPr>
      <w:r>
        <w:rPr>
          <w:rFonts w:hint="eastAsia"/>
        </w:rPr>
        <w:t>本项目适用图纸和本文件要求中所提供的技术规范、标准、规程及图集等，未尽部分按国家或行业现行有效的标准、规范执行，国家标准规范没有规定的，则执行相应的行业标准规范。如果两者均有规定的，则标准规范的执行采用从严原则。</w:t>
      </w:r>
    </w:p>
    <w:p w14:paraId="6F295CBC">
      <w:pPr>
        <w:pStyle w:val="2"/>
        <w:spacing w:line="400" w:lineRule="exact"/>
        <w:ind w:left="0"/>
        <w:rPr>
          <w:rFonts w:ascii="宋体" w:hAnsi="宋体"/>
        </w:rPr>
      </w:pPr>
      <w:bookmarkStart w:id="5" w:name="_Toc156403241"/>
      <w:r>
        <w:rPr>
          <w:rFonts w:hint="eastAsia" w:ascii="宋体" w:hAnsi="宋体"/>
        </w:rPr>
        <w:t>质保、培训及服务</w:t>
      </w:r>
      <w:bookmarkEnd w:id="5"/>
    </w:p>
    <w:p w14:paraId="02A79B32">
      <w:pPr>
        <w:pStyle w:val="26"/>
        <w:numPr>
          <w:ilvl w:val="0"/>
          <w:numId w:val="17"/>
        </w:numPr>
        <w:spacing w:line="400" w:lineRule="exact"/>
        <w:ind w:firstLineChars="0"/>
        <w:rPr>
          <w:rFonts w:asciiTheme="minorEastAsia" w:hAnsiTheme="minorEastAsia" w:eastAsiaTheme="minorEastAsia"/>
        </w:rPr>
      </w:pPr>
      <w:r>
        <w:rPr>
          <w:rFonts w:hint="eastAsia"/>
          <w:b/>
        </w:rPr>
        <w:t>质量保证</w:t>
      </w:r>
      <w:r>
        <w:rPr>
          <w:rFonts w:hint="eastAsia" w:asciiTheme="minorEastAsia" w:hAnsiTheme="minorEastAsia" w:eastAsiaTheme="minorEastAsia"/>
        </w:rPr>
        <w:t>：</w:t>
      </w:r>
    </w:p>
    <w:p w14:paraId="2CDC69E6">
      <w:pPr>
        <w:spacing w:line="400" w:lineRule="exact"/>
        <w:ind w:firstLine="480"/>
        <w:rPr>
          <w:rFonts w:asciiTheme="minorEastAsia" w:hAnsiTheme="minorEastAsia" w:eastAsiaTheme="minorEastAsia"/>
        </w:rPr>
      </w:pPr>
      <w:r>
        <w:rPr>
          <w:rFonts w:hint="eastAsia" w:asciiTheme="minorEastAsia" w:hAnsiTheme="minorEastAsia" w:eastAsiaTheme="minorEastAsia"/>
        </w:rPr>
        <w:t>产品产地：承包人保证所采用的设备材料及附件均为合同规定要求的原装产品并提供相关证明。</w:t>
      </w:r>
    </w:p>
    <w:p w14:paraId="70B04DB2">
      <w:pPr>
        <w:spacing w:line="400" w:lineRule="exact"/>
        <w:ind w:firstLine="480"/>
        <w:rPr>
          <w:rFonts w:asciiTheme="minorEastAsia" w:hAnsiTheme="minorEastAsia" w:eastAsiaTheme="minorEastAsia"/>
        </w:rPr>
      </w:pPr>
      <w:r>
        <w:rPr>
          <w:rFonts w:hint="eastAsia" w:asciiTheme="minorEastAsia" w:hAnsiTheme="minorEastAsia" w:eastAsiaTheme="minorEastAsia"/>
        </w:rPr>
        <w:t>使用寿命：正常条件下运行寿命不低于产品说明书规定的要求。</w:t>
      </w:r>
    </w:p>
    <w:p w14:paraId="3214C89B">
      <w:pPr>
        <w:pStyle w:val="26"/>
        <w:numPr>
          <w:ilvl w:val="0"/>
          <w:numId w:val="17"/>
        </w:numPr>
        <w:spacing w:line="400" w:lineRule="exact"/>
        <w:ind w:firstLineChars="0"/>
        <w:rPr>
          <w:rFonts w:asciiTheme="minorEastAsia" w:hAnsiTheme="minorEastAsia" w:eastAsiaTheme="minorEastAsia"/>
        </w:rPr>
      </w:pPr>
      <w:r>
        <w:rPr>
          <w:rFonts w:hint="eastAsia"/>
          <w:b/>
        </w:rPr>
        <w:t>现场调试及检测</w:t>
      </w:r>
      <w:r>
        <w:rPr>
          <w:rFonts w:hint="eastAsia" w:asciiTheme="minorEastAsia" w:hAnsiTheme="minorEastAsia" w:eastAsiaTheme="minorEastAsia"/>
        </w:rPr>
        <w:t xml:space="preserve"> </w:t>
      </w:r>
    </w:p>
    <w:p w14:paraId="02E1C17E">
      <w:pPr>
        <w:spacing w:line="400" w:lineRule="exact"/>
        <w:ind w:firstLine="480"/>
        <w:rPr>
          <w:rFonts w:asciiTheme="minorEastAsia" w:hAnsiTheme="minorEastAsia" w:eastAsiaTheme="minorEastAsia"/>
        </w:rPr>
      </w:pPr>
      <w:r>
        <w:rPr>
          <w:rFonts w:hint="eastAsia" w:asciiTheme="minorEastAsia" w:hAnsiTheme="minorEastAsia" w:eastAsiaTheme="minorEastAsia"/>
        </w:rPr>
        <w:t>安装工作完成后，由承包人和我司本项目组成员共同进行系统调试和功能性测试，并提供完整性能测试报告。</w:t>
      </w:r>
    </w:p>
    <w:p w14:paraId="77B41681">
      <w:pPr>
        <w:pStyle w:val="26"/>
        <w:numPr>
          <w:ilvl w:val="0"/>
          <w:numId w:val="17"/>
        </w:numPr>
        <w:spacing w:line="400" w:lineRule="exact"/>
        <w:ind w:firstLineChars="0"/>
        <w:rPr>
          <w:rFonts w:asciiTheme="minorEastAsia" w:hAnsiTheme="minorEastAsia" w:eastAsiaTheme="minorEastAsia"/>
        </w:rPr>
      </w:pPr>
      <w:r>
        <w:rPr>
          <w:rFonts w:hint="eastAsia"/>
          <w:b/>
        </w:rPr>
        <w:t>保修及维修</w:t>
      </w:r>
      <w:r>
        <w:rPr>
          <w:rFonts w:hint="eastAsia" w:asciiTheme="minorEastAsia" w:hAnsiTheme="minorEastAsia" w:eastAsiaTheme="minorEastAsia"/>
        </w:rPr>
        <w:t xml:space="preserve"> </w:t>
      </w:r>
    </w:p>
    <w:p w14:paraId="43BE218B">
      <w:pPr>
        <w:spacing w:line="400" w:lineRule="exact"/>
        <w:ind w:firstLine="480"/>
        <w:rPr>
          <w:rFonts w:asciiTheme="minorEastAsia" w:hAnsiTheme="minorEastAsia" w:eastAsiaTheme="minorEastAsia"/>
        </w:rPr>
      </w:pPr>
      <w:r>
        <w:rPr>
          <w:rFonts w:hint="eastAsia" w:asciiTheme="minorEastAsia" w:hAnsiTheme="minorEastAsia" w:eastAsiaTheme="minorEastAsia"/>
        </w:rPr>
        <w:t>自完工验收合格之日起保修一年。</w:t>
      </w:r>
    </w:p>
    <w:p w14:paraId="708B2067">
      <w:pPr>
        <w:pStyle w:val="26"/>
        <w:numPr>
          <w:ilvl w:val="0"/>
          <w:numId w:val="17"/>
        </w:numPr>
        <w:spacing w:line="400" w:lineRule="exact"/>
        <w:ind w:firstLineChars="0"/>
        <w:rPr>
          <w:rFonts w:asciiTheme="minorEastAsia" w:hAnsiTheme="minorEastAsia" w:eastAsiaTheme="minorEastAsia"/>
        </w:rPr>
      </w:pPr>
      <w:r>
        <w:rPr>
          <w:b/>
        </w:rPr>
        <w:t>售后服务</w:t>
      </w:r>
    </w:p>
    <w:p w14:paraId="1998DC52">
      <w:pPr>
        <w:pStyle w:val="26"/>
        <w:numPr>
          <w:ilvl w:val="0"/>
          <w:numId w:val="18"/>
        </w:numPr>
        <w:spacing w:line="400" w:lineRule="exact"/>
        <w:ind w:firstLineChars="0"/>
        <w:rPr>
          <w:rFonts w:asciiTheme="minorEastAsia" w:hAnsiTheme="minorEastAsia" w:eastAsiaTheme="minorEastAsia"/>
        </w:rPr>
      </w:pPr>
      <w:r>
        <w:rPr>
          <w:rFonts w:hint="eastAsia" w:asciiTheme="minorEastAsia" w:hAnsiTheme="minorEastAsia" w:eastAsiaTheme="minorEastAsia"/>
        </w:rPr>
        <w:t xml:space="preserve">接到产品故障通知后12小时内提供解决方案，如发包人提出需要应能在8小时内赶到现场。 </w:t>
      </w:r>
    </w:p>
    <w:p w14:paraId="4D98F3EF">
      <w:pPr>
        <w:pStyle w:val="26"/>
        <w:numPr>
          <w:ilvl w:val="0"/>
          <w:numId w:val="18"/>
        </w:numPr>
        <w:spacing w:line="400" w:lineRule="exact"/>
        <w:ind w:firstLineChars="0"/>
        <w:rPr>
          <w:rFonts w:asciiTheme="minorEastAsia" w:hAnsiTheme="minorEastAsia" w:eastAsiaTheme="minorEastAsia"/>
        </w:rPr>
      </w:pPr>
      <w:r>
        <w:rPr>
          <w:rFonts w:hint="eastAsia" w:asciiTheme="minorEastAsia" w:hAnsiTheme="minorEastAsia" w:eastAsiaTheme="minorEastAsia"/>
        </w:rPr>
        <w:t>一般故障在4小时内排除，保修期内所有备件的更换全部免费。</w:t>
      </w:r>
    </w:p>
    <w:p w14:paraId="3DADD5C5">
      <w:pPr>
        <w:pStyle w:val="26"/>
        <w:numPr>
          <w:ilvl w:val="0"/>
          <w:numId w:val="17"/>
        </w:numPr>
        <w:spacing w:line="400" w:lineRule="exact"/>
        <w:ind w:firstLineChars="0"/>
        <w:rPr>
          <w:rFonts w:asciiTheme="minorEastAsia" w:hAnsiTheme="minorEastAsia" w:eastAsiaTheme="minorEastAsia"/>
        </w:rPr>
      </w:pPr>
      <w:r>
        <w:rPr>
          <w:rFonts w:hint="eastAsia"/>
          <w:b/>
        </w:rPr>
        <w:t>技术文件交付</w:t>
      </w:r>
    </w:p>
    <w:p w14:paraId="18199BC7">
      <w:pPr>
        <w:pStyle w:val="26"/>
        <w:numPr>
          <w:ilvl w:val="0"/>
          <w:numId w:val="19"/>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承包人须在办理完工验收60个工作日内，按福建福海创石油化工有限公司档案管理要求提供项目总结资料。</w:t>
      </w:r>
    </w:p>
    <w:p w14:paraId="10755DC6">
      <w:pPr>
        <w:pStyle w:val="26"/>
        <w:numPr>
          <w:ilvl w:val="0"/>
          <w:numId w:val="19"/>
        </w:numPr>
        <w:spacing w:line="400" w:lineRule="exact"/>
        <w:ind w:firstLineChars="0"/>
        <w:rPr>
          <w:rFonts w:asciiTheme="minorEastAsia" w:hAnsiTheme="minorEastAsia" w:eastAsiaTheme="minorEastAsia"/>
        </w:rPr>
      </w:pPr>
      <w:r>
        <w:rPr>
          <w:rFonts w:hint="eastAsia" w:asciiTheme="minorEastAsia" w:hAnsiTheme="minorEastAsia" w:eastAsiaTheme="minorEastAsia"/>
        </w:rPr>
        <w:t>项目总结资料的内容应真实准确、清晰完整，并附上相关资料及过程照片。</w:t>
      </w:r>
    </w:p>
    <w:p w14:paraId="3AAA2E59">
      <w:pPr>
        <w:pStyle w:val="26"/>
        <w:numPr>
          <w:ilvl w:val="0"/>
          <w:numId w:val="19"/>
        </w:numPr>
        <w:spacing w:line="400" w:lineRule="exact"/>
        <w:ind w:firstLineChars="0"/>
        <w:rPr>
          <w:rFonts w:ascii="宋体" w:hAnsi="宋体"/>
        </w:rPr>
      </w:pPr>
      <w:r>
        <w:rPr>
          <w:rFonts w:hint="eastAsia" w:ascii="宋体" w:hAnsi="宋体"/>
          <w:b/>
          <w:bCs/>
        </w:rPr>
        <w:t>文件资料</w:t>
      </w:r>
      <w:r>
        <w:rPr>
          <w:rFonts w:hint="eastAsia" w:ascii="宋体" w:hAnsi="宋体"/>
        </w:rPr>
        <w:t>卖方提供</w:t>
      </w:r>
      <w:r>
        <w:rPr>
          <w:rFonts w:hint="eastAsia" w:ascii="宋体" w:hAnsi="宋体" w:cs="Arial"/>
        </w:rPr>
        <w:t>控制系统</w:t>
      </w:r>
      <w:r>
        <w:rPr>
          <w:rFonts w:hint="eastAsia" w:ascii="宋体" w:hAnsi="宋体"/>
        </w:rPr>
        <w:t xml:space="preserve">的文件至少包括： </w:t>
      </w:r>
    </w:p>
    <w:p w14:paraId="0881C8E2">
      <w:pPr>
        <w:pStyle w:val="26"/>
        <w:numPr>
          <w:ilvl w:val="0"/>
          <w:numId w:val="20"/>
        </w:numPr>
        <w:spacing w:line="400" w:lineRule="exact"/>
        <w:ind w:firstLineChars="0"/>
        <w:rPr>
          <w:rFonts w:asciiTheme="minorEastAsia" w:hAnsiTheme="minorEastAsia" w:eastAsiaTheme="minorEastAsia"/>
        </w:rPr>
      </w:pPr>
      <w:r>
        <w:rPr>
          <w:rFonts w:hint="eastAsia" w:asciiTheme="minorEastAsia" w:hAnsiTheme="minorEastAsia" w:eastAsiaTheme="minorEastAsia"/>
        </w:rPr>
        <w:t>系统总说明书、原理图、系统配置图 、各种数据表；</w:t>
      </w:r>
    </w:p>
    <w:p w14:paraId="41FA452B">
      <w:pPr>
        <w:pStyle w:val="26"/>
        <w:numPr>
          <w:ilvl w:val="0"/>
          <w:numId w:val="20"/>
        </w:numPr>
        <w:spacing w:line="400" w:lineRule="exact"/>
        <w:ind w:firstLineChars="0"/>
        <w:rPr>
          <w:rFonts w:asciiTheme="minorEastAsia" w:hAnsiTheme="minorEastAsia" w:eastAsiaTheme="minorEastAsia"/>
        </w:rPr>
      </w:pPr>
      <w:r>
        <w:rPr>
          <w:rFonts w:hint="eastAsia" w:asciiTheme="minorEastAsia" w:hAnsiTheme="minorEastAsia" w:eastAsiaTheme="minorEastAsia"/>
        </w:rPr>
        <w:t>设备安装图、机柜、供电柜、端子柜和继电器柜的内部布置图、I/O模块及接线端子布置图、系统内部电缆接线图、端子接线图、系统供电及接地图；</w:t>
      </w:r>
    </w:p>
    <w:p w14:paraId="622CEB8C">
      <w:pPr>
        <w:pStyle w:val="26"/>
        <w:numPr>
          <w:ilvl w:val="0"/>
          <w:numId w:val="20"/>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安装、维修手册、系统操作和使用手册、工程师手册 ；</w:t>
      </w:r>
    </w:p>
    <w:p w14:paraId="3D1E7540">
      <w:pPr>
        <w:pStyle w:val="26"/>
        <w:numPr>
          <w:ilvl w:val="0"/>
          <w:numId w:val="20"/>
        </w:numPr>
        <w:spacing w:line="400" w:lineRule="exact"/>
        <w:ind w:firstLineChars="0"/>
        <w:rPr>
          <w:rFonts w:asciiTheme="minorEastAsia" w:hAnsiTheme="minorEastAsia" w:eastAsiaTheme="minorEastAsia"/>
        </w:rPr>
      </w:pPr>
      <w:r>
        <w:rPr>
          <w:rFonts w:hint="eastAsia" w:asciiTheme="minorEastAsia" w:hAnsiTheme="minorEastAsia" w:eastAsiaTheme="minorEastAsia"/>
        </w:rPr>
        <w:t xml:space="preserve">供货项目详细清单、备品备件清单； </w:t>
      </w:r>
    </w:p>
    <w:p w14:paraId="4006DCA0">
      <w:pPr>
        <w:pStyle w:val="26"/>
        <w:numPr>
          <w:ilvl w:val="0"/>
          <w:numId w:val="19"/>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出厂验收测试程序，PLC和上位机或人机界面的程序若加密需提供最高权限的密码，可在线连接 PLC 和修改等，涉及到知识产权的功能块加密需提供详细的功能说明文档；</w:t>
      </w:r>
    </w:p>
    <w:p w14:paraId="46D0DCEE">
      <w:pPr>
        <w:pStyle w:val="26"/>
        <w:numPr>
          <w:ilvl w:val="0"/>
          <w:numId w:val="19"/>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双方签字、出厂测试验收、记录；</w:t>
      </w:r>
    </w:p>
    <w:p w14:paraId="25FFFB89">
      <w:pPr>
        <w:pStyle w:val="26"/>
        <w:numPr>
          <w:ilvl w:val="0"/>
          <w:numId w:val="19"/>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技术服务及技术培训；</w:t>
      </w:r>
    </w:p>
    <w:p w14:paraId="7BC44D48">
      <w:pPr>
        <w:pStyle w:val="26"/>
        <w:numPr>
          <w:ilvl w:val="0"/>
          <w:numId w:val="21"/>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技术服务：报价书中应提交工程服务的范围清单；</w:t>
      </w:r>
    </w:p>
    <w:p w14:paraId="53DA0CE4">
      <w:pPr>
        <w:pStyle w:val="26"/>
        <w:numPr>
          <w:ilvl w:val="0"/>
          <w:numId w:val="21"/>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技术培训：必须提供2人次、PLC厂商提供的标准培训课程或组态培训。</w:t>
      </w:r>
    </w:p>
    <w:p w14:paraId="1865F3F3">
      <w:pPr>
        <w:pStyle w:val="2"/>
        <w:spacing w:line="400" w:lineRule="exact"/>
        <w:ind w:left="0"/>
      </w:pPr>
      <w:bookmarkStart w:id="6" w:name="_Toc156403242"/>
      <w:r>
        <w:rPr>
          <w:rFonts w:hint="eastAsia"/>
        </w:rPr>
        <w:t>维修维护考评标准</w:t>
      </w:r>
      <w:bookmarkEnd w:id="6"/>
    </w:p>
    <w:p w14:paraId="43F8A573">
      <w:pPr>
        <w:pStyle w:val="26"/>
        <w:numPr>
          <w:ilvl w:val="0"/>
          <w:numId w:val="22"/>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发包人与承包人必须严格执行相关规程规定，任何人不得违章作业和指挥。承包人进入现场前，应接受发包人的入厂教育和人员的资质核实，并把工作班成员名单及资历申报发包人核准。</w:t>
      </w:r>
    </w:p>
    <w:p w14:paraId="7564F739">
      <w:pPr>
        <w:pStyle w:val="26"/>
        <w:numPr>
          <w:ilvl w:val="0"/>
          <w:numId w:val="22"/>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承包人要严格执行发包人的规章制度，对于违章违纪人员，发包人有权视情节停止其工作直至离厂。发包人必须按规程规定做好承包人进入现场工作前的各项安全组织和技术措施，确保承包人作业安全。</w:t>
      </w:r>
    </w:p>
    <w:p w14:paraId="0BC1AB29">
      <w:pPr>
        <w:pStyle w:val="26"/>
        <w:numPr>
          <w:ilvl w:val="0"/>
          <w:numId w:val="22"/>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施工所用人员、设备、试验工具必须保证满足发包人工程的安全、质量、进度要求。如不能达到以上要求，发包人有权更换并另行委托，其一切费用由承包人承担。</w:t>
      </w:r>
    </w:p>
    <w:p w14:paraId="5C1FE07C">
      <w:pPr>
        <w:pStyle w:val="26"/>
        <w:numPr>
          <w:ilvl w:val="0"/>
          <w:numId w:val="22"/>
        </w:numPr>
        <w:spacing w:line="400" w:lineRule="exact"/>
        <w:ind w:firstLineChars="0"/>
        <w:rPr>
          <w:rFonts w:asciiTheme="minorEastAsia" w:hAnsiTheme="minorEastAsia" w:eastAsiaTheme="minorEastAsia"/>
        </w:rPr>
      </w:pPr>
      <w:r>
        <w:rPr>
          <w:rFonts w:hint="eastAsia" w:asciiTheme="minorEastAsia" w:hAnsiTheme="minorEastAsia" w:eastAsiaTheme="minorEastAsia"/>
        </w:rPr>
        <w:t>维修保养后须保证设备正常运行，若质保期内内重复出现同一故障，一律扣除尾款保证金。</w:t>
      </w:r>
    </w:p>
    <w:p w14:paraId="49192820">
      <w:pPr>
        <w:pStyle w:val="26"/>
        <w:numPr>
          <w:ilvl w:val="0"/>
          <w:numId w:val="22"/>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因工程质量问题进行返工所产生的一切费用均由承包人承担。</w:t>
      </w:r>
    </w:p>
    <w:p w14:paraId="3CFC4B62">
      <w:pPr>
        <w:pStyle w:val="2"/>
        <w:spacing w:line="400" w:lineRule="exact"/>
        <w:ind w:left="0"/>
      </w:pPr>
      <w:bookmarkStart w:id="7" w:name="_Toc156403243"/>
      <w:r>
        <w:rPr>
          <w:rFonts w:hint="eastAsia"/>
        </w:rPr>
        <w:t>评审方式</w:t>
      </w:r>
      <w:bookmarkEnd w:id="7"/>
    </w:p>
    <w:p w14:paraId="2C12CD2D">
      <w:pPr>
        <w:spacing w:afterLines="50" w:line="400" w:lineRule="exact"/>
        <w:ind w:firstLine="480"/>
      </w:pPr>
      <w:r>
        <w:rPr>
          <w:rFonts w:hint="eastAsia"/>
        </w:rPr>
        <w:t>本项目采取综合评审方式，资质符合要求且经详细评审技术标与商务标综合得分最高的投标人作为中标人。资格（含资质）审查不合格的投标人，不进入详细评审。</w:t>
      </w:r>
    </w:p>
    <w:tbl>
      <w:tblPr>
        <w:tblStyle w:val="18"/>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851"/>
        <w:gridCol w:w="4565"/>
      </w:tblGrid>
      <w:tr w14:paraId="3B64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4" w:type="dxa"/>
            <w:shd w:val="clear" w:color="auto" w:fill="auto"/>
            <w:vAlign w:val="center"/>
          </w:tcPr>
          <w:p w14:paraId="400762B5">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序号</w:t>
            </w:r>
          </w:p>
        </w:tc>
        <w:tc>
          <w:tcPr>
            <w:tcW w:w="2126" w:type="dxa"/>
            <w:shd w:val="clear" w:color="auto" w:fill="auto"/>
            <w:vAlign w:val="center"/>
          </w:tcPr>
          <w:p w14:paraId="4E0D5F9B">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评议内容</w:t>
            </w:r>
          </w:p>
        </w:tc>
        <w:tc>
          <w:tcPr>
            <w:tcW w:w="851" w:type="dxa"/>
            <w:shd w:val="clear" w:color="auto" w:fill="auto"/>
            <w:noWrap/>
            <w:vAlign w:val="center"/>
          </w:tcPr>
          <w:p w14:paraId="3B76420C">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分值</w:t>
            </w:r>
          </w:p>
        </w:tc>
        <w:tc>
          <w:tcPr>
            <w:tcW w:w="4565" w:type="dxa"/>
            <w:shd w:val="clear" w:color="auto" w:fill="auto"/>
            <w:vAlign w:val="center"/>
          </w:tcPr>
          <w:p w14:paraId="2D49D434">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评审标准</w:t>
            </w:r>
          </w:p>
        </w:tc>
      </w:tr>
      <w:tr w14:paraId="0CFA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shd w:val="clear" w:color="auto" w:fill="auto"/>
            <w:vAlign w:val="center"/>
          </w:tcPr>
          <w:p w14:paraId="0F606E21">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一</w:t>
            </w:r>
          </w:p>
        </w:tc>
        <w:tc>
          <w:tcPr>
            <w:tcW w:w="7542" w:type="dxa"/>
            <w:gridSpan w:val="3"/>
            <w:shd w:val="clear" w:color="auto" w:fill="auto"/>
            <w:vAlign w:val="center"/>
          </w:tcPr>
          <w:p w14:paraId="5ABDEE65">
            <w:pPr>
              <w:widowControl/>
              <w:spacing w:line="300" w:lineRule="exact"/>
              <w:ind w:firstLine="0" w:firstLineChars="0"/>
              <w:rPr>
                <w:rFonts w:ascii="宋体" w:hAnsi="宋体" w:cs="宋体"/>
                <w:b/>
                <w:kern w:val="0"/>
                <w:sz w:val="21"/>
              </w:rPr>
            </w:pPr>
            <w:r>
              <w:rPr>
                <w:rFonts w:hint="eastAsia" w:ascii="宋体" w:hAnsi="宋体" w:cs="宋体"/>
                <w:b/>
                <w:kern w:val="0"/>
                <w:sz w:val="21"/>
              </w:rPr>
              <w:t>技术标（满分</w:t>
            </w:r>
            <w:r>
              <w:rPr>
                <w:rFonts w:ascii="宋体" w:hAnsi="宋体" w:cs="宋体"/>
                <w:b/>
                <w:kern w:val="0"/>
                <w:sz w:val="21"/>
              </w:rPr>
              <w:t>30</w:t>
            </w:r>
            <w:r>
              <w:rPr>
                <w:rFonts w:hint="eastAsia" w:ascii="宋体" w:hAnsi="宋体" w:cs="宋体"/>
                <w:b/>
                <w:kern w:val="0"/>
                <w:sz w:val="21"/>
              </w:rPr>
              <w:t>分）</w:t>
            </w:r>
          </w:p>
        </w:tc>
      </w:tr>
      <w:tr w14:paraId="3221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704" w:type="dxa"/>
            <w:shd w:val="clear" w:color="auto" w:fill="auto"/>
            <w:vAlign w:val="center"/>
          </w:tcPr>
          <w:p w14:paraId="02C81F19">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1</w:t>
            </w:r>
          </w:p>
        </w:tc>
        <w:tc>
          <w:tcPr>
            <w:tcW w:w="2126" w:type="dxa"/>
            <w:shd w:val="clear" w:color="auto" w:fill="auto"/>
            <w:vAlign w:val="center"/>
          </w:tcPr>
          <w:p w14:paraId="3CE8A7E3">
            <w:pPr>
              <w:widowControl/>
              <w:spacing w:line="300" w:lineRule="exact"/>
              <w:ind w:firstLine="0" w:firstLineChars="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企业资质</w:t>
            </w:r>
          </w:p>
        </w:tc>
        <w:tc>
          <w:tcPr>
            <w:tcW w:w="851" w:type="dxa"/>
            <w:shd w:val="clear" w:color="auto" w:fill="auto"/>
            <w:noWrap/>
            <w:vAlign w:val="center"/>
          </w:tcPr>
          <w:p w14:paraId="1DE3DB78">
            <w:pPr>
              <w:widowControl/>
              <w:spacing w:line="300" w:lineRule="exact"/>
              <w:ind w:firstLine="0" w:firstLineChar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4565" w:type="dxa"/>
            <w:shd w:val="clear" w:color="auto" w:fill="auto"/>
            <w:vAlign w:val="center"/>
          </w:tcPr>
          <w:p w14:paraId="65A2267B">
            <w:pPr>
              <w:pStyle w:val="26"/>
              <w:widowControl/>
              <w:numPr>
                <w:ilvl w:val="0"/>
                <w:numId w:val="23"/>
              </w:numPr>
              <w:spacing w:line="300" w:lineRule="exact"/>
              <w:ind w:firstLineChars="0"/>
              <w:rPr>
                <w:rFonts w:ascii="宋体" w:hAnsi="宋体" w:cs="宋体"/>
                <w:kern w:val="0"/>
                <w:sz w:val="18"/>
                <w:szCs w:val="18"/>
              </w:rPr>
            </w:pPr>
            <w:r>
              <w:rPr>
                <w:rFonts w:hint="eastAsia" w:ascii="宋体" w:hAnsi="宋体" w:cs="宋体"/>
                <w:kern w:val="0"/>
                <w:sz w:val="18"/>
                <w:szCs w:val="18"/>
              </w:rPr>
              <w:t>石油化工工程施工总承包</w:t>
            </w:r>
            <w:r>
              <w:rPr>
                <w:rFonts w:hint="eastAsia" w:ascii="宋体" w:hAnsi="宋体" w:cs="宋体"/>
                <w:kern w:val="0"/>
                <w:sz w:val="18"/>
                <w:szCs w:val="18"/>
                <w:lang w:eastAsia="zh-CN"/>
              </w:rPr>
              <w:t>二</w:t>
            </w:r>
            <w:r>
              <w:rPr>
                <w:rFonts w:hint="eastAsia" w:ascii="宋体" w:hAnsi="宋体" w:cs="宋体"/>
                <w:kern w:val="0"/>
                <w:sz w:val="18"/>
                <w:szCs w:val="18"/>
              </w:rPr>
              <w:t>级；</w:t>
            </w:r>
          </w:p>
          <w:p w14:paraId="528D1B36">
            <w:pPr>
              <w:pStyle w:val="26"/>
              <w:widowControl/>
              <w:numPr>
                <w:ilvl w:val="0"/>
                <w:numId w:val="23"/>
              </w:numPr>
              <w:spacing w:line="300" w:lineRule="exact"/>
              <w:ind w:firstLineChars="0"/>
              <w:rPr>
                <w:rFonts w:ascii="宋体" w:hAnsi="宋体" w:cs="宋体"/>
                <w:kern w:val="0"/>
                <w:sz w:val="18"/>
                <w:szCs w:val="18"/>
              </w:rPr>
            </w:pPr>
            <w:r>
              <w:rPr>
                <w:rFonts w:hint="eastAsia" w:ascii="宋体" w:hAnsi="宋体" w:eastAsia="宋体" w:cs="宋体"/>
                <w:i w:val="0"/>
                <w:iCs w:val="0"/>
                <w:caps w:val="0"/>
                <w:color w:val="333333"/>
                <w:spacing w:val="0"/>
                <w:sz w:val="18"/>
                <w:szCs w:val="18"/>
                <w:shd w:val="clear" w:fill="FFFFFF"/>
                <w:lang w:eastAsia="zh-CN"/>
              </w:rPr>
              <w:t>机电工程</w:t>
            </w:r>
            <w:r>
              <w:rPr>
                <w:rFonts w:hint="eastAsia" w:ascii="宋体" w:hAnsi="宋体" w:cs="宋体"/>
                <w:i w:val="0"/>
                <w:iCs w:val="0"/>
                <w:caps w:val="0"/>
                <w:color w:val="333333"/>
                <w:spacing w:val="0"/>
                <w:sz w:val="18"/>
                <w:szCs w:val="18"/>
                <w:shd w:val="clear" w:fill="FFFFFF"/>
                <w:lang w:eastAsia="zh-CN"/>
              </w:rPr>
              <w:t>（含建筑）</w:t>
            </w:r>
            <w:r>
              <w:rPr>
                <w:rFonts w:hint="eastAsia" w:ascii="宋体" w:hAnsi="宋体" w:eastAsia="宋体" w:cs="宋体"/>
                <w:i w:val="0"/>
                <w:iCs w:val="0"/>
                <w:caps w:val="0"/>
                <w:color w:val="333333"/>
                <w:spacing w:val="0"/>
                <w:sz w:val="18"/>
                <w:szCs w:val="18"/>
                <w:shd w:val="clear" w:fill="FFFFFF"/>
                <w:lang w:eastAsia="zh-CN"/>
              </w:rPr>
              <w:t>施工总承包</w:t>
            </w:r>
            <w:r>
              <w:rPr>
                <w:rFonts w:hint="eastAsia" w:ascii="宋体" w:hAnsi="宋体" w:cs="宋体"/>
                <w:i w:val="0"/>
                <w:iCs w:val="0"/>
                <w:caps w:val="0"/>
                <w:color w:val="333333"/>
                <w:spacing w:val="0"/>
                <w:sz w:val="18"/>
                <w:szCs w:val="18"/>
                <w:shd w:val="clear" w:fill="FFFFFF"/>
                <w:lang w:eastAsia="zh-CN"/>
              </w:rPr>
              <w:t>三</w:t>
            </w:r>
            <w:r>
              <w:rPr>
                <w:rFonts w:hint="eastAsia" w:ascii="宋体" w:hAnsi="宋体" w:eastAsia="宋体" w:cs="宋体"/>
                <w:i w:val="0"/>
                <w:iCs w:val="0"/>
                <w:caps w:val="0"/>
                <w:color w:val="333333"/>
                <w:spacing w:val="0"/>
                <w:sz w:val="18"/>
                <w:szCs w:val="18"/>
                <w:shd w:val="clear" w:fill="FFFFFF"/>
                <w:lang w:eastAsia="zh-CN"/>
              </w:rPr>
              <w:t>级</w:t>
            </w:r>
            <w:r>
              <w:rPr>
                <w:rFonts w:hint="eastAsia" w:ascii="宋体" w:hAnsi="宋体" w:cs="宋体"/>
                <w:i w:val="0"/>
                <w:iCs w:val="0"/>
                <w:caps w:val="0"/>
                <w:color w:val="333333"/>
                <w:spacing w:val="0"/>
                <w:sz w:val="18"/>
                <w:szCs w:val="18"/>
                <w:shd w:val="clear" w:fill="FFFFFF"/>
                <w:lang w:eastAsia="zh-CN"/>
              </w:rPr>
              <w:t>；</w:t>
            </w:r>
          </w:p>
          <w:p w14:paraId="39BD1A62">
            <w:pPr>
              <w:pStyle w:val="26"/>
              <w:widowControl/>
              <w:numPr>
                <w:ilvl w:val="0"/>
                <w:numId w:val="0"/>
              </w:numPr>
              <w:spacing w:line="300" w:lineRule="exact"/>
              <w:ind w:leftChars="0"/>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说明：以上两项资质必备，分值</w:t>
            </w:r>
            <w:r>
              <w:rPr>
                <w:rFonts w:hint="eastAsia" w:ascii="宋体" w:hAnsi="宋体" w:cs="宋体"/>
                <w:kern w:val="0"/>
                <w:sz w:val="18"/>
                <w:szCs w:val="18"/>
                <w:lang w:val="en-US" w:eastAsia="zh-CN"/>
              </w:rPr>
              <w:t>2分，每项增加一个等级增加1分，总分值5分。</w:t>
            </w:r>
            <w:bookmarkStart w:id="10" w:name="_GoBack"/>
            <w:bookmarkEnd w:id="10"/>
          </w:p>
        </w:tc>
      </w:tr>
      <w:tr w14:paraId="27E6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04" w:type="dxa"/>
            <w:shd w:val="clear" w:color="auto" w:fill="auto"/>
            <w:vAlign w:val="center"/>
          </w:tcPr>
          <w:p w14:paraId="5E9610CA">
            <w:pPr>
              <w:widowControl/>
              <w:spacing w:line="300" w:lineRule="exact"/>
              <w:ind w:firstLine="0" w:firstLineChars="0"/>
              <w:jc w:val="center"/>
              <w:rPr>
                <w:rFonts w:ascii="宋体" w:hAnsi="宋体" w:cs="宋体"/>
                <w:kern w:val="0"/>
                <w:sz w:val="18"/>
                <w:szCs w:val="18"/>
              </w:rPr>
            </w:pPr>
            <w:r>
              <w:rPr>
                <w:rFonts w:ascii="宋体" w:hAnsi="宋体" w:cs="宋体"/>
                <w:kern w:val="0"/>
                <w:sz w:val="18"/>
                <w:szCs w:val="18"/>
              </w:rPr>
              <w:t>2</w:t>
            </w:r>
          </w:p>
        </w:tc>
        <w:tc>
          <w:tcPr>
            <w:tcW w:w="2126" w:type="dxa"/>
            <w:shd w:val="clear" w:color="auto" w:fill="auto"/>
            <w:vAlign w:val="center"/>
          </w:tcPr>
          <w:p w14:paraId="2E11B889">
            <w:pPr>
              <w:widowControl/>
              <w:spacing w:line="300" w:lineRule="exact"/>
              <w:ind w:firstLine="0" w:firstLineChars="0"/>
              <w:jc w:val="center"/>
              <w:rPr>
                <w:rFonts w:ascii="宋体" w:hAnsi="宋体" w:cs="宋体"/>
                <w:kern w:val="0"/>
                <w:sz w:val="18"/>
                <w:szCs w:val="18"/>
                <w:highlight w:val="yellow"/>
              </w:rPr>
            </w:pPr>
            <w:r>
              <w:rPr>
                <w:rFonts w:hint="eastAsia" w:ascii="宋体" w:hAnsi="宋体" w:cs="宋体"/>
                <w:kern w:val="0"/>
                <w:sz w:val="18"/>
                <w:szCs w:val="18"/>
              </w:rPr>
              <w:t>服务业绩</w:t>
            </w:r>
          </w:p>
        </w:tc>
        <w:tc>
          <w:tcPr>
            <w:tcW w:w="851" w:type="dxa"/>
            <w:shd w:val="clear" w:color="auto" w:fill="auto"/>
            <w:noWrap/>
            <w:vAlign w:val="center"/>
          </w:tcPr>
          <w:p w14:paraId="5EFFE88A">
            <w:pPr>
              <w:widowControl/>
              <w:spacing w:line="300" w:lineRule="exact"/>
              <w:ind w:firstLine="0" w:firstLineChars="0"/>
              <w:jc w:val="center"/>
              <w:rPr>
                <w:rFonts w:ascii="宋体" w:hAnsi="宋体" w:cs="宋体"/>
                <w:kern w:val="0"/>
                <w:sz w:val="18"/>
                <w:szCs w:val="18"/>
              </w:rPr>
            </w:pPr>
            <w:r>
              <w:rPr>
                <w:rFonts w:ascii="宋体" w:hAnsi="宋体" w:cs="宋体"/>
                <w:kern w:val="0"/>
                <w:sz w:val="18"/>
                <w:szCs w:val="18"/>
              </w:rPr>
              <w:t>10</w:t>
            </w:r>
          </w:p>
        </w:tc>
        <w:tc>
          <w:tcPr>
            <w:tcW w:w="4565" w:type="dxa"/>
            <w:shd w:val="clear" w:color="auto" w:fill="auto"/>
            <w:vAlign w:val="center"/>
          </w:tcPr>
          <w:p w14:paraId="641CEA63">
            <w:pPr>
              <w:widowControl/>
              <w:spacing w:line="300" w:lineRule="exact"/>
              <w:ind w:firstLine="0" w:firstLineChars="0"/>
              <w:rPr>
                <w:rFonts w:ascii="宋体" w:hAnsi="宋体" w:cs="宋体"/>
                <w:kern w:val="0"/>
                <w:sz w:val="18"/>
                <w:szCs w:val="18"/>
              </w:rPr>
            </w:pPr>
            <w:r>
              <w:rPr>
                <w:rFonts w:hint="eastAsia" w:ascii="宋体" w:hAnsi="宋体" w:cs="宋体"/>
                <w:kern w:val="0"/>
                <w:sz w:val="18"/>
                <w:szCs w:val="18"/>
              </w:rPr>
              <w:t>类似合同业绩:</w:t>
            </w:r>
          </w:p>
          <w:p w14:paraId="59DFFAD5">
            <w:pPr>
              <w:widowControl/>
              <w:spacing w:line="300" w:lineRule="exact"/>
              <w:ind w:firstLine="0" w:firstLineChars="0"/>
              <w:rPr>
                <w:rFonts w:ascii="宋体" w:hAnsi="宋体" w:cs="宋体"/>
                <w:kern w:val="0"/>
                <w:sz w:val="18"/>
                <w:szCs w:val="18"/>
              </w:rPr>
            </w:pPr>
            <w:r>
              <w:rPr>
                <w:rFonts w:hint="eastAsia" w:ascii="宋体" w:hAnsi="宋体" w:cs="宋体"/>
                <w:kern w:val="0"/>
                <w:sz w:val="18"/>
                <w:szCs w:val="18"/>
              </w:rPr>
              <w:t>a、提供同行业石油、化工业绩，每提供一份合同得</w:t>
            </w:r>
            <w:r>
              <w:rPr>
                <w:rFonts w:ascii="宋体" w:hAnsi="宋体" w:cs="宋体"/>
                <w:kern w:val="0"/>
                <w:sz w:val="18"/>
                <w:szCs w:val="18"/>
              </w:rPr>
              <w:t>3</w:t>
            </w:r>
            <w:r>
              <w:rPr>
                <w:rFonts w:hint="eastAsia" w:ascii="宋体" w:hAnsi="宋体" w:cs="宋体"/>
                <w:kern w:val="0"/>
                <w:sz w:val="18"/>
                <w:szCs w:val="18"/>
              </w:rPr>
              <w:t>分，最多得</w:t>
            </w:r>
            <w:r>
              <w:rPr>
                <w:rFonts w:ascii="宋体" w:hAnsi="宋体" w:cs="宋体"/>
                <w:kern w:val="0"/>
                <w:sz w:val="18"/>
                <w:szCs w:val="18"/>
              </w:rPr>
              <w:t>6</w:t>
            </w:r>
            <w:r>
              <w:rPr>
                <w:rFonts w:hint="eastAsia" w:ascii="宋体" w:hAnsi="宋体" w:cs="宋体"/>
                <w:kern w:val="0"/>
                <w:sz w:val="18"/>
                <w:szCs w:val="18"/>
              </w:rPr>
              <w:t>分；</w:t>
            </w:r>
          </w:p>
          <w:p w14:paraId="73F3FC52">
            <w:pPr>
              <w:widowControl/>
              <w:spacing w:line="300" w:lineRule="exact"/>
              <w:ind w:firstLine="0" w:firstLineChars="0"/>
              <w:rPr>
                <w:rFonts w:ascii="宋体" w:hAnsi="宋体" w:cs="宋体"/>
                <w:kern w:val="0"/>
                <w:sz w:val="18"/>
                <w:szCs w:val="18"/>
              </w:rPr>
            </w:pPr>
            <w:r>
              <w:rPr>
                <w:rFonts w:hint="eastAsia" w:ascii="宋体" w:hAnsi="宋体" w:cs="宋体"/>
                <w:kern w:val="0"/>
                <w:sz w:val="18"/>
                <w:szCs w:val="18"/>
              </w:rPr>
              <w:t>b、若其中一个合同含PTA行业</w:t>
            </w:r>
            <w:r>
              <w:rPr>
                <w:rFonts w:hint="eastAsia" w:ascii="宋体" w:hAnsi="宋体" w:cs="宋体"/>
                <w:kern w:val="0"/>
                <w:sz w:val="18"/>
                <w:szCs w:val="18"/>
                <w:lang w:eastAsia="zh-CN"/>
              </w:rPr>
              <w:t>项目安装、</w:t>
            </w:r>
            <w:r>
              <w:rPr>
                <w:rFonts w:hint="eastAsia" w:ascii="宋体" w:hAnsi="宋体" w:cs="宋体"/>
                <w:kern w:val="0"/>
                <w:sz w:val="18"/>
                <w:szCs w:val="18"/>
              </w:rPr>
              <w:t>维修业绩</w:t>
            </w:r>
            <w:r>
              <w:rPr>
                <w:rFonts w:hint="eastAsia" w:ascii="宋体" w:hAnsi="宋体" w:cs="宋体"/>
                <w:kern w:val="0"/>
                <w:sz w:val="18"/>
                <w:szCs w:val="18"/>
                <w:lang w:eastAsia="zh-CN"/>
              </w:rPr>
              <w:t>等</w:t>
            </w:r>
            <w:r>
              <w:rPr>
                <w:rFonts w:hint="eastAsia" w:ascii="宋体" w:hAnsi="宋体" w:cs="宋体"/>
                <w:kern w:val="0"/>
                <w:sz w:val="18"/>
                <w:szCs w:val="18"/>
              </w:rPr>
              <w:t>加</w:t>
            </w:r>
            <w:r>
              <w:rPr>
                <w:rFonts w:ascii="宋体" w:hAnsi="宋体" w:cs="宋体"/>
                <w:kern w:val="0"/>
                <w:sz w:val="18"/>
                <w:szCs w:val="18"/>
              </w:rPr>
              <w:t>4</w:t>
            </w:r>
            <w:r>
              <w:rPr>
                <w:rFonts w:hint="eastAsia" w:ascii="宋体" w:hAnsi="宋体" w:cs="宋体"/>
                <w:kern w:val="0"/>
                <w:sz w:val="18"/>
                <w:szCs w:val="18"/>
              </w:rPr>
              <w:t>分，最多得</w:t>
            </w:r>
            <w:r>
              <w:rPr>
                <w:rFonts w:ascii="宋体" w:hAnsi="宋体" w:cs="宋体"/>
                <w:kern w:val="0"/>
                <w:sz w:val="18"/>
                <w:szCs w:val="18"/>
              </w:rPr>
              <w:t>4</w:t>
            </w:r>
            <w:r>
              <w:rPr>
                <w:rFonts w:hint="eastAsia" w:ascii="宋体" w:hAnsi="宋体" w:cs="宋体"/>
                <w:kern w:val="0"/>
                <w:sz w:val="18"/>
                <w:szCs w:val="18"/>
              </w:rPr>
              <w:t>分。</w:t>
            </w:r>
          </w:p>
        </w:tc>
      </w:tr>
      <w:tr w14:paraId="2E4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04" w:type="dxa"/>
            <w:shd w:val="clear" w:color="auto" w:fill="auto"/>
            <w:vAlign w:val="center"/>
          </w:tcPr>
          <w:p w14:paraId="08844EED">
            <w:pPr>
              <w:widowControl/>
              <w:spacing w:line="300" w:lineRule="exact"/>
              <w:ind w:firstLine="0" w:firstLineChars="0"/>
              <w:jc w:val="center"/>
              <w:rPr>
                <w:rFonts w:ascii="宋体" w:hAnsi="宋体" w:cs="宋体"/>
                <w:kern w:val="0"/>
                <w:sz w:val="18"/>
                <w:szCs w:val="18"/>
              </w:rPr>
            </w:pPr>
            <w:r>
              <w:rPr>
                <w:rFonts w:ascii="宋体" w:hAnsi="宋体" w:cs="宋体"/>
                <w:kern w:val="0"/>
                <w:sz w:val="18"/>
                <w:szCs w:val="18"/>
              </w:rPr>
              <w:t>3</w:t>
            </w:r>
          </w:p>
        </w:tc>
        <w:tc>
          <w:tcPr>
            <w:tcW w:w="2126" w:type="dxa"/>
            <w:shd w:val="clear" w:color="auto" w:fill="auto"/>
            <w:vAlign w:val="center"/>
          </w:tcPr>
          <w:p w14:paraId="711FEEF8">
            <w:pPr>
              <w:widowControl/>
              <w:spacing w:line="300" w:lineRule="exact"/>
              <w:ind w:firstLine="0" w:firstLineChars="0"/>
              <w:jc w:val="center"/>
              <w:rPr>
                <w:rFonts w:ascii="宋体" w:hAnsi="宋体" w:cs="宋体"/>
                <w:kern w:val="0"/>
                <w:sz w:val="18"/>
                <w:szCs w:val="18"/>
              </w:rPr>
            </w:pPr>
            <w:r>
              <w:rPr>
                <w:rFonts w:hint="eastAsia" w:ascii="宋体" w:hAnsi="宋体" w:cs="宋体"/>
                <w:kern w:val="0"/>
                <w:sz w:val="18"/>
                <w:szCs w:val="18"/>
              </w:rPr>
              <w:t>施工方案</w:t>
            </w:r>
          </w:p>
        </w:tc>
        <w:tc>
          <w:tcPr>
            <w:tcW w:w="851" w:type="dxa"/>
            <w:shd w:val="clear" w:color="auto" w:fill="auto"/>
            <w:noWrap/>
            <w:vAlign w:val="center"/>
          </w:tcPr>
          <w:p w14:paraId="08CD2F7F">
            <w:pPr>
              <w:widowControl/>
              <w:spacing w:line="300" w:lineRule="exact"/>
              <w:ind w:firstLine="0" w:firstLineChars="0"/>
              <w:jc w:val="center"/>
              <w:rPr>
                <w:rFonts w:hint="eastAsia" w:ascii="宋体" w:hAnsi="宋体" w:eastAsia="宋体" w:cs="宋体"/>
                <w:kern w:val="0"/>
                <w:sz w:val="18"/>
                <w:szCs w:val="18"/>
                <w:lang w:val="en-US" w:eastAsia="zh-CN"/>
              </w:rPr>
            </w:pPr>
            <w:r>
              <w:rPr>
                <w:rFonts w:ascii="宋体" w:hAnsi="宋体" w:cs="宋体"/>
                <w:kern w:val="0"/>
                <w:sz w:val="18"/>
                <w:szCs w:val="18"/>
              </w:rPr>
              <w:t>1</w:t>
            </w:r>
            <w:r>
              <w:rPr>
                <w:rFonts w:hint="eastAsia" w:ascii="宋体" w:hAnsi="宋体" w:cs="宋体"/>
                <w:kern w:val="0"/>
                <w:sz w:val="18"/>
                <w:szCs w:val="18"/>
                <w:lang w:val="en-US" w:eastAsia="zh-CN"/>
              </w:rPr>
              <w:t>5</w:t>
            </w:r>
          </w:p>
        </w:tc>
        <w:tc>
          <w:tcPr>
            <w:tcW w:w="4565" w:type="dxa"/>
            <w:shd w:val="clear" w:color="auto" w:fill="auto"/>
            <w:vAlign w:val="center"/>
          </w:tcPr>
          <w:p w14:paraId="162A0103">
            <w:pPr>
              <w:widowControl/>
              <w:spacing w:line="300" w:lineRule="exact"/>
              <w:ind w:firstLine="0" w:firstLineChars="0"/>
              <w:rPr>
                <w:rFonts w:ascii="宋体" w:hAnsi="宋体" w:cs="宋体"/>
                <w:kern w:val="0"/>
                <w:sz w:val="18"/>
                <w:szCs w:val="18"/>
              </w:rPr>
            </w:pPr>
            <w:r>
              <w:rPr>
                <w:rFonts w:hint="eastAsia" w:ascii="宋体" w:hAnsi="宋体" w:cs="宋体"/>
                <w:kern w:val="0"/>
                <w:sz w:val="18"/>
                <w:szCs w:val="18"/>
              </w:rPr>
              <w:t>根据参选人提供的</w:t>
            </w:r>
            <w:r>
              <w:rPr>
                <w:rFonts w:hint="eastAsia" w:ascii="宋体" w:hAnsi="宋体" w:cs="宋体"/>
                <w:kern w:val="0"/>
                <w:sz w:val="18"/>
                <w:szCs w:val="18"/>
                <w:lang w:eastAsia="zh-CN"/>
              </w:rPr>
              <w:t>项目施工</w:t>
            </w:r>
            <w:r>
              <w:rPr>
                <w:rFonts w:hint="eastAsia" w:ascii="宋体" w:hAnsi="宋体" w:cs="宋体"/>
                <w:kern w:val="0"/>
                <w:sz w:val="18"/>
                <w:szCs w:val="18"/>
              </w:rPr>
              <w:t>方案横向比较进行综合评定（如：</w:t>
            </w:r>
            <w:r>
              <w:rPr>
                <w:rFonts w:hint="eastAsia" w:ascii="宋体" w:hAnsi="宋体" w:cs="宋体"/>
                <w:kern w:val="0"/>
                <w:sz w:val="18"/>
                <w:szCs w:val="18"/>
                <w:lang w:eastAsia="zh-CN"/>
              </w:rPr>
              <w:t>项目</w:t>
            </w:r>
            <w:r>
              <w:rPr>
                <w:rFonts w:hint="eastAsia" w:ascii="宋体" w:hAnsi="宋体" w:cs="宋体"/>
                <w:kern w:val="0"/>
                <w:sz w:val="18"/>
                <w:szCs w:val="18"/>
              </w:rPr>
              <w:t>施工程序、施工图及技术要求、</w:t>
            </w:r>
            <w:r>
              <w:rPr>
                <w:rFonts w:hint="eastAsia" w:ascii="宋体" w:hAnsi="宋体" w:cs="宋体"/>
                <w:kern w:val="0"/>
                <w:sz w:val="18"/>
                <w:szCs w:val="18"/>
                <w:lang w:eastAsia="zh-CN"/>
              </w:rPr>
              <w:t>项目</w:t>
            </w:r>
            <w:r>
              <w:rPr>
                <w:rFonts w:hint="eastAsia" w:ascii="宋体" w:hAnsi="宋体" w:cs="宋体"/>
                <w:kern w:val="0"/>
                <w:sz w:val="18"/>
                <w:szCs w:val="18"/>
              </w:rPr>
              <w:t>施工进度管控、施工质量管控、</w:t>
            </w:r>
            <w:r>
              <w:rPr>
                <w:rFonts w:hint="eastAsia" w:ascii="宋体" w:hAnsi="宋体" w:cs="宋体"/>
                <w:kern w:val="0"/>
                <w:sz w:val="18"/>
                <w:szCs w:val="18"/>
                <w:lang w:eastAsia="zh-CN"/>
              </w:rPr>
              <w:t>项目</w:t>
            </w:r>
            <w:r>
              <w:rPr>
                <w:rFonts w:hint="eastAsia" w:ascii="宋体" w:hAnsi="宋体" w:cs="宋体"/>
                <w:kern w:val="0"/>
                <w:sz w:val="18"/>
                <w:szCs w:val="18"/>
              </w:rPr>
              <w:t>施工作业HSE策划、安全管控等），并在0-1</w:t>
            </w:r>
            <w:r>
              <w:rPr>
                <w:rFonts w:hint="eastAsia" w:ascii="宋体" w:hAnsi="宋体" w:cs="宋体"/>
                <w:kern w:val="0"/>
                <w:sz w:val="18"/>
                <w:szCs w:val="18"/>
                <w:lang w:val="en-US" w:eastAsia="zh-CN"/>
              </w:rPr>
              <w:t>5</w:t>
            </w:r>
            <w:r>
              <w:rPr>
                <w:rFonts w:hint="eastAsia" w:ascii="宋体" w:hAnsi="宋体" w:cs="宋体"/>
                <w:kern w:val="0"/>
                <w:sz w:val="18"/>
                <w:szCs w:val="18"/>
              </w:rPr>
              <w:t>分之间进行评分。</w:t>
            </w:r>
          </w:p>
        </w:tc>
      </w:tr>
      <w:tr w14:paraId="3E68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04" w:type="dxa"/>
            <w:shd w:val="clear" w:color="auto" w:fill="auto"/>
            <w:vAlign w:val="center"/>
          </w:tcPr>
          <w:p w14:paraId="765F32FF">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二</w:t>
            </w:r>
          </w:p>
        </w:tc>
        <w:tc>
          <w:tcPr>
            <w:tcW w:w="7542" w:type="dxa"/>
            <w:gridSpan w:val="3"/>
            <w:shd w:val="clear" w:color="auto" w:fill="auto"/>
            <w:vAlign w:val="center"/>
          </w:tcPr>
          <w:p w14:paraId="4CC31AC6">
            <w:pPr>
              <w:widowControl/>
              <w:spacing w:line="300" w:lineRule="exact"/>
              <w:ind w:firstLine="0" w:firstLineChars="0"/>
              <w:rPr>
                <w:rFonts w:ascii="宋体" w:hAnsi="宋体" w:cs="宋体"/>
                <w:kern w:val="0"/>
                <w:sz w:val="21"/>
              </w:rPr>
            </w:pPr>
            <w:r>
              <w:rPr>
                <w:rFonts w:hint="eastAsia" w:ascii="宋体" w:hAnsi="宋体" w:cs="宋体"/>
                <w:b/>
                <w:kern w:val="0"/>
                <w:sz w:val="21"/>
              </w:rPr>
              <w:t>商务标（满分</w:t>
            </w:r>
            <w:r>
              <w:rPr>
                <w:rFonts w:hint="eastAsia" w:ascii="宋体" w:hAnsi="宋体" w:cs="宋体"/>
                <w:b/>
                <w:kern w:val="0"/>
                <w:sz w:val="21"/>
                <w:lang w:val="en-US" w:eastAsia="zh-CN"/>
              </w:rPr>
              <w:t>7</w:t>
            </w:r>
            <w:r>
              <w:rPr>
                <w:rFonts w:hint="eastAsia" w:ascii="宋体" w:hAnsi="宋体" w:cs="宋体"/>
                <w:b/>
                <w:kern w:val="0"/>
                <w:sz w:val="21"/>
              </w:rPr>
              <w:t>0分）</w:t>
            </w:r>
          </w:p>
        </w:tc>
      </w:tr>
      <w:tr w14:paraId="1B92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04" w:type="dxa"/>
            <w:shd w:val="clear" w:color="auto" w:fill="auto"/>
            <w:vAlign w:val="center"/>
          </w:tcPr>
          <w:p w14:paraId="677656AE">
            <w:pPr>
              <w:widowControl/>
              <w:spacing w:line="300" w:lineRule="exact"/>
              <w:ind w:firstLine="0" w:firstLineChars="0"/>
              <w:jc w:val="center"/>
              <w:rPr>
                <w:rFonts w:ascii="宋体" w:hAnsi="宋体" w:cs="宋体"/>
                <w:kern w:val="0"/>
                <w:sz w:val="21"/>
              </w:rPr>
            </w:pPr>
            <w:r>
              <w:rPr>
                <w:rFonts w:hint="eastAsia" w:ascii="宋体" w:hAnsi="宋体" w:cs="宋体"/>
                <w:kern w:val="0"/>
                <w:sz w:val="21"/>
              </w:rPr>
              <w:t>1</w:t>
            </w:r>
          </w:p>
        </w:tc>
        <w:tc>
          <w:tcPr>
            <w:tcW w:w="2126" w:type="dxa"/>
            <w:shd w:val="clear" w:color="auto" w:fill="auto"/>
            <w:vAlign w:val="center"/>
          </w:tcPr>
          <w:p w14:paraId="6AFFAF24">
            <w:pPr>
              <w:widowControl/>
              <w:spacing w:line="300" w:lineRule="exact"/>
              <w:ind w:firstLine="0" w:firstLineChars="0"/>
              <w:rPr>
                <w:rFonts w:ascii="宋体" w:hAnsi="宋体" w:cs="宋体"/>
                <w:kern w:val="0"/>
                <w:sz w:val="21"/>
              </w:rPr>
            </w:pPr>
            <w:r>
              <w:rPr>
                <w:rFonts w:hint="eastAsia" w:ascii="宋体" w:hAnsi="宋体" w:cs="宋体"/>
                <w:kern w:val="0"/>
                <w:sz w:val="21"/>
              </w:rPr>
              <w:t>系统更新报价单</w:t>
            </w:r>
          </w:p>
        </w:tc>
        <w:tc>
          <w:tcPr>
            <w:tcW w:w="851" w:type="dxa"/>
            <w:shd w:val="clear" w:color="auto" w:fill="auto"/>
            <w:noWrap/>
            <w:vAlign w:val="center"/>
          </w:tcPr>
          <w:p w14:paraId="567A1C99">
            <w:pPr>
              <w:spacing w:line="300" w:lineRule="exact"/>
              <w:ind w:firstLine="0" w:firstLineChars="0"/>
              <w:jc w:val="center"/>
              <w:rPr>
                <w:rFonts w:ascii="宋体" w:hAnsi="宋体" w:cs="宋体"/>
                <w:sz w:val="22"/>
                <w:szCs w:val="22"/>
              </w:rPr>
            </w:pPr>
            <w:r>
              <w:rPr>
                <w:rFonts w:ascii="宋体" w:hAnsi="宋体" w:cs="宋体"/>
                <w:sz w:val="22"/>
                <w:szCs w:val="22"/>
              </w:rPr>
              <w:t>7</w:t>
            </w:r>
            <w:r>
              <w:rPr>
                <w:rFonts w:hint="eastAsia" w:ascii="宋体" w:hAnsi="宋体" w:cs="宋体"/>
                <w:sz w:val="22"/>
                <w:szCs w:val="22"/>
              </w:rPr>
              <w:t>0</w:t>
            </w:r>
          </w:p>
        </w:tc>
        <w:tc>
          <w:tcPr>
            <w:tcW w:w="4565" w:type="dxa"/>
            <w:shd w:val="clear" w:color="auto" w:fill="auto"/>
            <w:vAlign w:val="center"/>
          </w:tcPr>
          <w:p w14:paraId="5BECB692">
            <w:pPr>
              <w:widowControl/>
              <w:spacing w:line="300" w:lineRule="exact"/>
              <w:ind w:firstLine="0" w:firstLineChars="0"/>
              <w:rPr>
                <w:rFonts w:ascii="宋体" w:hAnsi="宋体"/>
                <w:sz w:val="18"/>
                <w:szCs w:val="18"/>
              </w:rPr>
            </w:pPr>
            <w:r>
              <w:rPr>
                <w:rFonts w:hint="eastAsia" w:ascii="宋体" w:hAnsi="宋体"/>
                <w:sz w:val="18"/>
                <w:szCs w:val="18"/>
              </w:rPr>
              <w:t>A=（a1+a2+……+an）/N</w:t>
            </w:r>
          </w:p>
          <w:p w14:paraId="527687FA">
            <w:pPr>
              <w:widowControl/>
              <w:spacing w:line="300" w:lineRule="exact"/>
              <w:ind w:firstLine="0" w:firstLineChars="0"/>
              <w:rPr>
                <w:rFonts w:ascii="宋体" w:hAnsi="宋体"/>
                <w:sz w:val="18"/>
                <w:szCs w:val="18"/>
              </w:rPr>
            </w:pPr>
            <w:r>
              <w:rPr>
                <w:rFonts w:hint="eastAsia" w:ascii="宋体" w:hAnsi="宋体"/>
                <w:sz w:val="18"/>
                <w:szCs w:val="18"/>
              </w:rPr>
              <w:t>注：A=评标基准价 a=有效投标价 N=有效投标人的数</w:t>
            </w:r>
          </w:p>
          <w:p w14:paraId="13B486B8">
            <w:pPr>
              <w:widowControl/>
              <w:spacing w:line="300" w:lineRule="exact"/>
              <w:ind w:firstLine="0" w:firstLineChars="0"/>
              <w:rPr>
                <w:rFonts w:ascii="宋体" w:hAnsi="宋体"/>
                <w:sz w:val="18"/>
                <w:szCs w:val="18"/>
              </w:rPr>
            </w:pPr>
            <w:r>
              <w:rPr>
                <w:rFonts w:hint="eastAsia" w:ascii="宋体" w:hAnsi="宋体"/>
                <w:sz w:val="18"/>
                <w:szCs w:val="18"/>
              </w:rPr>
              <w:t>计算得分：</w:t>
            </w:r>
            <w:r>
              <w:rPr>
                <w:rFonts w:ascii="宋体" w:hAnsi="宋体"/>
                <w:sz w:val="18"/>
                <w:szCs w:val="18"/>
              </w:rPr>
              <w:t>7</w:t>
            </w:r>
            <w:r>
              <w:rPr>
                <w:rFonts w:hint="eastAsia" w:ascii="宋体" w:hAnsi="宋体"/>
                <w:sz w:val="18"/>
                <w:szCs w:val="18"/>
              </w:rPr>
              <w:t>0-（|有效报价-评标基准价|÷评标基准价×100×Q）</w:t>
            </w:r>
          </w:p>
          <w:p w14:paraId="0A6B6506">
            <w:pPr>
              <w:pStyle w:val="26"/>
              <w:widowControl/>
              <w:numPr>
                <w:ilvl w:val="0"/>
                <w:numId w:val="24"/>
              </w:numPr>
              <w:spacing w:line="300" w:lineRule="exact"/>
              <w:ind w:firstLineChars="0"/>
              <w:rPr>
                <w:rFonts w:ascii="宋体" w:hAnsi="宋体"/>
                <w:sz w:val="18"/>
                <w:szCs w:val="18"/>
              </w:rPr>
            </w:pPr>
            <w:r>
              <w:rPr>
                <w:rFonts w:hint="eastAsia" w:ascii="宋体" w:hAnsi="宋体"/>
                <w:sz w:val="18"/>
                <w:szCs w:val="18"/>
              </w:rPr>
              <w:t>当a&gt;A时，Q=1；当a&lt;A时，Q=0.5；</w:t>
            </w:r>
          </w:p>
          <w:p w14:paraId="2785DD2F">
            <w:pPr>
              <w:widowControl/>
              <w:spacing w:line="300" w:lineRule="exact"/>
              <w:ind w:firstLine="0" w:firstLineChars="0"/>
              <w:rPr>
                <w:rFonts w:ascii="宋体" w:hAnsi="宋体" w:cs="宋体"/>
                <w:kern w:val="0"/>
                <w:sz w:val="21"/>
              </w:rPr>
            </w:pPr>
            <w:r>
              <w:rPr>
                <w:rFonts w:hint="eastAsia" w:ascii="宋体" w:hAnsi="宋体"/>
                <w:sz w:val="18"/>
                <w:szCs w:val="18"/>
              </w:rPr>
              <w:t>②计算分数时四舍五入取小数点后两位</w:t>
            </w:r>
          </w:p>
        </w:tc>
      </w:tr>
    </w:tbl>
    <w:p w14:paraId="0AD6E1FE">
      <w:pPr>
        <w:spacing w:line="400" w:lineRule="exact"/>
        <w:ind w:firstLine="480"/>
      </w:pPr>
      <w:r>
        <w:rPr>
          <w:rFonts w:hint="eastAsia"/>
        </w:rPr>
        <w:t>以上投标报价不完整的，超过最高限价的，均视为无效投标。</w:t>
      </w:r>
    </w:p>
    <w:p w14:paraId="3ABB0771">
      <w:pPr>
        <w:pStyle w:val="2"/>
        <w:spacing w:line="400" w:lineRule="exact"/>
        <w:ind w:left="0"/>
      </w:pPr>
      <w:bookmarkStart w:id="8" w:name="_Toc156403244"/>
      <w:r>
        <w:rPr>
          <w:rFonts w:hint="eastAsia"/>
        </w:rPr>
        <w:t>HSE管理</w:t>
      </w:r>
      <w:bookmarkEnd w:id="8"/>
    </w:p>
    <w:p w14:paraId="7BA93335">
      <w:pPr>
        <w:spacing w:line="400" w:lineRule="exact"/>
        <w:ind w:firstLine="482"/>
        <w:rPr>
          <w:b/>
        </w:rPr>
      </w:pPr>
      <w:r>
        <w:rPr>
          <w:rFonts w:hint="eastAsia"/>
          <w:b/>
        </w:rPr>
        <w:t>事故处罚：</w:t>
      </w:r>
    </w:p>
    <w:p w14:paraId="7FB08BBB">
      <w:pPr>
        <w:pStyle w:val="26"/>
        <w:numPr>
          <w:ilvl w:val="0"/>
          <w:numId w:val="25"/>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因承包人原因，造成福海创《事故等级划分》中的事件（未遂事故）。承包人按直接损失赔偿发包人外，另扣款</w:t>
      </w:r>
      <w:r>
        <w:rPr>
          <w:rFonts w:asciiTheme="minorEastAsia" w:hAnsiTheme="minorEastAsia" w:eastAsiaTheme="minorEastAsia"/>
        </w:rPr>
        <w:t>5000</w:t>
      </w:r>
      <w:r>
        <w:rPr>
          <w:rFonts w:hint="eastAsia" w:asciiTheme="minorEastAsia" w:hAnsiTheme="minorEastAsia" w:eastAsiaTheme="minorEastAsia"/>
        </w:rPr>
        <w:t>元</w:t>
      </w:r>
      <w:r>
        <w:rPr>
          <w:rFonts w:asciiTheme="minorEastAsia" w:hAnsiTheme="minorEastAsia" w:eastAsiaTheme="minorEastAsia"/>
        </w:rPr>
        <w:t>/</w:t>
      </w:r>
      <w:r>
        <w:rPr>
          <w:rFonts w:hint="eastAsia" w:asciiTheme="minorEastAsia" w:hAnsiTheme="minorEastAsia" w:eastAsiaTheme="minorEastAsia"/>
        </w:rPr>
        <w:t>次。</w:t>
      </w:r>
    </w:p>
    <w:p w14:paraId="3F3461C7">
      <w:pPr>
        <w:pStyle w:val="26"/>
        <w:numPr>
          <w:ilvl w:val="0"/>
          <w:numId w:val="25"/>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因承包人原因，造成福海创《事故等级划分》中的１级事故。承包人按直接损失赔偿发包人外，另扣款</w:t>
      </w:r>
      <w:r>
        <w:rPr>
          <w:rFonts w:asciiTheme="minorEastAsia" w:hAnsiTheme="minorEastAsia" w:eastAsiaTheme="minorEastAsia"/>
        </w:rPr>
        <w:t>10000</w:t>
      </w:r>
      <w:r>
        <w:rPr>
          <w:rFonts w:hint="eastAsia" w:asciiTheme="minorEastAsia" w:hAnsiTheme="minorEastAsia" w:eastAsiaTheme="minorEastAsia"/>
        </w:rPr>
        <w:t>元</w:t>
      </w:r>
      <w:r>
        <w:rPr>
          <w:rFonts w:asciiTheme="minorEastAsia" w:hAnsiTheme="minorEastAsia" w:eastAsiaTheme="minorEastAsia"/>
        </w:rPr>
        <w:t>/</w:t>
      </w:r>
      <w:r>
        <w:rPr>
          <w:rFonts w:hint="eastAsia" w:asciiTheme="minorEastAsia" w:hAnsiTheme="minorEastAsia" w:eastAsiaTheme="minorEastAsia"/>
        </w:rPr>
        <w:t>次。</w:t>
      </w:r>
    </w:p>
    <w:p w14:paraId="5453BFFF">
      <w:pPr>
        <w:pStyle w:val="26"/>
        <w:numPr>
          <w:ilvl w:val="0"/>
          <w:numId w:val="25"/>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因承包人原因，造成福海创《事故等级划分》中的２级事故。承包人按直接损失赔偿发包人外，另扣款</w:t>
      </w:r>
      <w:r>
        <w:rPr>
          <w:rFonts w:asciiTheme="minorEastAsia" w:hAnsiTheme="minorEastAsia" w:eastAsiaTheme="minorEastAsia"/>
        </w:rPr>
        <w:t>30000</w:t>
      </w:r>
      <w:r>
        <w:rPr>
          <w:rFonts w:hint="eastAsia" w:asciiTheme="minorEastAsia" w:hAnsiTheme="minorEastAsia" w:eastAsiaTheme="minorEastAsia"/>
        </w:rPr>
        <w:t>元</w:t>
      </w:r>
      <w:r>
        <w:rPr>
          <w:rFonts w:asciiTheme="minorEastAsia" w:hAnsiTheme="minorEastAsia" w:eastAsiaTheme="minorEastAsia"/>
        </w:rPr>
        <w:t>/</w:t>
      </w:r>
      <w:r>
        <w:rPr>
          <w:rFonts w:hint="eastAsia" w:asciiTheme="minorEastAsia" w:hAnsiTheme="minorEastAsia" w:eastAsiaTheme="minorEastAsia"/>
        </w:rPr>
        <w:t>次。</w:t>
      </w:r>
    </w:p>
    <w:p w14:paraId="3A25C5B4">
      <w:pPr>
        <w:pStyle w:val="26"/>
        <w:numPr>
          <w:ilvl w:val="0"/>
          <w:numId w:val="25"/>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因承包人原因，造成福海创《事故等级划分》中的３级事故。承包人按直接损失赔偿发包人外，另扣款</w:t>
      </w:r>
      <w:r>
        <w:rPr>
          <w:rFonts w:asciiTheme="minorEastAsia" w:hAnsiTheme="minorEastAsia" w:eastAsiaTheme="minorEastAsia"/>
        </w:rPr>
        <w:t>50000</w:t>
      </w:r>
      <w:r>
        <w:rPr>
          <w:rFonts w:hint="eastAsia" w:asciiTheme="minorEastAsia" w:hAnsiTheme="minorEastAsia" w:eastAsiaTheme="minorEastAsia"/>
        </w:rPr>
        <w:t>元</w:t>
      </w:r>
      <w:r>
        <w:rPr>
          <w:rFonts w:asciiTheme="minorEastAsia" w:hAnsiTheme="minorEastAsia" w:eastAsiaTheme="minorEastAsia"/>
        </w:rPr>
        <w:t>/</w:t>
      </w:r>
      <w:r>
        <w:rPr>
          <w:rFonts w:hint="eastAsia" w:asciiTheme="minorEastAsia" w:hAnsiTheme="minorEastAsia" w:eastAsiaTheme="minorEastAsia"/>
        </w:rPr>
        <w:t>次。</w:t>
      </w:r>
    </w:p>
    <w:p w14:paraId="31CE2876">
      <w:pPr>
        <w:pStyle w:val="26"/>
        <w:numPr>
          <w:ilvl w:val="0"/>
          <w:numId w:val="25"/>
        </w:numPr>
        <w:spacing w:line="400" w:lineRule="exact"/>
        <w:ind w:firstLineChars="0"/>
        <w:rPr>
          <w:rFonts w:asciiTheme="minorEastAsia" w:hAnsiTheme="minorEastAsia" w:eastAsiaTheme="minorEastAsia"/>
        </w:rPr>
      </w:pPr>
      <w:r>
        <w:rPr>
          <w:rFonts w:hint="eastAsia" w:asciiTheme="minorEastAsia" w:hAnsiTheme="minorEastAsia" w:eastAsiaTheme="minorEastAsia"/>
        </w:rPr>
        <w:t>因承包人原因，造成福海创《事故等级划分》中的４级事故。承包人按直接损失赔偿发包人外，终止合约，另扣款</w:t>
      </w:r>
      <w:r>
        <w:rPr>
          <w:rFonts w:asciiTheme="minorEastAsia" w:hAnsiTheme="minorEastAsia" w:eastAsiaTheme="minorEastAsia"/>
        </w:rPr>
        <w:t>80000</w:t>
      </w:r>
      <w:r>
        <w:rPr>
          <w:rFonts w:hint="eastAsia" w:asciiTheme="minorEastAsia" w:hAnsiTheme="minorEastAsia" w:eastAsiaTheme="minorEastAsia"/>
        </w:rPr>
        <w:t>元。</w:t>
      </w:r>
    </w:p>
    <w:p w14:paraId="0DDD1139">
      <w:pPr>
        <w:pStyle w:val="2"/>
        <w:spacing w:line="400" w:lineRule="exact"/>
        <w:ind w:left="0"/>
      </w:pPr>
      <w:bookmarkStart w:id="9" w:name="_Toc156403245"/>
      <w:r>
        <w:rPr>
          <w:rFonts w:hint="eastAsia"/>
        </w:rPr>
        <w:t>违约解除条款</w:t>
      </w:r>
      <w:bookmarkEnd w:id="9"/>
    </w:p>
    <w:p w14:paraId="7FB38C1A">
      <w:pPr>
        <w:spacing w:line="400" w:lineRule="exact"/>
        <w:ind w:firstLine="480"/>
      </w:pPr>
      <w:r>
        <w:rPr>
          <w:rFonts w:hint="eastAsia"/>
        </w:rPr>
        <w:t>承包人方有下列情形之一，发包人可终止或解除本合同：</w:t>
      </w:r>
    </w:p>
    <w:p w14:paraId="3D3C2869">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承包人技术服务人员、施工作业人员、机具设备不足，发包人认为不能依合同完工时。</w:t>
      </w:r>
    </w:p>
    <w:p w14:paraId="61421B57">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承包人违反本合同条款规定或发生事故不能履行合约。</w:t>
      </w:r>
    </w:p>
    <w:p w14:paraId="5ECED07F">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承包人人员有偷窃、破坏甲方财产等违章、违法行为时。</w:t>
      </w:r>
    </w:p>
    <w:p w14:paraId="23F508AC">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承包人有其他违反约定的行为3次以上。</w:t>
      </w:r>
    </w:p>
    <w:p w14:paraId="030D73AA">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承包人提供的设备、材料严重不符约定标准，经两次纠正仍达不到标准时。</w:t>
      </w:r>
    </w:p>
    <w:p w14:paraId="516BABFE">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承包人不执行合同约定的义务。</w:t>
      </w:r>
    </w:p>
    <w:p w14:paraId="6A0DBDE7">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承包人未能按时提供质保服务，给甲方或者第三方遭受人身或经济损失的。</w:t>
      </w:r>
    </w:p>
    <w:p w14:paraId="5C2104DC">
      <w:pPr>
        <w:pStyle w:val="26"/>
        <w:numPr>
          <w:ilvl w:val="0"/>
          <w:numId w:val="26"/>
        </w:numPr>
        <w:spacing w:line="400" w:lineRule="exact"/>
        <w:ind w:firstLineChars="0"/>
        <w:rPr>
          <w:rFonts w:asciiTheme="minorEastAsia" w:hAnsiTheme="minorEastAsia" w:eastAsiaTheme="minorEastAsia"/>
        </w:rPr>
      </w:pPr>
      <w:r>
        <w:rPr>
          <w:rFonts w:hint="eastAsia" w:asciiTheme="minorEastAsia" w:hAnsiTheme="minorEastAsia" w:eastAsiaTheme="minorEastAsia"/>
        </w:rPr>
        <w:t>承包人违反福海创相关管理规定。</w:t>
      </w:r>
    </w:p>
    <w:p w14:paraId="6A428D3E">
      <w:pPr>
        <w:spacing w:line="400" w:lineRule="exact"/>
        <w:ind w:firstLine="480"/>
      </w:pPr>
      <w:r>
        <w:rPr>
          <w:rFonts w:hint="eastAsia"/>
        </w:rPr>
        <w:t>承包人若因上述原因被终止或解除合约时，在福海创书面通知中止合同后，承包人必须无条件配合交接，否则造成的一切损失由承包人承担。</w:t>
      </w:r>
    </w:p>
    <w:sectPr>
      <w:footerReference r:id="rId11" w:type="default"/>
      <w:pgSz w:w="11906" w:h="16838"/>
      <w:pgMar w:top="1418" w:right="1418" w:bottom="1134"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3F80">
    <w:pPr>
      <w:pStyle w:val="12"/>
      <w:ind w:firstLine="360"/>
      <w:jc w:val="center"/>
    </w:pPr>
  </w:p>
  <w:p w14:paraId="7421D9AF">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87D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187">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778885"/>
      <w:docPartObj>
        <w:docPartGallery w:val="autotext"/>
      </w:docPartObj>
    </w:sdtPr>
    <w:sdtContent>
      <w:sdt>
        <w:sdtPr>
          <w:id w:val="1343275485"/>
          <w:docPartObj>
            <w:docPartGallery w:val="autotext"/>
          </w:docPartObj>
        </w:sdtPr>
        <w:sdtContent>
          <w:p w14:paraId="4CD8E85A">
            <w:pPr>
              <w:pStyle w:val="12"/>
              <w:ind w:firstLine="360"/>
              <w:jc w:val="center"/>
            </w:pPr>
            <w:r>
              <w:rPr>
                <w:sz w:val="24"/>
                <w:szCs w:val="24"/>
                <w:lang w:val="zh-CN"/>
              </w:rPr>
              <w:t xml:space="preserv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5</w:t>
            </w:r>
            <w:r>
              <w:rPr>
                <w:b/>
                <w:bCs/>
                <w:sz w:val="24"/>
                <w:szCs w:val="24"/>
              </w:rPr>
              <w:fldChar w:fldCharType="end"/>
            </w:r>
            <w:r>
              <w:rPr>
                <w:sz w:val="24"/>
                <w:szCs w:val="24"/>
                <w:lang w:val="zh-CN"/>
              </w:rPr>
              <w:t xml:space="preserve"> / </w:t>
            </w:r>
            <w:r>
              <w:fldChar w:fldCharType="begin"/>
            </w:r>
            <w:r>
              <w:instrText xml:space="preserve"> SECTIONPAGES   \* MERGEFORMAT </w:instrText>
            </w:r>
            <w:r>
              <w:fldChar w:fldCharType="separate"/>
            </w:r>
            <w:r>
              <w:rPr>
                <w:b/>
                <w:bCs/>
                <w:sz w:val="24"/>
                <w:szCs w:val="24"/>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8236">
    <w:pPr>
      <w:pStyle w:val="13"/>
      <w:pBdr>
        <w:bottom w:val="single" w:color="auto" w:sz="6" w:space="12"/>
      </w:pBdr>
      <w:ind w:firstLine="881"/>
    </w:pPr>
    <w:r>
      <w:rPr>
        <w:rFonts w:ascii="华文宋体" w:hAnsi="华文宋体" w:eastAsia="华文宋体"/>
        <w:b/>
        <w:position w:val="30"/>
        <w:sz w:val="44"/>
        <w:szCs w:val="44"/>
      </w:rPr>
      <w:drawing>
        <wp:anchor distT="0" distB="0" distL="114300" distR="114300" simplePos="0" relativeHeight="251660288" behindDoc="0" locked="0" layoutInCell="1" allowOverlap="1">
          <wp:simplePos x="0" y="0"/>
          <wp:positionH relativeFrom="margin">
            <wp:align>center</wp:align>
          </wp:positionH>
          <wp:positionV relativeFrom="paragraph">
            <wp:posOffset>-183515</wp:posOffset>
          </wp:positionV>
          <wp:extent cx="4866640" cy="489585"/>
          <wp:effectExtent l="0" t="0" r="0" b="5715"/>
          <wp:wrapNone/>
          <wp:docPr id="1" name="图片 7" descr="D:\福海创\福化LOGO\VIS视觉识别系统导入\附件3：福海创新版logo透明格式\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D:\福海创\福化LOGO\VIS视觉识别系统导入\附件3：福海创新版logo透明格式\彩横全_福海创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866640" cy="4896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D7A1">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F192">
    <w:pPr>
      <w:pStyle w:val="13"/>
      <w:pBdr>
        <w:bottom w:val="single" w:color="auto" w:sz="6" w:space="12"/>
      </w:pBdr>
      <w:ind w:firstLine="881"/>
      <w:jc w:val="both"/>
    </w:pPr>
    <w:r>
      <w:rPr>
        <w:rFonts w:ascii="华文宋体" w:hAnsi="华文宋体" w:eastAsia="华文宋体"/>
        <w:b/>
        <w:position w:val="30"/>
        <w:sz w:val="44"/>
        <w:szCs w:val="44"/>
      </w:rPr>
      <w:drawing>
        <wp:anchor distT="0" distB="0" distL="114300" distR="114300" simplePos="0" relativeHeight="251659264" behindDoc="0" locked="0" layoutInCell="1" allowOverlap="1">
          <wp:simplePos x="0" y="0"/>
          <wp:positionH relativeFrom="margin">
            <wp:align>center</wp:align>
          </wp:positionH>
          <wp:positionV relativeFrom="paragraph">
            <wp:posOffset>-227965</wp:posOffset>
          </wp:positionV>
          <wp:extent cx="4866640" cy="489585"/>
          <wp:effectExtent l="0" t="0" r="0" b="5715"/>
          <wp:wrapNone/>
          <wp:docPr id="2" name="图片 7" descr="D:\福海创\福化LOGO\VIS视觉识别系统导入\附件3：福海创新版logo透明格式\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福海创\福化LOGO\VIS视觉识别系统导入\附件3：福海创新版logo透明格式\彩横全_福海创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866640" cy="489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003F5"/>
    <w:multiLevelType w:val="multilevel"/>
    <w:tmpl w:val="011003F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C3117F"/>
    <w:multiLevelType w:val="multilevel"/>
    <w:tmpl w:val="02C3117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312C0C"/>
    <w:multiLevelType w:val="multilevel"/>
    <w:tmpl w:val="03312C0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3C66629"/>
    <w:multiLevelType w:val="multilevel"/>
    <w:tmpl w:val="03C6662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E021304"/>
    <w:multiLevelType w:val="multilevel"/>
    <w:tmpl w:val="0E0213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E352E7A"/>
    <w:multiLevelType w:val="multilevel"/>
    <w:tmpl w:val="0E352E7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6FF61AA"/>
    <w:multiLevelType w:val="multilevel"/>
    <w:tmpl w:val="16FF6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2F7528"/>
    <w:multiLevelType w:val="multilevel"/>
    <w:tmpl w:val="1C2F75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D91551"/>
    <w:multiLevelType w:val="multilevel"/>
    <w:tmpl w:val="22D91551"/>
    <w:lvl w:ilvl="0" w:tentative="0">
      <w:start w:val="1"/>
      <w:numFmt w:val="decimal"/>
      <w:pStyle w:val="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FF347C"/>
    <w:multiLevelType w:val="multilevel"/>
    <w:tmpl w:val="23FF347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5335B74"/>
    <w:multiLevelType w:val="multilevel"/>
    <w:tmpl w:val="25335B7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5735E3C"/>
    <w:multiLevelType w:val="multilevel"/>
    <w:tmpl w:val="25735E3C"/>
    <w:lvl w:ilvl="0" w:tentative="0">
      <w:start w:val="1"/>
      <w:numFmt w:val="decimal"/>
      <w:pStyle w:val="4"/>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221D04"/>
    <w:multiLevelType w:val="multilevel"/>
    <w:tmpl w:val="26221D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09204DD"/>
    <w:multiLevelType w:val="multilevel"/>
    <w:tmpl w:val="309204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772A91"/>
    <w:multiLevelType w:val="multilevel"/>
    <w:tmpl w:val="36772A91"/>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B320BC"/>
    <w:multiLevelType w:val="multilevel"/>
    <w:tmpl w:val="45B320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DC547A"/>
    <w:multiLevelType w:val="multilevel"/>
    <w:tmpl w:val="53DC547A"/>
    <w:lvl w:ilvl="0" w:tentative="0">
      <w:start w:val="1"/>
      <w:numFmt w:val="chineseCountingThousand"/>
      <w:pStyle w:val="2"/>
      <w:lvlText w:val="%1、"/>
      <w:lvlJc w:val="left"/>
      <w:pPr>
        <w:ind w:left="845" w:hanging="420"/>
      </w:pPr>
      <w:rPr>
        <w:b w:val="0"/>
        <w:bCs w:val="0"/>
        <w:i w:val="0"/>
        <w:iCs w:val="0"/>
        <w:caps w:val="0"/>
        <w:smallCaps w:val="0"/>
        <w:strike w:val="0"/>
        <w:dstrike w:val="0"/>
        <w:vanish w:val="0"/>
        <w:color w:val="000000"/>
        <w:spacing w:val="0"/>
        <w:position w:val="0"/>
        <w:u w:val="none"/>
        <w:vertAlign w:val="baseline"/>
        <w:lang w:val="en-US"/>
      </w:rPr>
    </w:lvl>
    <w:lvl w:ilvl="1" w:tentative="0">
      <w:start w:val="1"/>
      <w:numFmt w:val="decimal"/>
      <w:pStyle w:val="3"/>
      <w:lvlText w:val="%1.%2."/>
      <w:lvlJc w:val="left"/>
      <w:pPr>
        <w:ind w:left="567" w:hanging="567"/>
      </w:pPr>
      <w:rPr>
        <w:rFonts w:hint="eastAsia"/>
      </w:rPr>
    </w:lvl>
    <w:lvl w:ilvl="2" w:tentative="0">
      <w:start w:val="1"/>
      <w:numFmt w:val="decimal"/>
      <w:lvlText w:val="%1.%2.%3."/>
      <w:lvlJc w:val="left"/>
      <w:pPr>
        <w:ind w:left="7372" w:hanging="709"/>
      </w:pPr>
      <w:rPr>
        <w:rFonts w:hint="eastAsia"/>
        <w:lang w:val="en-U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55A437DC"/>
    <w:multiLevelType w:val="multilevel"/>
    <w:tmpl w:val="55A437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7F405F3"/>
    <w:multiLevelType w:val="multilevel"/>
    <w:tmpl w:val="57F405F3"/>
    <w:lvl w:ilvl="0" w:tentative="0">
      <w:start w:val="1"/>
      <w:numFmt w:val="decimal"/>
      <w:lvlText w:val="%1、"/>
      <w:lvlJc w:val="left"/>
      <w:pPr>
        <w:ind w:left="840" w:hanging="420"/>
      </w:pPr>
      <w:rPr>
        <w:rFonts w:hint="eastAsia"/>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4000EC6"/>
    <w:multiLevelType w:val="multilevel"/>
    <w:tmpl w:val="64000E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4973C1"/>
    <w:multiLevelType w:val="multilevel"/>
    <w:tmpl w:val="654973C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D372F37"/>
    <w:multiLevelType w:val="multilevel"/>
    <w:tmpl w:val="6D372F3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3316019"/>
    <w:multiLevelType w:val="multilevel"/>
    <w:tmpl w:val="7331601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707247F"/>
    <w:multiLevelType w:val="multilevel"/>
    <w:tmpl w:val="7707247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71540F6"/>
    <w:multiLevelType w:val="multilevel"/>
    <w:tmpl w:val="771540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987748F"/>
    <w:multiLevelType w:val="multilevel"/>
    <w:tmpl w:val="798774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1"/>
  </w:num>
  <w:num w:numId="3">
    <w:abstractNumId w:val="8"/>
  </w:num>
  <w:num w:numId="4">
    <w:abstractNumId w:val="1"/>
  </w:num>
  <w:num w:numId="5">
    <w:abstractNumId w:val="12"/>
  </w:num>
  <w:num w:numId="6">
    <w:abstractNumId w:val="4"/>
  </w:num>
  <w:num w:numId="7">
    <w:abstractNumId w:val="23"/>
  </w:num>
  <w:num w:numId="8">
    <w:abstractNumId w:val="21"/>
  </w:num>
  <w:num w:numId="9">
    <w:abstractNumId w:val="9"/>
  </w:num>
  <w:num w:numId="10">
    <w:abstractNumId w:val="25"/>
  </w:num>
  <w:num w:numId="11">
    <w:abstractNumId w:val="15"/>
  </w:num>
  <w:num w:numId="12">
    <w:abstractNumId w:val="24"/>
  </w:num>
  <w:num w:numId="13">
    <w:abstractNumId w:val="13"/>
  </w:num>
  <w:num w:numId="14">
    <w:abstractNumId w:val="17"/>
  </w:num>
  <w:num w:numId="15">
    <w:abstractNumId w:val="19"/>
  </w:num>
  <w:num w:numId="16">
    <w:abstractNumId w:val="3"/>
  </w:num>
  <w:num w:numId="17">
    <w:abstractNumId w:val="7"/>
  </w:num>
  <w:num w:numId="18">
    <w:abstractNumId w:val="20"/>
  </w:num>
  <w:num w:numId="19">
    <w:abstractNumId w:val="10"/>
  </w:num>
  <w:num w:numId="20">
    <w:abstractNumId w:val="5"/>
  </w:num>
  <w:num w:numId="21">
    <w:abstractNumId w:val="2"/>
  </w:num>
  <w:num w:numId="22">
    <w:abstractNumId w:val="18"/>
  </w:num>
  <w:num w:numId="23">
    <w:abstractNumId w:val="6"/>
  </w:num>
  <w:num w:numId="24">
    <w:abstractNumId w:val="1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zZhMzdmZWQyZThlOTFiMDdkYzY0MTNkNGJhZjcifQ=="/>
  </w:docVars>
  <w:rsids>
    <w:rsidRoot w:val="00BF2C40"/>
    <w:rsid w:val="00000B6F"/>
    <w:rsid w:val="00003D80"/>
    <w:rsid w:val="00006206"/>
    <w:rsid w:val="00007964"/>
    <w:rsid w:val="000108B2"/>
    <w:rsid w:val="00011D53"/>
    <w:rsid w:val="00013407"/>
    <w:rsid w:val="00013B98"/>
    <w:rsid w:val="000202A2"/>
    <w:rsid w:val="000209EA"/>
    <w:rsid w:val="000218D6"/>
    <w:rsid w:val="00022240"/>
    <w:rsid w:val="000224A7"/>
    <w:rsid w:val="00023604"/>
    <w:rsid w:val="000243FF"/>
    <w:rsid w:val="0002491B"/>
    <w:rsid w:val="000261ED"/>
    <w:rsid w:val="00027CAF"/>
    <w:rsid w:val="00027E18"/>
    <w:rsid w:val="00034EA4"/>
    <w:rsid w:val="00036FA4"/>
    <w:rsid w:val="00041064"/>
    <w:rsid w:val="00041250"/>
    <w:rsid w:val="00044AD7"/>
    <w:rsid w:val="00050814"/>
    <w:rsid w:val="0005209F"/>
    <w:rsid w:val="000536A4"/>
    <w:rsid w:val="00054BB7"/>
    <w:rsid w:val="00061074"/>
    <w:rsid w:val="0006108F"/>
    <w:rsid w:val="00061146"/>
    <w:rsid w:val="0006681C"/>
    <w:rsid w:val="000735FC"/>
    <w:rsid w:val="000741DD"/>
    <w:rsid w:val="00074641"/>
    <w:rsid w:val="00074FD0"/>
    <w:rsid w:val="00075A36"/>
    <w:rsid w:val="00075AAF"/>
    <w:rsid w:val="0008303D"/>
    <w:rsid w:val="00085044"/>
    <w:rsid w:val="0008505C"/>
    <w:rsid w:val="00086783"/>
    <w:rsid w:val="000916E5"/>
    <w:rsid w:val="00092AA3"/>
    <w:rsid w:val="00093236"/>
    <w:rsid w:val="00093439"/>
    <w:rsid w:val="0009351A"/>
    <w:rsid w:val="00097223"/>
    <w:rsid w:val="000977AA"/>
    <w:rsid w:val="000A0A20"/>
    <w:rsid w:val="000A0F9C"/>
    <w:rsid w:val="000A22C1"/>
    <w:rsid w:val="000A2FAD"/>
    <w:rsid w:val="000A73CD"/>
    <w:rsid w:val="000B04B3"/>
    <w:rsid w:val="000B0E39"/>
    <w:rsid w:val="000B1D71"/>
    <w:rsid w:val="000B255B"/>
    <w:rsid w:val="000B3D5E"/>
    <w:rsid w:val="000B5378"/>
    <w:rsid w:val="000B5830"/>
    <w:rsid w:val="000B7509"/>
    <w:rsid w:val="000B78DA"/>
    <w:rsid w:val="000C042F"/>
    <w:rsid w:val="000C26A6"/>
    <w:rsid w:val="000C3822"/>
    <w:rsid w:val="000D42D7"/>
    <w:rsid w:val="000D4321"/>
    <w:rsid w:val="000D79FA"/>
    <w:rsid w:val="000E1466"/>
    <w:rsid w:val="000E440C"/>
    <w:rsid w:val="000E48AF"/>
    <w:rsid w:val="000E74E8"/>
    <w:rsid w:val="000F0B65"/>
    <w:rsid w:val="000F0E7B"/>
    <w:rsid w:val="000F4519"/>
    <w:rsid w:val="000F6450"/>
    <w:rsid w:val="000F6607"/>
    <w:rsid w:val="000F68B3"/>
    <w:rsid w:val="00101D5A"/>
    <w:rsid w:val="00104638"/>
    <w:rsid w:val="00104D29"/>
    <w:rsid w:val="00105530"/>
    <w:rsid w:val="00106203"/>
    <w:rsid w:val="00107040"/>
    <w:rsid w:val="0010726C"/>
    <w:rsid w:val="00110C5C"/>
    <w:rsid w:val="0011475B"/>
    <w:rsid w:val="00115FB8"/>
    <w:rsid w:val="001173D4"/>
    <w:rsid w:val="001174B7"/>
    <w:rsid w:val="001179D2"/>
    <w:rsid w:val="0012177D"/>
    <w:rsid w:val="0012395F"/>
    <w:rsid w:val="00125B58"/>
    <w:rsid w:val="00125ECD"/>
    <w:rsid w:val="001279C1"/>
    <w:rsid w:val="0013255F"/>
    <w:rsid w:val="00132FD6"/>
    <w:rsid w:val="00133EAD"/>
    <w:rsid w:val="00135D85"/>
    <w:rsid w:val="00137302"/>
    <w:rsid w:val="00144219"/>
    <w:rsid w:val="00147FEC"/>
    <w:rsid w:val="001500BE"/>
    <w:rsid w:val="00153C8F"/>
    <w:rsid w:val="001557F6"/>
    <w:rsid w:val="00156713"/>
    <w:rsid w:val="00156DA2"/>
    <w:rsid w:val="00160944"/>
    <w:rsid w:val="00160CB8"/>
    <w:rsid w:val="00161B3F"/>
    <w:rsid w:val="0016290B"/>
    <w:rsid w:val="001638D1"/>
    <w:rsid w:val="00163B9A"/>
    <w:rsid w:val="00164D26"/>
    <w:rsid w:val="00165676"/>
    <w:rsid w:val="00167A9F"/>
    <w:rsid w:val="00167BA9"/>
    <w:rsid w:val="0017073E"/>
    <w:rsid w:val="00171E32"/>
    <w:rsid w:val="00177B60"/>
    <w:rsid w:val="00181092"/>
    <w:rsid w:val="001821F6"/>
    <w:rsid w:val="00182607"/>
    <w:rsid w:val="00182890"/>
    <w:rsid w:val="00182AE0"/>
    <w:rsid w:val="00183622"/>
    <w:rsid w:val="001846FD"/>
    <w:rsid w:val="00185D7A"/>
    <w:rsid w:val="00190942"/>
    <w:rsid w:val="00190A6A"/>
    <w:rsid w:val="001931E4"/>
    <w:rsid w:val="001944B0"/>
    <w:rsid w:val="001945EF"/>
    <w:rsid w:val="00194670"/>
    <w:rsid w:val="001949F1"/>
    <w:rsid w:val="00195968"/>
    <w:rsid w:val="00196C2E"/>
    <w:rsid w:val="001A02D8"/>
    <w:rsid w:val="001A1888"/>
    <w:rsid w:val="001A1B50"/>
    <w:rsid w:val="001A57B2"/>
    <w:rsid w:val="001A5F60"/>
    <w:rsid w:val="001A7A17"/>
    <w:rsid w:val="001B11EB"/>
    <w:rsid w:val="001B1E15"/>
    <w:rsid w:val="001B3AE5"/>
    <w:rsid w:val="001B53BF"/>
    <w:rsid w:val="001B5EA2"/>
    <w:rsid w:val="001B7B70"/>
    <w:rsid w:val="001C13F8"/>
    <w:rsid w:val="001C4AF3"/>
    <w:rsid w:val="001C5D3B"/>
    <w:rsid w:val="001D0225"/>
    <w:rsid w:val="001D06D9"/>
    <w:rsid w:val="001D382C"/>
    <w:rsid w:val="001D5679"/>
    <w:rsid w:val="001D5C9A"/>
    <w:rsid w:val="001D79F3"/>
    <w:rsid w:val="001E03FD"/>
    <w:rsid w:val="001E115C"/>
    <w:rsid w:val="001E2B21"/>
    <w:rsid w:val="001E4886"/>
    <w:rsid w:val="001E5B04"/>
    <w:rsid w:val="001E6691"/>
    <w:rsid w:val="001E72E9"/>
    <w:rsid w:val="001E7E40"/>
    <w:rsid w:val="001F03D4"/>
    <w:rsid w:val="001F1FCD"/>
    <w:rsid w:val="001F4FB5"/>
    <w:rsid w:val="001F5336"/>
    <w:rsid w:val="001F5B7A"/>
    <w:rsid w:val="001F6C4F"/>
    <w:rsid w:val="002021D2"/>
    <w:rsid w:val="00202CD6"/>
    <w:rsid w:val="0020390F"/>
    <w:rsid w:val="002048A8"/>
    <w:rsid w:val="002111F4"/>
    <w:rsid w:val="00211CD4"/>
    <w:rsid w:val="00213B89"/>
    <w:rsid w:val="00220D62"/>
    <w:rsid w:val="0022238C"/>
    <w:rsid w:val="00223EB7"/>
    <w:rsid w:val="00225720"/>
    <w:rsid w:val="00232423"/>
    <w:rsid w:val="00232AD1"/>
    <w:rsid w:val="00233073"/>
    <w:rsid w:val="00236706"/>
    <w:rsid w:val="00236A11"/>
    <w:rsid w:val="002417C7"/>
    <w:rsid w:val="0024247E"/>
    <w:rsid w:val="00243023"/>
    <w:rsid w:val="002453FD"/>
    <w:rsid w:val="002459C9"/>
    <w:rsid w:val="00245EF5"/>
    <w:rsid w:val="00253516"/>
    <w:rsid w:val="0025419F"/>
    <w:rsid w:val="00257F55"/>
    <w:rsid w:val="0026124D"/>
    <w:rsid w:val="0026166E"/>
    <w:rsid w:val="0026274C"/>
    <w:rsid w:val="00263391"/>
    <w:rsid w:val="00264C3F"/>
    <w:rsid w:val="00265892"/>
    <w:rsid w:val="00266DEA"/>
    <w:rsid w:val="0026782F"/>
    <w:rsid w:val="0027521E"/>
    <w:rsid w:val="00280238"/>
    <w:rsid w:val="00280F1D"/>
    <w:rsid w:val="0028232F"/>
    <w:rsid w:val="0028496F"/>
    <w:rsid w:val="00285B48"/>
    <w:rsid w:val="00287F6A"/>
    <w:rsid w:val="00290DDD"/>
    <w:rsid w:val="0029396B"/>
    <w:rsid w:val="002962AD"/>
    <w:rsid w:val="00297FEA"/>
    <w:rsid w:val="002A1B7D"/>
    <w:rsid w:val="002A3E66"/>
    <w:rsid w:val="002A3F46"/>
    <w:rsid w:val="002A5C61"/>
    <w:rsid w:val="002B1A2A"/>
    <w:rsid w:val="002B1CC4"/>
    <w:rsid w:val="002B26F8"/>
    <w:rsid w:val="002B2B48"/>
    <w:rsid w:val="002B57CC"/>
    <w:rsid w:val="002B78D0"/>
    <w:rsid w:val="002C1B1C"/>
    <w:rsid w:val="002C24B1"/>
    <w:rsid w:val="002C3C55"/>
    <w:rsid w:val="002C4271"/>
    <w:rsid w:val="002C74E1"/>
    <w:rsid w:val="002D13E8"/>
    <w:rsid w:val="002D3267"/>
    <w:rsid w:val="002D66E2"/>
    <w:rsid w:val="002E02E3"/>
    <w:rsid w:val="002E674E"/>
    <w:rsid w:val="002E740E"/>
    <w:rsid w:val="002E7D3C"/>
    <w:rsid w:val="002F3014"/>
    <w:rsid w:val="002F3351"/>
    <w:rsid w:val="002F734F"/>
    <w:rsid w:val="00300222"/>
    <w:rsid w:val="0030200A"/>
    <w:rsid w:val="00302CE1"/>
    <w:rsid w:val="003030A6"/>
    <w:rsid w:val="00304248"/>
    <w:rsid w:val="003044BC"/>
    <w:rsid w:val="00305972"/>
    <w:rsid w:val="00306182"/>
    <w:rsid w:val="00313962"/>
    <w:rsid w:val="00315E9A"/>
    <w:rsid w:val="00320E82"/>
    <w:rsid w:val="0032179F"/>
    <w:rsid w:val="00321CCB"/>
    <w:rsid w:val="00323276"/>
    <w:rsid w:val="003232A1"/>
    <w:rsid w:val="0032595D"/>
    <w:rsid w:val="00326788"/>
    <w:rsid w:val="003320F4"/>
    <w:rsid w:val="00336F17"/>
    <w:rsid w:val="003432F3"/>
    <w:rsid w:val="00343864"/>
    <w:rsid w:val="00347E06"/>
    <w:rsid w:val="003507F5"/>
    <w:rsid w:val="003513E8"/>
    <w:rsid w:val="003516F1"/>
    <w:rsid w:val="00353172"/>
    <w:rsid w:val="00353660"/>
    <w:rsid w:val="00357264"/>
    <w:rsid w:val="0036409A"/>
    <w:rsid w:val="003646AD"/>
    <w:rsid w:val="0036474A"/>
    <w:rsid w:val="0036640D"/>
    <w:rsid w:val="003669A5"/>
    <w:rsid w:val="0037136A"/>
    <w:rsid w:val="003733FF"/>
    <w:rsid w:val="003741F4"/>
    <w:rsid w:val="00374B48"/>
    <w:rsid w:val="00374BE1"/>
    <w:rsid w:val="00376088"/>
    <w:rsid w:val="00377427"/>
    <w:rsid w:val="00377D39"/>
    <w:rsid w:val="00382252"/>
    <w:rsid w:val="00390851"/>
    <w:rsid w:val="00390E99"/>
    <w:rsid w:val="00392258"/>
    <w:rsid w:val="0039242A"/>
    <w:rsid w:val="003942C1"/>
    <w:rsid w:val="0039515E"/>
    <w:rsid w:val="003A0190"/>
    <w:rsid w:val="003A059F"/>
    <w:rsid w:val="003A0926"/>
    <w:rsid w:val="003A282D"/>
    <w:rsid w:val="003A33E0"/>
    <w:rsid w:val="003A438E"/>
    <w:rsid w:val="003A5372"/>
    <w:rsid w:val="003A6BAC"/>
    <w:rsid w:val="003A70DC"/>
    <w:rsid w:val="003A787F"/>
    <w:rsid w:val="003A7AB1"/>
    <w:rsid w:val="003B163F"/>
    <w:rsid w:val="003B2BAC"/>
    <w:rsid w:val="003B2CC8"/>
    <w:rsid w:val="003B397E"/>
    <w:rsid w:val="003B4A31"/>
    <w:rsid w:val="003B65D8"/>
    <w:rsid w:val="003B7E74"/>
    <w:rsid w:val="003C3358"/>
    <w:rsid w:val="003C5A6A"/>
    <w:rsid w:val="003C6708"/>
    <w:rsid w:val="003C6F76"/>
    <w:rsid w:val="003D1345"/>
    <w:rsid w:val="003D1C3B"/>
    <w:rsid w:val="003D225B"/>
    <w:rsid w:val="003D2CD7"/>
    <w:rsid w:val="003D35F2"/>
    <w:rsid w:val="003D5320"/>
    <w:rsid w:val="003D7BF2"/>
    <w:rsid w:val="003E0CC0"/>
    <w:rsid w:val="003E341A"/>
    <w:rsid w:val="003E651C"/>
    <w:rsid w:val="003E6EEB"/>
    <w:rsid w:val="003F4E6E"/>
    <w:rsid w:val="003F590D"/>
    <w:rsid w:val="003F6E39"/>
    <w:rsid w:val="003F74D2"/>
    <w:rsid w:val="004052C9"/>
    <w:rsid w:val="00406EF4"/>
    <w:rsid w:val="00410D9F"/>
    <w:rsid w:val="004110DE"/>
    <w:rsid w:val="0041476C"/>
    <w:rsid w:val="00416998"/>
    <w:rsid w:val="00416AE7"/>
    <w:rsid w:val="0042009B"/>
    <w:rsid w:val="00422BCC"/>
    <w:rsid w:val="00423942"/>
    <w:rsid w:val="004248A0"/>
    <w:rsid w:val="0042749A"/>
    <w:rsid w:val="00430020"/>
    <w:rsid w:val="00430597"/>
    <w:rsid w:val="004338E5"/>
    <w:rsid w:val="004360FA"/>
    <w:rsid w:val="00436B87"/>
    <w:rsid w:val="00436BAC"/>
    <w:rsid w:val="00440ADE"/>
    <w:rsid w:val="004412A8"/>
    <w:rsid w:val="00442BCD"/>
    <w:rsid w:val="00444659"/>
    <w:rsid w:val="00444A39"/>
    <w:rsid w:val="00444E66"/>
    <w:rsid w:val="004479EC"/>
    <w:rsid w:val="00447F1A"/>
    <w:rsid w:val="00450421"/>
    <w:rsid w:val="00451105"/>
    <w:rsid w:val="0045296F"/>
    <w:rsid w:val="00455F12"/>
    <w:rsid w:val="004570F6"/>
    <w:rsid w:val="00461013"/>
    <w:rsid w:val="00461307"/>
    <w:rsid w:val="00461B1D"/>
    <w:rsid w:val="00464DD1"/>
    <w:rsid w:val="00465611"/>
    <w:rsid w:val="00472779"/>
    <w:rsid w:val="00472ADD"/>
    <w:rsid w:val="004763C5"/>
    <w:rsid w:val="004765CD"/>
    <w:rsid w:val="004766BA"/>
    <w:rsid w:val="00476C74"/>
    <w:rsid w:val="00476D8E"/>
    <w:rsid w:val="00477243"/>
    <w:rsid w:val="00477BCE"/>
    <w:rsid w:val="004802E7"/>
    <w:rsid w:val="004819F8"/>
    <w:rsid w:val="00481A90"/>
    <w:rsid w:val="00481CA7"/>
    <w:rsid w:val="00481EDE"/>
    <w:rsid w:val="00482350"/>
    <w:rsid w:val="00483F6A"/>
    <w:rsid w:val="004856A7"/>
    <w:rsid w:val="00486469"/>
    <w:rsid w:val="0048664A"/>
    <w:rsid w:val="00490746"/>
    <w:rsid w:val="004908B5"/>
    <w:rsid w:val="00492D8B"/>
    <w:rsid w:val="0049787A"/>
    <w:rsid w:val="004A2953"/>
    <w:rsid w:val="004A7EA1"/>
    <w:rsid w:val="004B2A74"/>
    <w:rsid w:val="004B47A0"/>
    <w:rsid w:val="004B7075"/>
    <w:rsid w:val="004B7468"/>
    <w:rsid w:val="004C06DE"/>
    <w:rsid w:val="004C096F"/>
    <w:rsid w:val="004C66C2"/>
    <w:rsid w:val="004C6DE4"/>
    <w:rsid w:val="004D0185"/>
    <w:rsid w:val="004D19BA"/>
    <w:rsid w:val="004D2E38"/>
    <w:rsid w:val="004D55C2"/>
    <w:rsid w:val="004D55E7"/>
    <w:rsid w:val="004D6153"/>
    <w:rsid w:val="004D6227"/>
    <w:rsid w:val="004D72BF"/>
    <w:rsid w:val="004D7D70"/>
    <w:rsid w:val="004E0238"/>
    <w:rsid w:val="004E0445"/>
    <w:rsid w:val="004E117B"/>
    <w:rsid w:val="004E3EB3"/>
    <w:rsid w:val="004E4646"/>
    <w:rsid w:val="004E4AFB"/>
    <w:rsid w:val="004E54D0"/>
    <w:rsid w:val="004E6F46"/>
    <w:rsid w:val="004F0C3B"/>
    <w:rsid w:val="004F10D8"/>
    <w:rsid w:val="004F3BB9"/>
    <w:rsid w:val="004F4226"/>
    <w:rsid w:val="004F451C"/>
    <w:rsid w:val="004F4FB7"/>
    <w:rsid w:val="004F661D"/>
    <w:rsid w:val="0050083F"/>
    <w:rsid w:val="00505DF3"/>
    <w:rsid w:val="00506C0C"/>
    <w:rsid w:val="00510C92"/>
    <w:rsid w:val="00511974"/>
    <w:rsid w:val="0051237D"/>
    <w:rsid w:val="005128A4"/>
    <w:rsid w:val="00515FC3"/>
    <w:rsid w:val="00516233"/>
    <w:rsid w:val="00520354"/>
    <w:rsid w:val="00522B68"/>
    <w:rsid w:val="00523117"/>
    <w:rsid w:val="005239B0"/>
    <w:rsid w:val="00524506"/>
    <w:rsid w:val="0052506F"/>
    <w:rsid w:val="00530162"/>
    <w:rsid w:val="0053034D"/>
    <w:rsid w:val="00530D3F"/>
    <w:rsid w:val="00531D2E"/>
    <w:rsid w:val="00532388"/>
    <w:rsid w:val="005360BC"/>
    <w:rsid w:val="00540FF2"/>
    <w:rsid w:val="0054152F"/>
    <w:rsid w:val="00542731"/>
    <w:rsid w:val="00542AD9"/>
    <w:rsid w:val="00544E89"/>
    <w:rsid w:val="0054634B"/>
    <w:rsid w:val="00547E81"/>
    <w:rsid w:val="0055055D"/>
    <w:rsid w:val="00550AEB"/>
    <w:rsid w:val="00550B85"/>
    <w:rsid w:val="00552F23"/>
    <w:rsid w:val="00554C5D"/>
    <w:rsid w:val="0056209C"/>
    <w:rsid w:val="00563D6E"/>
    <w:rsid w:val="00564B2D"/>
    <w:rsid w:val="005652B4"/>
    <w:rsid w:val="00565A89"/>
    <w:rsid w:val="00565DC4"/>
    <w:rsid w:val="00571585"/>
    <w:rsid w:val="005715E7"/>
    <w:rsid w:val="00572BDB"/>
    <w:rsid w:val="00572F90"/>
    <w:rsid w:val="0057313A"/>
    <w:rsid w:val="005740BB"/>
    <w:rsid w:val="00574AB1"/>
    <w:rsid w:val="005755C7"/>
    <w:rsid w:val="00580C20"/>
    <w:rsid w:val="005810C0"/>
    <w:rsid w:val="00583860"/>
    <w:rsid w:val="00586915"/>
    <w:rsid w:val="0059071C"/>
    <w:rsid w:val="00592AF4"/>
    <w:rsid w:val="005957A3"/>
    <w:rsid w:val="005A5BFA"/>
    <w:rsid w:val="005A65CB"/>
    <w:rsid w:val="005A7D09"/>
    <w:rsid w:val="005B109A"/>
    <w:rsid w:val="005B30B2"/>
    <w:rsid w:val="005B3608"/>
    <w:rsid w:val="005B4FC9"/>
    <w:rsid w:val="005B5183"/>
    <w:rsid w:val="005B7F90"/>
    <w:rsid w:val="005C0CF2"/>
    <w:rsid w:val="005C1B08"/>
    <w:rsid w:val="005C2FA6"/>
    <w:rsid w:val="005C393F"/>
    <w:rsid w:val="005C3FF7"/>
    <w:rsid w:val="005C5591"/>
    <w:rsid w:val="005D2121"/>
    <w:rsid w:val="005D35BC"/>
    <w:rsid w:val="005D4C51"/>
    <w:rsid w:val="005D655B"/>
    <w:rsid w:val="005E0085"/>
    <w:rsid w:val="005E08A4"/>
    <w:rsid w:val="005E14E5"/>
    <w:rsid w:val="005E37D0"/>
    <w:rsid w:val="005E6FE0"/>
    <w:rsid w:val="005F2E37"/>
    <w:rsid w:val="0060188A"/>
    <w:rsid w:val="00603C67"/>
    <w:rsid w:val="00604F85"/>
    <w:rsid w:val="00605CF0"/>
    <w:rsid w:val="00607B71"/>
    <w:rsid w:val="006118FA"/>
    <w:rsid w:val="00613290"/>
    <w:rsid w:val="006139E8"/>
    <w:rsid w:val="00613B60"/>
    <w:rsid w:val="006151C3"/>
    <w:rsid w:val="00617513"/>
    <w:rsid w:val="00617703"/>
    <w:rsid w:val="00620F9C"/>
    <w:rsid w:val="00622A6C"/>
    <w:rsid w:val="00623D2C"/>
    <w:rsid w:val="00624D70"/>
    <w:rsid w:val="006261D7"/>
    <w:rsid w:val="00627932"/>
    <w:rsid w:val="00627D7D"/>
    <w:rsid w:val="00630EFB"/>
    <w:rsid w:val="00632863"/>
    <w:rsid w:val="00636715"/>
    <w:rsid w:val="00637CFE"/>
    <w:rsid w:val="0064016B"/>
    <w:rsid w:val="006404A8"/>
    <w:rsid w:val="00640B63"/>
    <w:rsid w:val="00641C46"/>
    <w:rsid w:val="00644170"/>
    <w:rsid w:val="00645748"/>
    <w:rsid w:val="006459A1"/>
    <w:rsid w:val="006527EE"/>
    <w:rsid w:val="006537C3"/>
    <w:rsid w:val="00654CC3"/>
    <w:rsid w:val="00654E03"/>
    <w:rsid w:val="00661801"/>
    <w:rsid w:val="00661865"/>
    <w:rsid w:val="00663E16"/>
    <w:rsid w:val="00664B97"/>
    <w:rsid w:val="00672384"/>
    <w:rsid w:val="00674493"/>
    <w:rsid w:val="00675358"/>
    <w:rsid w:val="00675583"/>
    <w:rsid w:val="00676D05"/>
    <w:rsid w:val="00676D5B"/>
    <w:rsid w:val="00684356"/>
    <w:rsid w:val="00686893"/>
    <w:rsid w:val="00686B63"/>
    <w:rsid w:val="00687FAE"/>
    <w:rsid w:val="006916E3"/>
    <w:rsid w:val="00692430"/>
    <w:rsid w:val="00693387"/>
    <w:rsid w:val="0069657E"/>
    <w:rsid w:val="006A0226"/>
    <w:rsid w:val="006A0241"/>
    <w:rsid w:val="006A208F"/>
    <w:rsid w:val="006A4235"/>
    <w:rsid w:val="006A720F"/>
    <w:rsid w:val="006A72C7"/>
    <w:rsid w:val="006B2B48"/>
    <w:rsid w:val="006B3256"/>
    <w:rsid w:val="006B38CE"/>
    <w:rsid w:val="006B394F"/>
    <w:rsid w:val="006B4FCA"/>
    <w:rsid w:val="006B76D6"/>
    <w:rsid w:val="006C46CA"/>
    <w:rsid w:val="006C5C5D"/>
    <w:rsid w:val="006C7388"/>
    <w:rsid w:val="006D001F"/>
    <w:rsid w:val="006D0158"/>
    <w:rsid w:val="006D4166"/>
    <w:rsid w:val="006D57AE"/>
    <w:rsid w:val="006E05E3"/>
    <w:rsid w:val="006E2566"/>
    <w:rsid w:val="006E32EC"/>
    <w:rsid w:val="006E4FDB"/>
    <w:rsid w:val="006E7425"/>
    <w:rsid w:val="006F4E7E"/>
    <w:rsid w:val="006F762D"/>
    <w:rsid w:val="006F7DEB"/>
    <w:rsid w:val="007001E6"/>
    <w:rsid w:val="00701C41"/>
    <w:rsid w:val="00702D64"/>
    <w:rsid w:val="00702FA7"/>
    <w:rsid w:val="007057FA"/>
    <w:rsid w:val="0070601B"/>
    <w:rsid w:val="00707766"/>
    <w:rsid w:val="007078AF"/>
    <w:rsid w:val="00710763"/>
    <w:rsid w:val="00710A76"/>
    <w:rsid w:val="007128A9"/>
    <w:rsid w:val="00712CC3"/>
    <w:rsid w:val="00713D8B"/>
    <w:rsid w:val="00714564"/>
    <w:rsid w:val="00717679"/>
    <w:rsid w:val="00717F9F"/>
    <w:rsid w:val="00722943"/>
    <w:rsid w:val="007251D6"/>
    <w:rsid w:val="00726633"/>
    <w:rsid w:val="00730136"/>
    <w:rsid w:val="007322C7"/>
    <w:rsid w:val="00732894"/>
    <w:rsid w:val="00732F66"/>
    <w:rsid w:val="007347F1"/>
    <w:rsid w:val="007352C1"/>
    <w:rsid w:val="00736096"/>
    <w:rsid w:val="00736BB6"/>
    <w:rsid w:val="00741283"/>
    <w:rsid w:val="00741C28"/>
    <w:rsid w:val="00742AD5"/>
    <w:rsid w:val="00743AB8"/>
    <w:rsid w:val="00744186"/>
    <w:rsid w:val="007444F0"/>
    <w:rsid w:val="007464B1"/>
    <w:rsid w:val="00753A02"/>
    <w:rsid w:val="0075689E"/>
    <w:rsid w:val="00756FF1"/>
    <w:rsid w:val="007574FA"/>
    <w:rsid w:val="00760495"/>
    <w:rsid w:val="00760662"/>
    <w:rsid w:val="00762851"/>
    <w:rsid w:val="007646A4"/>
    <w:rsid w:val="00767195"/>
    <w:rsid w:val="007707B8"/>
    <w:rsid w:val="00772197"/>
    <w:rsid w:val="00772543"/>
    <w:rsid w:val="00773EBC"/>
    <w:rsid w:val="007762FF"/>
    <w:rsid w:val="007769F7"/>
    <w:rsid w:val="00776CF9"/>
    <w:rsid w:val="00777069"/>
    <w:rsid w:val="007819B8"/>
    <w:rsid w:val="0078498C"/>
    <w:rsid w:val="007859E8"/>
    <w:rsid w:val="0078609A"/>
    <w:rsid w:val="007873FE"/>
    <w:rsid w:val="00787D14"/>
    <w:rsid w:val="00790261"/>
    <w:rsid w:val="007942B8"/>
    <w:rsid w:val="00795027"/>
    <w:rsid w:val="007960E5"/>
    <w:rsid w:val="007964FA"/>
    <w:rsid w:val="007979DD"/>
    <w:rsid w:val="007A0E28"/>
    <w:rsid w:val="007A158D"/>
    <w:rsid w:val="007A40FD"/>
    <w:rsid w:val="007A4243"/>
    <w:rsid w:val="007A4C85"/>
    <w:rsid w:val="007A538D"/>
    <w:rsid w:val="007A786D"/>
    <w:rsid w:val="007B1DA8"/>
    <w:rsid w:val="007B2AA5"/>
    <w:rsid w:val="007B5607"/>
    <w:rsid w:val="007B7AD6"/>
    <w:rsid w:val="007C0624"/>
    <w:rsid w:val="007C332D"/>
    <w:rsid w:val="007C57B8"/>
    <w:rsid w:val="007D0196"/>
    <w:rsid w:val="007D0B62"/>
    <w:rsid w:val="007D125E"/>
    <w:rsid w:val="007D1DEB"/>
    <w:rsid w:val="007D3130"/>
    <w:rsid w:val="007D4EF6"/>
    <w:rsid w:val="007D58C4"/>
    <w:rsid w:val="007D6EFE"/>
    <w:rsid w:val="007E0731"/>
    <w:rsid w:val="007E1324"/>
    <w:rsid w:val="007E184A"/>
    <w:rsid w:val="007E2358"/>
    <w:rsid w:val="007E34EE"/>
    <w:rsid w:val="007E69AC"/>
    <w:rsid w:val="007E70E5"/>
    <w:rsid w:val="007E7152"/>
    <w:rsid w:val="007E7436"/>
    <w:rsid w:val="007F48F5"/>
    <w:rsid w:val="007F6CB4"/>
    <w:rsid w:val="007F73C6"/>
    <w:rsid w:val="0080089E"/>
    <w:rsid w:val="00805C5B"/>
    <w:rsid w:val="008063C5"/>
    <w:rsid w:val="00806EBD"/>
    <w:rsid w:val="00814219"/>
    <w:rsid w:val="008161BD"/>
    <w:rsid w:val="00821914"/>
    <w:rsid w:val="008232F8"/>
    <w:rsid w:val="00824B3A"/>
    <w:rsid w:val="00825647"/>
    <w:rsid w:val="00825D07"/>
    <w:rsid w:val="00826E92"/>
    <w:rsid w:val="00832CD9"/>
    <w:rsid w:val="00833063"/>
    <w:rsid w:val="00834910"/>
    <w:rsid w:val="00840BFC"/>
    <w:rsid w:val="00842861"/>
    <w:rsid w:val="0084286F"/>
    <w:rsid w:val="00842AA8"/>
    <w:rsid w:val="0084396B"/>
    <w:rsid w:val="00843C7B"/>
    <w:rsid w:val="00845C7B"/>
    <w:rsid w:val="00846059"/>
    <w:rsid w:val="00846191"/>
    <w:rsid w:val="008479DF"/>
    <w:rsid w:val="00852BE7"/>
    <w:rsid w:val="008563F7"/>
    <w:rsid w:val="00860BAD"/>
    <w:rsid w:val="008612D6"/>
    <w:rsid w:val="00861FD7"/>
    <w:rsid w:val="0086422D"/>
    <w:rsid w:val="008642BC"/>
    <w:rsid w:val="00867E72"/>
    <w:rsid w:val="00867F9C"/>
    <w:rsid w:val="008743B4"/>
    <w:rsid w:val="008778AA"/>
    <w:rsid w:val="0088001B"/>
    <w:rsid w:val="00880E8C"/>
    <w:rsid w:val="008826E0"/>
    <w:rsid w:val="00882704"/>
    <w:rsid w:val="00886A7B"/>
    <w:rsid w:val="0088751E"/>
    <w:rsid w:val="00887D2A"/>
    <w:rsid w:val="00891594"/>
    <w:rsid w:val="00893939"/>
    <w:rsid w:val="008974C7"/>
    <w:rsid w:val="00897F47"/>
    <w:rsid w:val="008A2284"/>
    <w:rsid w:val="008A3250"/>
    <w:rsid w:val="008A4736"/>
    <w:rsid w:val="008A5F73"/>
    <w:rsid w:val="008A6DE1"/>
    <w:rsid w:val="008A785D"/>
    <w:rsid w:val="008A7F12"/>
    <w:rsid w:val="008B04B4"/>
    <w:rsid w:val="008B15A2"/>
    <w:rsid w:val="008B2FC1"/>
    <w:rsid w:val="008B61E6"/>
    <w:rsid w:val="008B6BFA"/>
    <w:rsid w:val="008B743B"/>
    <w:rsid w:val="008B7A3B"/>
    <w:rsid w:val="008B7A49"/>
    <w:rsid w:val="008C14A5"/>
    <w:rsid w:val="008C2CF6"/>
    <w:rsid w:val="008C4A69"/>
    <w:rsid w:val="008C5A1A"/>
    <w:rsid w:val="008C60D9"/>
    <w:rsid w:val="008C6956"/>
    <w:rsid w:val="008C700C"/>
    <w:rsid w:val="008C78C6"/>
    <w:rsid w:val="008C7F40"/>
    <w:rsid w:val="008D19A0"/>
    <w:rsid w:val="008D2FC3"/>
    <w:rsid w:val="008D7842"/>
    <w:rsid w:val="008E0FD9"/>
    <w:rsid w:val="008E1881"/>
    <w:rsid w:val="008E288B"/>
    <w:rsid w:val="008E2D38"/>
    <w:rsid w:val="008E3DE8"/>
    <w:rsid w:val="008E570C"/>
    <w:rsid w:val="008F1351"/>
    <w:rsid w:val="008F471A"/>
    <w:rsid w:val="008F4A57"/>
    <w:rsid w:val="008F625F"/>
    <w:rsid w:val="00901D17"/>
    <w:rsid w:val="009033F6"/>
    <w:rsid w:val="0090471E"/>
    <w:rsid w:val="00905E9B"/>
    <w:rsid w:val="00907D81"/>
    <w:rsid w:val="0091736B"/>
    <w:rsid w:val="0092071C"/>
    <w:rsid w:val="00920C4F"/>
    <w:rsid w:val="00921DE6"/>
    <w:rsid w:val="0092539C"/>
    <w:rsid w:val="00925E1B"/>
    <w:rsid w:val="00926825"/>
    <w:rsid w:val="00926A64"/>
    <w:rsid w:val="00926D2B"/>
    <w:rsid w:val="00927F94"/>
    <w:rsid w:val="0093451C"/>
    <w:rsid w:val="00936187"/>
    <w:rsid w:val="00936806"/>
    <w:rsid w:val="009373C7"/>
    <w:rsid w:val="00937E03"/>
    <w:rsid w:val="00941C85"/>
    <w:rsid w:val="00941FE0"/>
    <w:rsid w:val="0094243B"/>
    <w:rsid w:val="0094391C"/>
    <w:rsid w:val="00943DC2"/>
    <w:rsid w:val="00945AEE"/>
    <w:rsid w:val="009473E3"/>
    <w:rsid w:val="009473E7"/>
    <w:rsid w:val="00950768"/>
    <w:rsid w:val="0095169F"/>
    <w:rsid w:val="00953537"/>
    <w:rsid w:val="00961379"/>
    <w:rsid w:val="0096488C"/>
    <w:rsid w:val="009660A4"/>
    <w:rsid w:val="00966E1F"/>
    <w:rsid w:val="0096734B"/>
    <w:rsid w:val="00970067"/>
    <w:rsid w:val="00970967"/>
    <w:rsid w:val="00971BA7"/>
    <w:rsid w:val="00972392"/>
    <w:rsid w:val="0097389B"/>
    <w:rsid w:val="00974102"/>
    <w:rsid w:val="00975D3B"/>
    <w:rsid w:val="00976577"/>
    <w:rsid w:val="00977483"/>
    <w:rsid w:val="00977914"/>
    <w:rsid w:val="0098122F"/>
    <w:rsid w:val="0098156D"/>
    <w:rsid w:val="00982A50"/>
    <w:rsid w:val="009831BD"/>
    <w:rsid w:val="00983BC0"/>
    <w:rsid w:val="00986736"/>
    <w:rsid w:val="0098724A"/>
    <w:rsid w:val="009959A0"/>
    <w:rsid w:val="009A42C6"/>
    <w:rsid w:val="009A559F"/>
    <w:rsid w:val="009A68DB"/>
    <w:rsid w:val="009B02F2"/>
    <w:rsid w:val="009B0FE7"/>
    <w:rsid w:val="009B317D"/>
    <w:rsid w:val="009B4E05"/>
    <w:rsid w:val="009B7E8B"/>
    <w:rsid w:val="009C2A5A"/>
    <w:rsid w:val="009C30E9"/>
    <w:rsid w:val="009C3BAB"/>
    <w:rsid w:val="009C6915"/>
    <w:rsid w:val="009C71E8"/>
    <w:rsid w:val="009C7221"/>
    <w:rsid w:val="009D0D53"/>
    <w:rsid w:val="009D13B9"/>
    <w:rsid w:val="009D66F9"/>
    <w:rsid w:val="009D7588"/>
    <w:rsid w:val="009E3054"/>
    <w:rsid w:val="009E37ED"/>
    <w:rsid w:val="009E3A7F"/>
    <w:rsid w:val="009E4400"/>
    <w:rsid w:val="009E6FF8"/>
    <w:rsid w:val="009E746A"/>
    <w:rsid w:val="009E78F8"/>
    <w:rsid w:val="009F2B05"/>
    <w:rsid w:val="009F5763"/>
    <w:rsid w:val="009F727B"/>
    <w:rsid w:val="00A004BF"/>
    <w:rsid w:val="00A025D4"/>
    <w:rsid w:val="00A02896"/>
    <w:rsid w:val="00A0311C"/>
    <w:rsid w:val="00A04922"/>
    <w:rsid w:val="00A04E23"/>
    <w:rsid w:val="00A05EFA"/>
    <w:rsid w:val="00A06A76"/>
    <w:rsid w:val="00A06FE0"/>
    <w:rsid w:val="00A07B88"/>
    <w:rsid w:val="00A10929"/>
    <w:rsid w:val="00A137F7"/>
    <w:rsid w:val="00A1452C"/>
    <w:rsid w:val="00A1711E"/>
    <w:rsid w:val="00A2013A"/>
    <w:rsid w:val="00A21152"/>
    <w:rsid w:val="00A21B81"/>
    <w:rsid w:val="00A22281"/>
    <w:rsid w:val="00A22BAE"/>
    <w:rsid w:val="00A23A7A"/>
    <w:rsid w:val="00A23C2B"/>
    <w:rsid w:val="00A246AF"/>
    <w:rsid w:val="00A26CE3"/>
    <w:rsid w:val="00A27A48"/>
    <w:rsid w:val="00A27DAC"/>
    <w:rsid w:val="00A3033B"/>
    <w:rsid w:val="00A317F6"/>
    <w:rsid w:val="00A31EDB"/>
    <w:rsid w:val="00A33363"/>
    <w:rsid w:val="00A33FED"/>
    <w:rsid w:val="00A34152"/>
    <w:rsid w:val="00A34816"/>
    <w:rsid w:val="00A350C9"/>
    <w:rsid w:val="00A359FF"/>
    <w:rsid w:val="00A3698C"/>
    <w:rsid w:val="00A40551"/>
    <w:rsid w:val="00A41788"/>
    <w:rsid w:val="00A41BB9"/>
    <w:rsid w:val="00A4464F"/>
    <w:rsid w:val="00A461E7"/>
    <w:rsid w:val="00A502A1"/>
    <w:rsid w:val="00A519B0"/>
    <w:rsid w:val="00A52E8F"/>
    <w:rsid w:val="00A533AA"/>
    <w:rsid w:val="00A541BA"/>
    <w:rsid w:val="00A55ECF"/>
    <w:rsid w:val="00A60F56"/>
    <w:rsid w:val="00A61A97"/>
    <w:rsid w:val="00A62952"/>
    <w:rsid w:val="00A62B67"/>
    <w:rsid w:val="00A62C2E"/>
    <w:rsid w:val="00A639EB"/>
    <w:rsid w:val="00A642C4"/>
    <w:rsid w:val="00A644AF"/>
    <w:rsid w:val="00A710A2"/>
    <w:rsid w:val="00A72742"/>
    <w:rsid w:val="00A7319B"/>
    <w:rsid w:val="00A73D29"/>
    <w:rsid w:val="00A75064"/>
    <w:rsid w:val="00A767A2"/>
    <w:rsid w:val="00A77947"/>
    <w:rsid w:val="00A80605"/>
    <w:rsid w:val="00A84E94"/>
    <w:rsid w:val="00A878B6"/>
    <w:rsid w:val="00A8790D"/>
    <w:rsid w:val="00A922D8"/>
    <w:rsid w:val="00A926DF"/>
    <w:rsid w:val="00A939F7"/>
    <w:rsid w:val="00AA2CBF"/>
    <w:rsid w:val="00AA2FC9"/>
    <w:rsid w:val="00AA321F"/>
    <w:rsid w:val="00AA4AAE"/>
    <w:rsid w:val="00AA4C75"/>
    <w:rsid w:val="00AA7E63"/>
    <w:rsid w:val="00AB392F"/>
    <w:rsid w:val="00AB3D84"/>
    <w:rsid w:val="00AB6429"/>
    <w:rsid w:val="00AB6ADC"/>
    <w:rsid w:val="00AB6D76"/>
    <w:rsid w:val="00AB6EB8"/>
    <w:rsid w:val="00AC046F"/>
    <w:rsid w:val="00AC2300"/>
    <w:rsid w:val="00AC43AA"/>
    <w:rsid w:val="00AC6391"/>
    <w:rsid w:val="00AD6A01"/>
    <w:rsid w:val="00AD7154"/>
    <w:rsid w:val="00AE12B1"/>
    <w:rsid w:val="00AE14C8"/>
    <w:rsid w:val="00AE1D35"/>
    <w:rsid w:val="00AE2470"/>
    <w:rsid w:val="00AE3D12"/>
    <w:rsid w:val="00AE406D"/>
    <w:rsid w:val="00AE47CC"/>
    <w:rsid w:val="00AE56C5"/>
    <w:rsid w:val="00AF0934"/>
    <w:rsid w:val="00AF2004"/>
    <w:rsid w:val="00AF23B4"/>
    <w:rsid w:val="00AF55C6"/>
    <w:rsid w:val="00AF6D60"/>
    <w:rsid w:val="00B00222"/>
    <w:rsid w:val="00B028C1"/>
    <w:rsid w:val="00B02B3D"/>
    <w:rsid w:val="00B03101"/>
    <w:rsid w:val="00B037C6"/>
    <w:rsid w:val="00B05757"/>
    <w:rsid w:val="00B06293"/>
    <w:rsid w:val="00B0770C"/>
    <w:rsid w:val="00B07BFE"/>
    <w:rsid w:val="00B11A87"/>
    <w:rsid w:val="00B13741"/>
    <w:rsid w:val="00B137DD"/>
    <w:rsid w:val="00B14B4F"/>
    <w:rsid w:val="00B15870"/>
    <w:rsid w:val="00B1684C"/>
    <w:rsid w:val="00B175EF"/>
    <w:rsid w:val="00B2178D"/>
    <w:rsid w:val="00B22D38"/>
    <w:rsid w:val="00B2428A"/>
    <w:rsid w:val="00B24B12"/>
    <w:rsid w:val="00B24F82"/>
    <w:rsid w:val="00B30B5D"/>
    <w:rsid w:val="00B31B1F"/>
    <w:rsid w:val="00B32069"/>
    <w:rsid w:val="00B3220D"/>
    <w:rsid w:val="00B32E7B"/>
    <w:rsid w:val="00B33C97"/>
    <w:rsid w:val="00B34243"/>
    <w:rsid w:val="00B35B5B"/>
    <w:rsid w:val="00B36151"/>
    <w:rsid w:val="00B3656C"/>
    <w:rsid w:val="00B403B6"/>
    <w:rsid w:val="00B40C51"/>
    <w:rsid w:val="00B4344A"/>
    <w:rsid w:val="00B453B3"/>
    <w:rsid w:val="00B45FCF"/>
    <w:rsid w:val="00B46D00"/>
    <w:rsid w:val="00B47D67"/>
    <w:rsid w:val="00B502E1"/>
    <w:rsid w:val="00B64F2F"/>
    <w:rsid w:val="00B6547D"/>
    <w:rsid w:val="00B6561C"/>
    <w:rsid w:val="00B67805"/>
    <w:rsid w:val="00B716AB"/>
    <w:rsid w:val="00B72F97"/>
    <w:rsid w:val="00B73511"/>
    <w:rsid w:val="00B73BA6"/>
    <w:rsid w:val="00B74524"/>
    <w:rsid w:val="00B7591C"/>
    <w:rsid w:val="00B75AA0"/>
    <w:rsid w:val="00B76FA0"/>
    <w:rsid w:val="00B77902"/>
    <w:rsid w:val="00B813CF"/>
    <w:rsid w:val="00B828A0"/>
    <w:rsid w:val="00B858E5"/>
    <w:rsid w:val="00B91C0A"/>
    <w:rsid w:val="00B9205A"/>
    <w:rsid w:val="00B94703"/>
    <w:rsid w:val="00B9752A"/>
    <w:rsid w:val="00BA0A9D"/>
    <w:rsid w:val="00BA1282"/>
    <w:rsid w:val="00BA3BC8"/>
    <w:rsid w:val="00BA4BC2"/>
    <w:rsid w:val="00BB00E8"/>
    <w:rsid w:val="00BB05DF"/>
    <w:rsid w:val="00BB0B5E"/>
    <w:rsid w:val="00BB1811"/>
    <w:rsid w:val="00BB46C8"/>
    <w:rsid w:val="00BB4D9A"/>
    <w:rsid w:val="00BB581F"/>
    <w:rsid w:val="00BB7311"/>
    <w:rsid w:val="00BB7EB4"/>
    <w:rsid w:val="00BB7EEA"/>
    <w:rsid w:val="00BC0479"/>
    <w:rsid w:val="00BC049E"/>
    <w:rsid w:val="00BC0D28"/>
    <w:rsid w:val="00BC10A7"/>
    <w:rsid w:val="00BC19BC"/>
    <w:rsid w:val="00BC21C2"/>
    <w:rsid w:val="00BC2939"/>
    <w:rsid w:val="00BC339F"/>
    <w:rsid w:val="00BC655F"/>
    <w:rsid w:val="00BC67E3"/>
    <w:rsid w:val="00BC6A35"/>
    <w:rsid w:val="00BC7306"/>
    <w:rsid w:val="00BC78B7"/>
    <w:rsid w:val="00BD4543"/>
    <w:rsid w:val="00BD5BD2"/>
    <w:rsid w:val="00BE37ED"/>
    <w:rsid w:val="00BE4150"/>
    <w:rsid w:val="00BE50D8"/>
    <w:rsid w:val="00BE5F4E"/>
    <w:rsid w:val="00BE6FBC"/>
    <w:rsid w:val="00BF059A"/>
    <w:rsid w:val="00BF1D66"/>
    <w:rsid w:val="00BF2C40"/>
    <w:rsid w:val="00BF33C5"/>
    <w:rsid w:val="00BF5C98"/>
    <w:rsid w:val="00BF5F15"/>
    <w:rsid w:val="00BF6218"/>
    <w:rsid w:val="00BF676D"/>
    <w:rsid w:val="00BF71C7"/>
    <w:rsid w:val="00C0145C"/>
    <w:rsid w:val="00C01D6F"/>
    <w:rsid w:val="00C02874"/>
    <w:rsid w:val="00C03066"/>
    <w:rsid w:val="00C13F02"/>
    <w:rsid w:val="00C15E7F"/>
    <w:rsid w:val="00C16F18"/>
    <w:rsid w:val="00C17527"/>
    <w:rsid w:val="00C17804"/>
    <w:rsid w:val="00C17C55"/>
    <w:rsid w:val="00C17D7C"/>
    <w:rsid w:val="00C25103"/>
    <w:rsid w:val="00C274AC"/>
    <w:rsid w:val="00C3118A"/>
    <w:rsid w:val="00C37013"/>
    <w:rsid w:val="00C409F8"/>
    <w:rsid w:val="00C40DB6"/>
    <w:rsid w:val="00C4201F"/>
    <w:rsid w:val="00C43814"/>
    <w:rsid w:val="00C44186"/>
    <w:rsid w:val="00C461DC"/>
    <w:rsid w:val="00C47255"/>
    <w:rsid w:val="00C4781D"/>
    <w:rsid w:val="00C5060F"/>
    <w:rsid w:val="00C50749"/>
    <w:rsid w:val="00C51465"/>
    <w:rsid w:val="00C527D5"/>
    <w:rsid w:val="00C568A9"/>
    <w:rsid w:val="00C60C45"/>
    <w:rsid w:val="00C63147"/>
    <w:rsid w:val="00C64A94"/>
    <w:rsid w:val="00C65E17"/>
    <w:rsid w:val="00C66814"/>
    <w:rsid w:val="00C70FDB"/>
    <w:rsid w:val="00C7120E"/>
    <w:rsid w:val="00C72ABA"/>
    <w:rsid w:val="00C75C73"/>
    <w:rsid w:val="00C81214"/>
    <w:rsid w:val="00C8296E"/>
    <w:rsid w:val="00C836B6"/>
    <w:rsid w:val="00C84142"/>
    <w:rsid w:val="00C866F7"/>
    <w:rsid w:val="00C86C05"/>
    <w:rsid w:val="00C86ED7"/>
    <w:rsid w:val="00C87440"/>
    <w:rsid w:val="00C912BF"/>
    <w:rsid w:val="00C94C59"/>
    <w:rsid w:val="00C96F2B"/>
    <w:rsid w:val="00CA0B01"/>
    <w:rsid w:val="00CA1DD7"/>
    <w:rsid w:val="00CA3087"/>
    <w:rsid w:val="00CA348A"/>
    <w:rsid w:val="00CA43F2"/>
    <w:rsid w:val="00CA5753"/>
    <w:rsid w:val="00CA6E85"/>
    <w:rsid w:val="00CA7CD5"/>
    <w:rsid w:val="00CB1387"/>
    <w:rsid w:val="00CB38EE"/>
    <w:rsid w:val="00CB447F"/>
    <w:rsid w:val="00CB53CA"/>
    <w:rsid w:val="00CB69D6"/>
    <w:rsid w:val="00CB7AC1"/>
    <w:rsid w:val="00CC1701"/>
    <w:rsid w:val="00CC1A8D"/>
    <w:rsid w:val="00CC3696"/>
    <w:rsid w:val="00CC5122"/>
    <w:rsid w:val="00CC565E"/>
    <w:rsid w:val="00CD1B5B"/>
    <w:rsid w:val="00CD2A94"/>
    <w:rsid w:val="00CD3441"/>
    <w:rsid w:val="00CD7A1D"/>
    <w:rsid w:val="00CE0398"/>
    <w:rsid w:val="00CE0C9E"/>
    <w:rsid w:val="00CE1E48"/>
    <w:rsid w:val="00CE2B29"/>
    <w:rsid w:val="00CE2FBC"/>
    <w:rsid w:val="00CE33D4"/>
    <w:rsid w:val="00CE3DC5"/>
    <w:rsid w:val="00CE4B5B"/>
    <w:rsid w:val="00CE4D8E"/>
    <w:rsid w:val="00CE59BC"/>
    <w:rsid w:val="00CE68A2"/>
    <w:rsid w:val="00CF0513"/>
    <w:rsid w:val="00CF0D4F"/>
    <w:rsid w:val="00CF15EF"/>
    <w:rsid w:val="00CF2263"/>
    <w:rsid w:val="00CF301B"/>
    <w:rsid w:val="00D004FC"/>
    <w:rsid w:val="00D021B9"/>
    <w:rsid w:val="00D0340D"/>
    <w:rsid w:val="00D034F3"/>
    <w:rsid w:val="00D063AC"/>
    <w:rsid w:val="00D064DF"/>
    <w:rsid w:val="00D0664A"/>
    <w:rsid w:val="00D10D98"/>
    <w:rsid w:val="00D12B13"/>
    <w:rsid w:val="00D12E01"/>
    <w:rsid w:val="00D15C06"/>
    <w:rsid w:val="00D163E4"/>
    <w:rsid w:val="00D22DB5"/>
    <w:rsid w:val="00D237FE"/>
    <w:rsid w:val="00D304D8"/>
    <w:rsid w:val="00D3195E"/>
    <w:rsid w:val="00D36D22"/>
    <w:rsid w:val="00D402E3"/>
    <w:rsid w:val="00D4238E"/>
    <w:rsid w:val="00D44D3C"/>
    <w:rsid w:val="00D450FD"/>
    <w:rsid w:val="00D46E49"/>
    <w:rsid w:val="00D46EB8"/>
    <w:rsid w:val="00D47BBF"/>
    <w:rsid w:val="00D50CA7"/>
    <w:rsid w:val="00D52B7A"/>
    <w:rsid w:val="00D530A0"/>
    <w:rsid w:val="00D5459F"/>
    <w:rsid w:val="00D54C22"/>
    <w:rsid w:val="00D60CCC"/>
    <w:rsid w:val="00D6334A"/>
    <w:rsid w:val="00D64C19"/>
    <w:rsid w:val="00D652BB"/>
    <w:rsid w:val="00D658BD"/>
    <w:rsid w:val="00D660DE"/>
    <w:rsid w:val="00D67A81"/>
    <w:rsid w:val="00D71640"/>
    <w:rsid w:val="00D72773"/>
    <w:rsid w:val="00D73053"/>
    <w:rsid w:val="00D7358F"/>
    <w:rsid w:val="00D75130"/>
    <w:rsid w:val="00D77749"/>
    <w:rsid w:val="00D80D3E"/>
    <w:rsid w:val="00D843B4"/>
    <w:rsid w:val="00D857A3"/>
    <w:rsid w:val="00D872DD"/>
    <w:rsid w:val="00D9436F"/>
    <w:rsid w:val="00D9526E"/>
    <w:rsid w:val="00DA0846"/>
    <w:rsid w:val="00DA2D93"/>
    <w:rsid w:val="00DA2E63"/>
    <w:rsid w:val="00DA5586"/>
    <w:rsid w:val="00DA58EA"/>
    <w:rsid w:val="00DA6BC3"/>
    <w:rsid w:val="00DA7CA4"/>
    <w:rsid w:val="00DB0ED5"/>
    <w:rsid w:val="00DB1647"/>
    <w:rsid w:val="00DB2531"/>
    <w:rsid w:val="00DB3632"/>
    <w:rsid w:val="00DB5760"/>
    <w:rsid w:val="00DB6675"/>
    <w:rsid w:val="00DB6858"/>
    <w:rsid w:val="00DC2C0B"/>
    <w:rsid w:val="00DC5F51"/>
    <w:rsid w:val="00DC60A4"/>
    <w:rsid w:val="00DD14EE"/>
    <w:rsid w:val="00DD1549"/>
    <w:rsid w:val="00DD1E77"/>
    <w:rsid w:val="00DD278E"/>
    <w:rsid w:val="00DD36DB"/>
    <w:rsid w:val="00DD565F"/>
    <w:rsid w:val="00DD591F"/>
    <w:rsid w:val="00DD776F"/>
    <w:rsid w:val="00DE07B9"/>
    <w:rsid w:val="00DE248B"/>
    <w:rsid w:val="00DE31D2"/>
    <w:rsid w:val="00DE634C"/>
    <w:rsid w:val="00DE6368"/>
    <w:rsid w:val="00DE77E9"/>
    <w:rsid w:val="00DE7ADA"/>
    <w:rsid w:val="00DE7F92"/>
    <w:rsid w:val="00DF0A2B"/>
    <w:rsid w:val="00DF0FB7"/>
    <w:rsid w:val="00DF3D20"/>
    <w:rsid w:val="00DF5175"/>
    <w:rsid w:val="00DF6899"/>
    <w:rsid w:val="00E01071"/>
    <w:rsid w:val="00E0131E"/>
    <w:rsid w:val="00E0134B"/>
    <w:rsid w:val="00E0461F"/>
    <w:rsid w:val="00E04DB2"/>
    <w:rsid w:val="00E05309"/>
    <w:rsid w:val="00E07A89"/>
    <w:rsid w:val="00E105BA"/>
    <w:rsid w:val="00E1168F"/>
    <w:rsid w:val="00E13E9F"/>
    <w:rsid w:val="00E14B4D"/>
    <w:rsid w:val="00E16B52"/>
    <w:rsid w:val="00E21AF9"/>
    <w:rsid w:val="00E220EF"/>
    <w:rsid w:val="00E226D0"/>
    <w:rsid w:val="00E22F1A"/>
    <w:rsid w:val="00E23338"/>
    <w:rsid w:val="00E2355D"/>
    <w:rsid w:val="00E24D3E"/>
    <w:rsid w:val="00E2567C"/>
    <w:rsid w:val="00E25FA7"/>
    <w:rsid w:val="00E27F7A"/>
    <w:rsid w:val="00E31EC5"/>
    <w:rsid w:val="00E3377C"/>
    <w:rsid w:val="00E35A2C"/>
    <w:rsid w:val="00E35D72"/>
    <w:rsid w:val="00E37015"/>
    <w:rsid w:val="00E40B65"/>
    <w:rsid w:val="00E42DC5"/>
    <w:rsid w:val="00E444E7"/>
    <w:rsid w:val="00E44D3C"/>
    <w:rsid w:val="00E46A80"/>
    <w:rsid w:val="00E50297"/>
    <w:rsid w:val="00E514F7"/>
    <w:rsid w:val="00E52A8F"/>
    <w:rsid w:val="00E5335D"/>
    <w:rsid w:val="00E542ED"/>
    <w:rsid w:val="00E60DE6"/>
    <w:rsid w:val="00E6487B"/>
    <w:rsid w:val="00E6529A"/>
    <w:rsid w:val="00E65327"/>
    <w:rsid w:val="00E70819"/>
    <w:rsid w:val="00E71EBC"/>
    <w:rsid w:val="00E7307F"/>
    <w:rsid w:val="00E77802"/>
    <w:rsid w:val="00E77D5B"/>
    <w:rsid w:val="00E811DE"/>
    <w:rsid w:val="00E87387"/>
    <w:rsid w:val="00E90E1A"/>
    <w:rsid w:val="00E91ABD"/>
    <w:rsid w:val="00E91B0D"/>
    <w:rsid w:val="00E9296F"/>
    <w:rsid w:val="00E93E94"/>
    <w:rsid w:val="00E94349"/>
    <w:rsid w:val="00E94BC1"/>
    <w:rsid w:val="00E973A7"/>
    <w:rsid w:val="00E97990"/>
    <w:rsid w:val="00EA1832"/>
    <w:rsid w:val="00EA6051"/>
    <w:rsid w:val="00EA6D10"/>
    <w:rsid w:val="00EA6ED7"/>
    <w:rsid w:val="00EB07AD"/>
    <w:rsid w:val="00EB104A"/>
    <w:rsid w:val="00EB715F"/>
    <w:rsid w:val="00EC175B"/>
    <w:rsid w:val="00ED490C"/>
    <w:rsid w:val="00ED555E"/>
    <w:rsid w:val="00ED68B5"/>
    <w:rsid w:val="00ED7C48"/>
    <w:rsid w:val="00ED7C64"/>
    <w:rsid w:val="00EE0D79"/>
    <w:rsid w:val="00EE2417"/>
    <w:rsid w:val="00EE46D8"/>
    <w:rsid w:val="00EF116B"/>
    <w:rsid w:val="00EF39D0"/>
    <w:rsid w:val="00EF57E7"/>
    <w:rsid w:val="00EF7A21"/>
    <w:rsid w:val="00F0328F"/>
    <w:rsid w:val="00F062FA"/>
    <w:rsid w:val="00F12DAD"/>
    <w:rsid w:val="00F14054"/>
    <w:rsid w:val="00F1706B"/>
    <w:rsid w:val="00F17713"/>
    <w:rsid w:val="00F21209"/>
    <w:rsid w:val="00F21A37"/>
    <w:rsid w:val="00F23659"/>
    <w:rsid w:val="00F240F7"/>
    <w:rsid w:val="00F249B7"/>
    <w:rsid w:val="00F24C53"/>
    <w:rsid w:val="00F25170"/>
    <w:rsid w:val="00F26FE0"/>
    <w:rsid w:val="00F27498"/>
    <w:rsid w:val="00F3265E"/>
    <w:rsid w:val="00F34047"/>
    <w:rsid w:val="00F35B39"/>
    <w:rsid w:val="00F4143D"/>
    <w:rsid w:val="00F4160B"/>
    <w:rsid w:val="00F42653"/>
    <w:rsid w:val="00F43A2A"/>
    <w:rsid w:val="00F45DFA"/>
    <w:rsid w:val="00F47BC1"/>
    <w:rsid w:val="00F51313"/>
    <w:rsid w:val="00F522D2"/>
    <w:rsid w:val="00F52DDC"/>
    <w:rsid w:val="00F53CD1"/>
    <w:rsid w:val="00F5461A"/>
    <w:rsid w:val="00F55361"/>
    <w:rsid w:val="00F557EE"/>
    <w:rsid w:val="00F61000"/>
    <w:rsid w:val="00F653B5"/>
    <w:rsid w:val="00F65BC5"/>
    <w:rsid w:val="00F6649A"/>
    <w:rsid w:val="00F66544"/>
    <w:rsid w:val="00F66BEE"/>
    <w:rsid w:val="00F670C6"/>
    <w:rsid w:val="00F679F0"/>
    <w:rsid w:val="00F70336"/>
    <w:rsid w:val="00F716F2"/>
    <w:rsid w:val="00F723F5"/>
    <w:rsid w:val="00F7292D"/>
    <w:rsid w:val="00F72CB2"/>
    <w:rsid w:val="00F7388A"/>
    <w:rsid w:val="00F74D08"/>
    <w:rsid w:val="00F76A5B"/>
    <w:rsid w:val="00F83733"/>
    <w:rsid w:val="00F85795"/>
    <w:rsid w:val="00F857AB"/>
    <w:rsid w:val="00F860EC"/>
    <w:rsid w:val="00F86A16"/>
    <w:rsid w:val="00F92E7C"/>
    <w:rsid w:val="00F940AC"/>
    <w:rsid w:val="00F94CD4"/>
    <w:rsid w:val="00F9623F"/>
    <w:rsid w:val="00F977D4"/>
    <w:rsid w:val="00FA2A2C"/>
    <w:rsid w:val="00FA796E"/>
    <w:rsid w:val="00FB035B"/>
    <w:rsid w:val="00FB175F"/>
    <w:rsid w:val="00FB23FA"/>
    <w:rsid w:val="00FB2F0C"/>
    <w:rsid w:val="00FB3D86"/>
    <w:rsid w:val="00FB65BE"/>
    <w:rsid w:val="00FC07E8"/>
    <w:rsid w:val="00FC0F4E"/>
    <w:rsid w:val="00FC23DE"/>
    <w:rsid w:val="00FC288D"/>
    <w:rsid w:val="00FC2C11"/>
    <w:rsid w:val="00FC5B3E"/>
    <w:rsid w:val="00FC5DE3"/>
    <w:rsid w:val="00FC60DB"/>
    <w:rsid w:val="00FC61E0"/>
    <w:rsid w:val="00FD18E2"/>
    <w:rsid w:val="00FD1B2D"/>
    <w:rsid w:val="00FD1EA3"/>
    <w:rsid w:val="00FD3C91"/>
    <w:rsid w:val="00FD484C"/>
    <w:rsid w:val="00FE0736"/>
    <w:rsid w:val="00FE293D"/>
    <w:rsid w:val="00FE44D4"/>
    <w:rsid w:val="00FE5544"/>
    <w:rsid w:val="00FE59FF"/>
    <w:rsid w:val="00FE5D26"/>
    <w:rsid w:val="00FF28A6"/>
    <w:rsid w:val="00FF4117"/>
    <w:rsid w:val="00FF4DD9"/>
    <w:rsid w:val="00FF56A1"/>
    <w:rsid w:val="012F41F1"/>
    <w:rsid w:val="043930E0"/>
    <w:rsid w:val="04567CE7"/>
    <w:rsid w:val="04E6106A"/>
    <w:rsid w:val="05635C83"/>
    <w:rsid w:val="05A131E2"/>
    <w:rsid w:val="06D849E3"/>
    <w:rsid w:val="06EA051E"/>
    <w:rsid w:val="06F70EDE"/>
    <w:rsid w:val="07A33243"/>
    <w:rsid w:val="07E04497"/>
    <w:rsid w:val="08536A17"/>
    <w:rsid w:val="088A7F5F"/>
    <w:rsid w:val="096950E0"/>
    <w:rsid w:val="09817CC8"/>
    <w:rsid w:val="0A410AF1"/>
    <w:rsid w:val="0ABD3DBD"/>
    <w:rsid w:val="0B3C46E5"/>
    <w:rsid w:val="0C992E66"/>
    <w:rsid w:val="0CD8398F"/>
    <w:rsid w:val="0D222E5C"/>
    <w:rsid w:val="12015DC6"/>
    <w:rsid w:val="126857B5"/>
    <w:rsid w:val="14416EB1"/>
    <w:rsid w:val="1534372C"/>
    <w:rsid w:val="15877D00"/>
    <w:rsid w:val="178070FD"/>
    <w:rsid w:val="18147845"/>
    <w:rsid w:val="1984180F"/>
    <w:rsid w:val="1A46462D"/>
    <w:rsid w:val="1AC9700C"/>
    <w:rsid w:val="1B3A5814"/>
    <w:rsid w:val="1CCB0E1A"/>
    <w:rsid w:val="1E122A78"/>
    <w:rsid w:val="1E1E54FA"/>
    <w:rsid w:val="1EC769CB"/>
    <w:rsid w:val="1F7C2114"/>
    <w:rsid w:val="2096173F"/>
    <w:rsid w:val="21274A8D"/>
    <w:rsid w:val="22CC31F6"/>
    <w:rsid w:val="235D6544"/>
    <w:rsid w:val="265E4AAD"/>
    <w:rsid w:val="2662275B"/>
    <w:rsid w:val="276C4FA7"/>
    <w:rsid w:val="28584B4D"/>
    <w:rsid w:val="286363AA"/>
    <w:rsid w:val="28A729F9"/>
    <w:rsid w:val="2CF565D5"/>
    <w:rsid w:val="2DC7118A"/>
    <w:rsid w:val="2DDE5EB6"/>
    <w:rsid w:val="2F5A7DDB"/>
    <w:rsid w:val="30BC0D4E"/>
    <w:rsid w:val="31553B81"/>
    <w:rsid w:val="33D463AE"/>
    <w:rsid w:val="34190F05"/>
    <w:rsid w:val="37076A9B"/>
    <w:rsid w:val="383553F4"/>
    <w:rsid w:val="38D77FCD"/>
    <w:rsid w:val="38F2270A"/>
    <w:rsid w:val="3A9D576E"/>
    <w:rsid w:val="3B6224F2"/>
    <w:rsid w:val="3B742225"/>
    <w:rsid w:val="3E374EBA"/>
    <w:rsid w:val="3F39053A"/>
    <w:rsid w:val="3F4168C2"/>
    <w:rsid w:val="400C1EA9"/>
    <w:rsid w:val="40756AA3"/>
    <w:rsid w:val="426F425E"/>
    <w:rsid w:val="42AE24C0"/>
    <w:rsid w:val="433B5F1E"/>
    <w:rsid w:val="439E77C7"/>
    <w:rsid w:val="44AB6CB7"/>
    <w:rsid w:val="452D1CF7"/>
    <w:rsid w:val="474678FB"/>
    <w:rsid w:val="47B2035D"/>
    <w:rsid w:val="48E01D0E"/>
    <w:rsid w:val="4A1C41B3"/>
    <w:rsid w:val="4BCB0138"/>
    <w:rsid w:val="4BEE652D"/>
    <w:rsid w:val="4F1D07B2"/>
    <w:rsid w:val="538E1C7E"/>
    <w:rsid w:val="53C872B9"/>
    <w:rsid w:val="571E156B"/>
    <w:rsid w:val="58276B45"/>
    <w:rsid w:val="5A4701F0"/>
    <w:rsid w:val="5AB53F94"/>
    <w:rsid w:val="5D375DA9"/>
    <w:rsid w:val="63612F0B"/>
    <w:rsid w:val="63F7561D"/>
    <w:rsid w:val="65A45331"/>
    <w:rsid w:val="65C47781"/>
    <w:rsid w:val="65EF790C"/>
    <w:rsid w:val="6A9E4A45"/>
    <w:rsid w:val="6AD55F8D"/>
    <w:rsid w:val="6C4258A4"/>
    <w:rsid w:val="6C7517D5"/>
    <w:rsid w:val="6C891725"/>
    <w:rsid w:val="6CBC7404"/>
    <w:rsid w:val="6D601F02"/>
    <w:rsid w:val="6E1B63AC"/>
    <w:rsid w:val="6EB22598"/>
    <w:rsid w:val="6F745D74"/>
    <w:rsid w:val="70383246"/>
    <w:rsid w:val="706450B2"/>
    <w:rsid w:val="70904E30"/>
    <w:rsid w:val="71A072F4"/>
    <w:rsid w:val="73125FD0"/>
    <w:rsid w:val="73CD66FE"/>
    <w:rsid w:val="74AD3C14"/>
    <w:rsid w:val="758205BE"/>
    <w:rsid w:val="760360A4"/>
    <w:rsid w:val="762D4ECF"/>
    <w:rsid w:val="76637A2B"/>
    <w:rsid w:val="778A3B9F"/>
    <w:rsid w:val="782E2472"/>
    <w:rsid w:val="78F84B3A"/>
    <w:rsid w:val="7B2A7C2F"/>
    <w:rsid w:val="7B5A6859"/>
    <w:rsid w:val="7B7610C6"/>
    <w:rsid w:val="7BFF25D8"/>
    <w:rsid w:val="7D2C2303"/>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1"/>
      <w:lang w:val="en-US" w:eastAsia="zh-CN" w:bidi="ar-SA"/>
    </w:rPr>
  </w:style>
  <w:style w:type="paragraph" w:styleId="2">
    <w:name w:val="heading 1"/>
    <w:basedOn w:val="1"/>
    <w:next w:val="1"/>
    <w:link w:val="34"/>
    <w:qFormat/>
    <w:uiPriority w:val="0"/>
    <w:pPr>
      <w:keepNext/>
      <w:keepLines/>
      <w:numPr>
        <w:ilvl w:val="0"/>
        <w:numId w:val="1"/>
      </w:numPr>
      <w:spacing w:before="120" w:after="120" w:line="240" w:lineRule="auto"/>
      <w:ind w:firstLine="0" w:firstLineChars="0"/>
      <w:jc w:val="left"/>
      <w:outlineLvl w:val="0"/>
    </w:pPr>
    <w:rPr>
      <w:b/>
      <w:kern w:val="44"/>
      <w:sz w:val="30"/>
    </w:rPr>
  </w:style>
  <w:style w:type="paragraph" w:styleId="3">
    <w:name w:val="heading 2"/>
    <w:basedOn w:val="1"/>
    <w:next w:val="1"/>
    <w:link w:val="23"/>
    <w:autoRedefine/>
    <w:unhideWhenUsed/>
    <w:qFormat/>
    <w:uiPriority w:val="0"/>
    <w:pPr>
      <w:keepNext/>
      <w:keepLines/>
      <w:numPr>
        <w:ilvl w:val="1"/>
        <w:numId w:val="1"/>
      </w:numPr>
      <w:spacing w:line="240" w:lineRule="auto"/>
      <w:ind w:left="0" w:firstLine="0" w:firstLineChars="0"/>
      <w:jc w:val="left"/>
      <w:outlineLvl w:val="1"/>
    </w:pPr>
    <w:rPr>
      <w:rFonts w:asciiTheme="minorEastAsia" w:hAnsiTheme="minorEastAsia" w:eastAsiaTheme="minorEastAsia" w:cstheme="majorBidi"/>
      <w:b/>
      <w:bCs/>
      <w:sz w:val="28"/>
      <w:szCs w:val="30"/>
    </w:rPr>
  </w:style>
  <w:style w:type="paragraph" w:styleId="4">
    <w:name w:val="heading 3"/>
    <w:basedOn w:val="1"/>
    <w:next w:val="1"/>
    <w:link w:val="24"/>
    <w:autoRedefine/>
    <w:unhideWhenUsed/>
    <w:qFormat/>
    <w:uiPriority w:val="0"/>
    <w:pPr>
      <w:keepNext/>
      <w:keepLines/>
      <w:numPr>
        <w:ilvl w:val="0"/>
        <w:numId w:val="2"/>
      </w:numPr>
      <w:spacing w:before="260" w:after="260"/>
      <w:ind w:firstLine="0" w:firstLineChars="0"/>
      <w:outlineLvl w:val="2"/>
    </w:pPr>
    <w:rPr>
      <w:rFonts w:ascii="宋体" w:hAnsi="宋体"/>
      <w:b/>
      <w:bCs/>
      <w:szCs w:val="24"/>
    </w:rPr>
  </w:style>
  <w:style w:type="paragraph" w:styleId="5">
    <w:name w:val="heading 4"/>
    <w:basedOn w:val="1"/>
    <w:next w:val="1"/>
    <w:link w:val="33"/>
    <w:semiHidden/>
    <w:unhideWhenUsed/>
    <w:qFormat/>
    <w:uiPriority w:val="0"/>
    <w:pPr>
      <w:keepNext/>
      <w:keepLines/>
      <w:numPr>
        <w:ilvl w:val="0"/>
        <w:numId w:val="3"/>
      </w:numPr>
      <w:spacing w:before="280" w:after="290" w:line="376" w:lineRule="auto"/>
      <w:outlineLvl w:val="3"/>
    </w:pPr>
    <w:rPr>
      <w:rFonts w:asciiTheme="majorHAnsi" w:hAnsiTheme="majorHAnsi" w:eastAsiaTheme="minorEastAsia" w:cstheme="majorBidi"/>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style>
  <w:style w:type="paragraph" w:styleId="7">
    <w:name w:val="Body Text"/>
    <w:basedOn w:val="1"/>
    <w:link w:val="27"/>
    <w:unhideWhenUsed/>
    <w:qFormat/>
    <w:uiPriority w:val="99"/>
    <w:rPr>
      <w:szCs w:val="24"/>
    </w:rPr>
  </w:style>
  <w:style w:type="paragraph" w:styleId="8">
    <w:name w:val="Body Text Indent"/>
    <w:basedOn w:val="1"/>
    <w:link w:val="41"/>
    <w:semiHidden/>
    <w:unhideWhenUsed/>
    <w:qFormat/>
    <w:uiPriority w:val="0"/>
    <w:pPr>
      <w:spacing w:after="120"/>
      <w:ind w:left="420" w:leftChars="200"/>
    </w:pPr>
  </w:style>
  <w:style w:type="paragraph" w:styleId="9">
    <w:name w:val="toc 3"/>
    <w:basedOn w:val="1"/>
    <w:next w:val="1"/>
    <w:autoRedefine/>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10">
    <w:name w:val="Body Text Indent 2"/>
    <w:basedOn w:val="1"/>
    <w:link w:val="42"/>
    <w:semiHidden/>
    <w:unhideWhenUsed/>
    <w:qFormat/>
    <w:uiPriority w:val="0"/>
    <w:pPr>
      <w:spacing w:after="120" w:line="480" w:lineRule="auto"/>
      <w:ind w:left="420" w:leftChars="200"/>
    </w:pPr>
  </w:style>
  <w:style w:type="paragraph" w:styleId="11">
    <w:name w:val="Balloon Text"/>
    <w:basedOn w:val="1"/>
    <w:link w:val="32"/>
    <w:semiHidden/>
    <w:unhideWhenUsed/>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left" w:pos="426"/>
        <w:tab w:val="left" w:pos="1050"/>
        <w:tab w:val="right" w:leader="dot" w:pos="8296"/>
      </w:tabs>
      <w:spacing w:line="480" w:lineRule="auto"/>
      <w:ind w:firstLine="0" w:firstLineChars="0"/>
    </w:pPr>
  </w:style>
  <w:style w:type="paragraph" w:styleId="15">
    <w:name w:val="toc 2"/>
    <w:basedOn w:val="1"/>
    <w:next w:val="1"/>
    <w:autoRedefine/>
    <w:unhideWhenUsed/>
    <w:qFormat/>
    <w:uiPriority w:val="39"/>
    <w:pPr>
      <w:tabs>
        <w:tab w:val="left" w:pos="1680"/>
        <w:tab w:val="right" w:leader="dot" w:pos="8296"/>
      </w:tabs>
      <w:spacing w:line="240" w:lineRule="auto"/>
      <w:ind w:left="480" w:leftChars="200" w:firstLine="480"/>
    </w:pPr>
  </w:style>
  <w:style w:type="paragraph" w:styleId="16">
    <w:name w:val="Title"/>
    <w:basedOn w:val="1"/>
    <w:next w:val="1"/>
    <w:link w:val="36"/>
    <w:qFormat/>
    <w:uiPriority w:val="10"/>
    <w:pPr>
      <w:spacing w:before="240" w:after="60"/>
      <w:ind w:firstLine="0" w:firstLineChars="0"/>
      <w:jc w:val="left"/>
      <w:outlineLvl w:val="0"/>
    </w:pPr>
    <w:rPr>
      <w:rFonts w:asciiTheme="majorHAnsi" w:hAnsiTheme="majorHAnsi" w:cstheme="majorBidi"/>
      <w:b/>
      <w:bCs/>
      <w:sz w:val="32"/>
      <w:szCs w:val="32"/>
    </w:rPr>
  </w:style>
  <w:style w:type="paragraph" w:styleId="17">
    <w:name w:val="annotation subject"/>
    <w:basedOn w:val="6"/>
    <w:next w:val="6"/>
    <w:link w:val="31"/>
    <w:semiHidden/>
    <w:unhideWhenUsed/>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character" w:customStyle="1" w:styleId="23">
    <w:name w:val="标题 2 Char"/>
    <w:basedOn w:val="20"/>
    <w:link w:val="3"/>
    <w:qFormat/>
    <w:uiPriority w:val="0"/>
    <w:rPr>
      <w:rFonts w:asciiTheme="minorEastAsia" w:hAnsiTheme="minorEastAsia" w:eastAsiaTheme="minorEastAsia" w:cstheme="majorBidi"/>
      <w:b/>
      <w:bCs/>
      <w:kern w:val="2"/>
      <w:sz w:val="28"/>
      <w:szCs w:val="30"/>
    </w:rPr>
  </w:style>
  <w:style w:type="character" w:customStyle="1" w:styleId="24">
    <w:name w:val="标题 3 Char"/>
    <w:basedOn w:val="20"/>
    <w:link w:val="4"/>
    <w:qFormat/>
    <w:uiPriority w:val="0"/>
    <w:rPr>
      <w:rFonts w:ascii="宋体" w:hAnsi="宋体"/>
      <w:b/>
      <w:bCs/>
      <w:kern w:val="2"/>
      <w:sz w:val="24"/>
      <w:szCs w:val="24"/>
    </w:rPr>
  </w:style>
  <w:style w:type="paragraph" w:customStyle="1" w:styleId="25">
    <w:name w:val="列出段落1"/>
    <w:basedOn w:val="1"/>
    <w:qFormat/>
    <w:uiPriority w:val="0"/>
    <w:pPr>
      <w:widowControl/>
      <w:spacing w:before="100" w:beforeAutospacing="1" w:after="100" w:afterAutospacing="1"/>
      <w:ind w:left="720" w:firstLine="360"/>
      <w:contextualSpacing/>
      <w:jc w:val="left"/>
    </w:pPr>
    <w:rPr>
      <w:kern w:val="0"/>
      <w:sz w:val="22"/>
    </w:rPr>
  </w:style>
  <w:style w:type="paragraph" w:styleId="26">
    <w:name w:val="List Paragraph"/>
    <w:basedOn w:val="1"/>
    <w:qFormat/>
    <w:uiPriority w:val="34"/>
    <w:pPr>
      <w:ind w:firstLine="420"/>
    </w:pPr>
  </w:style>
  <w:style w:type="character" w:customStyle="1" w:styleId="27">
    <w:name w:val="正文文本 Char"/>
    <w:basedOn w:val="20"/>
    <w:link w:val="7"/>
    <w:qFormat/>
    <w:uiPriority w:val="99"/>
    <w:rPr>
      <w:rFonts w:ascii="Calibri" w:hAnsi="Calibri"/>
      <w:kern w:val="2"/>
      <w:sz w:val="24"/>
      <w:szCs w:val="24"/>
    </w:rPr>
  </w:style>
  <w:style w:type="character" w:customStyle="1" w:styleId="28">
    <w:name w:val="页眉 Char"/>
    <w:basedOn w:val="20"/>
    <w:link w:val="13"/>
    <w:qFormat/>
    <w:uiPriority w:val="0"/>
    <w:rPr>
      <w:rFonts w:ascii="Calibri" w:hAnsi="Calibri"/>
      <w:kern w:val="2"/>
      <w:sz w:val="18"/>
      <w:szCs w:val="18"/>
    </w:rPr>
  </w:style>
  <w:style w:type="character" w:customStyle="1" w:styleId="29">
    <w:name w:val="页脚 Char"/>
    <w:basedOn w:val="20"/>
    <w:link w:val="12"/>
    <w:qFormat/>
    <w:uiPriority w:val="99"/>
    <w:rPr>
      <w:rFonts w:ascii="Calibri" w:hAnsi="Calibri"/>
      <w:kern w:val="2"/>
      <w:sz w:val="18"/>
      <w:szCs w:val="18"/>
    </w:rPr>
  </w:style>
  <w:style w:type="character" w:customStyle="1" w:styleId="30">
    <w:name w:val="批注文字 Char"/>
    <w:basedOn w:val="20"/>
    <w:link w:val="6"/>
    <w:qFormat/>
    <w:uiPriority w:val="0"/>
    <w:rPr>
      <w:rFonts w:ascii="Calibri" w:hAnsi="Calibri"/>
      <w:kern w:val="2"/>
      <w:sz w:val="21"/>
      <w:szCs w:val="21"/>
    </w:rPr>
  </w:style>
  <w:style w:type="character" w:customStyle="1" w:styleId="31">
    <w:name w:val="批注主题 Char"/>
    <w:basedOn w:val="30"/>
    <w:link w:val="17"/>
    <w:semiHidden/>
    <w:qFormat/>
    <w:uiPriority w:val="0"/>
    <w:rPr>
      <w:rFonts w:ascii="Calibri" w:hAnsi="Calibri"/>
      <w:b/>
      <w:bCs/>
      <w:kern w:val="2"/>
      <w:sz w:val="21"/>
      <w:szCs w:val="21"/>
    </w:rPr>
  </w:style>
  <w:style w:type="character" w:customStyle="1" w:styleId="32">
    <w:name w:val="批注框文本 Char"/>
    <w:basedOn w:val="20"/>
    <w:link w:val="11"/>
    <w:semiHidden/>
    <w:qFormat/>
    <w:uiPriority w:val="0"/>
    <w:rPr>
      <w:rFonts w:ascii="Calibri" w:hAnsi="Calibri"/>
      <w:kern w:val="2"/>
      <w:sz w:val="18"/>
      <w:szCs w:val="18"/>
    </w:rPr>
  </w:style>
  <w:style w:type="character" w:customStyle="1" w:styleId="33">
    <w:name w:val="标题 4 Char"/>
    <w:basedOn w:val="20"/>
    <w:link w:val="5"/>
    <w:semiHidden/>
    <w:qFormat/>
    <w:uiPriority w:val="0"/>
    <w:rPr>
      <w:rFonts w:asciiTheme="majorHAnsi" w:hAnsiTheme="majorHAnsi" w:eastAsiaTheme="minorEastAsia" w:cstheme="majorBidi"/>
      <w:bCs/>
      <w:kern w:val="2"/>
      <w:sz w:val="24"/>
      <w:szCs w:val="28"/>
    </w:rPr>
  </w:style>
  <w:style w:type="character" w:customStyle="1" w:styleId="34">
    <w:name w:val="标题 1 Char"/>
    <w:basedOn w:val="20"/>
    <w:link w:val="2"/>
    <w:qFormat/>
    <w:uiPriority w:val="0"/>
    <w:rPr>
      <w:rFonts w:ascii="Calibri" w:hAnsi="Calibri"/>
      <w:b/>
      <w:kern w:val="44"/>
      <w:sz w:val="30"/>
      <w:szCs w:val="21"/>
    </w:rPr>
  </w:style>
  <w:style w:type="paragraph" w:customStyle="1" w:styleId="35">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36">
    <w:name w:val="标题 Char"/>
    <w:basedOn w:val="20"/>
    <w:link w:val="16"/>
    <w:qFormat/>
    <w:uiPriority w:val="10"/>
    <w:rPr>
      <w:rFonts w:asciiTheme="majorHAnsi" w:hAnsiTheme="majorHAnsi" w:cstheme="majorBidi"/>
      <w:b/>
      <w:bCs/>
      <w:kern w:val="2"/>
      <w:sz w:val="32"/>
      <w:szCs w:val="32"/>
    </w:rPr>
  </w:style>
  <w:style w:type="paragraph" w:customStyle="1" w:styleId="37">
    <w:name w:val="样式 SINOPEC-0"/>
    <w:basedOn w:val="1"/>
    <w:link w:val="38"/>
    <w:qFormat/>
    <w:uiPriority w:val="0"/>
    <w:rPr>
      <w:rFonts w:ascii="Arial" w:hAnsi="Arial" w:cs="宋体"/>
      <w:szCs w:val="24"/>
    </w:rPr>
  </w:style>
  <w:style w:type="character" w:customStyle="1" w:styleId="38">
    <w:name w:val="样式 SINOPEC-0 Char"/>
    <w:basedOn w:val="20"/>
    <w:link w:val="37"/>
    <w:qFormat/>
    <w:uiPriority w:val="0"/>
    <w:rPr>
      <w:rFonts w:ascii="Arial" w:hAnsi="Arial" w:cs="宋体"/>
      <w:kern w:val="2"/>
      <w:sz w:val="24"/>
      <w:szCs w:val="24"/>
    </w:rPr>
  </w:style>
  <w:style w:type="paragraph" w:customStyle="1" w:styleId="39">
    <w:name w:val="样式 SINOPEC-1"/>
    <w:basedOn w:val="1"/>
    <w:qFormat/>
    <w:uiPriority w:val="0"/>
    <w:pPr>
      <w:keepNext/>
      <w:spacing w:beforeLines="100" w:afterLines="100"/>
      <w:ind w:firstLine="0" w:firstLineChars="0"/>
      <w:contextualSpacing/>
      <w:jc w:val="left"/>
      <w:outlineLvl w:val="0"/>
    </w:pPr>
    <w:rPr>
      <w:rFonts w:ascii="Arial" w:hAnsi="Arial" w:cs="宋体"/>
      <w:b/>
      <w:bCs/>
      <w:kern w:val="0"/>
      <w:szCs w:val="24"/>
    </w:rPr>
  </w:style>
  <w:style w:type="paragraph" w:customStyle="1" w:styleId="40">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1">
    <w:name w:val="正文文本缩进 Char"/>
    <w:basedOn w:val="20"/>
    <w:link w:val="8"/>
    <w:semiHidden/>
    <w:qFormat/>
    <w:uiPriority w:val="0"/>
    <w:rPr>
      <w:rFonts w:ascii="Calibri" w:hAnsi="Calibri"/>
      <w:kern w:val="2"/>
      <w:sz w:val="24"/>
      <w:szCs w:val="21"/>
    </w:rPr>
  </w:style>
  <w:style w:type="character" w:customStyle="1" w:styleId="42">
    <w:name w:val="正文文本缩进 2 Char"/>
    <w:basedOn w:val="20"/>
    <w:link w:val="10"/>
    <w:semiHidden/>
    <w:qFormat/>
    <w:uiPriority w:val="0"/>
    <w:rPr>
      <w:rFonts w:ascii="Calibri" w:hAnsi="Calibri"/>
      <w:kern w:val="2"/>
      <w:sz w:val="24"/>
      <w:szCs w:val="21"/>
    </w:rPr>
  </w:style>
  <w:style w:type="paragraph" w:customStyle="1" w:styleId="43">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44">
    <w:name w:val="TOC 标题11"/>
    <w:basedOn w:val="2"/>
    <w:next w:val="1"/>
    <w:unhideWhenUsed/>
    <w:qFormat/>
    <w:uiPriority w:val="39"/>
    <w:pPr>
      <w:widowControl/>
      <w:numPr>
        <w:numId w:val="0"/>
      </w:numPr>
      <w:spacing w:before="240" w:after="0" w:line="259" w:lineRule="auto"/>
      <w:ind w:left="425"/>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1D0-B8A2-447E-85A8-6E37254D4A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6551</Words>
  <Characters>7510</Characters>
  <Lines>58</Lines>
  <Paragraphs>16</Paragraphs>
  <TotalTime>21</TotalTime>
  <ScaleCrop>false</ScaleCrop>
  <LinksUpToDate>false</LinksUpToDate>
  <CharactersWithSpaces>7778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2024-06-12T09:28:00Z</dcterms:created>
  <dc:creator>LENOVO</dc:creator>
  <cp:lastModifiedBy> 许有权</cp:lastModifiedBy>
  <cp:lastPrinted>2024-07-18T01:11:00Z</cp:lastPrinted>
  <dcterms:modified xsi:type="dcterms:W3CDTF">2024-10-28T00:23:03Z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19E51603894540D5AA155BE07DC35CED_13</vt:lpwstr>
  </property>
</Properties>
</file>