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int="default" w:ascii="Times New Roman" w:eastAsia="宋体"/>
          <w:sz w:val="20"/>
          <w:lang w:val="en-US"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2台高压气动开关球</w:t>
      </w:r>
      <w:r>
        <w:rPr>
          <w:rFonts w:hint="eastAsia" w:ascii="微软雅黑" w:eastAsia="微软雅黑"/>
          <w:b/>
          <w:sz w:val="52"/>
          <w:szCs w:val="22"/>
          <w:u w:val="single"/>
          <w:lang w:eastAsia="zh-CN"/>
        </w:rPr>
        <w:t>阀采购项目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（文件编号：QG2302150031）</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2台高压气动开关球</w:t>
      </w:r>
      <w:r>
        <w:rPr>
          <w:rFonts w:hint="eastAsia"/>
          <w:b/>
          <w:bCs/>
          <w:sz w:val="32"/>
          <w:lang w:eastAsia="zh-CN"/>
        </w:rPr>
        <w:t>阀采购项</w:t>
      </w:r>
      <w:r>
        <w:rPr>
          <w:b/>
          <w:bCs/>
          <w:sz w:val="32"/>
          <w:lang w:eastAsia="zh-CN"/>
        </w:rPr>
        <w:t>目</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2台高压气动开关球</w:t>
      </w:r>
      <w:r>
        <w:rPr>
          <w:rFonts w:hint="eastAsia"/>
          <w:color w:val="000000" w:themeColor="text1"/>
          <w:u w:val="single"/>
          <w:lang w:eastAsia="zh-CN"/>
        </w:rPr>
        <w:t>阀采购项目（项目编号：QG2302150031）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2台高压气动开关球</w:t>
      </w:r>
      <w:r>
        <w:rPr>
          <w:rFonts w:hint="eastAsia"/>
          <w:sz w:val="24"/>
          <w:szCs w:val="24"/>
          <w:lang w:eastAsia="zh-CN"/>
        </w:rPr>
        <w:t>阀采购项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r>
              <w:rPr>
                <w:rFonts w:hint="eastAsia" w:cs="宋体"/>
                <w:i w:val="0"/>
                <w:iCs w:val="0"/>
                <w:color w:val="000000"/>
                <w:kern w:val="0"/>
                <w:sz w:val="18"/>
                <w:szCs w:val="18"/>
                <w:u w:val="none"/>
                <w:lang w:val="en-US" w:eastAsia="zh-CN" w:bidi="ar"/>
              </w:rPr>
              <w:t>23060119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高压气动开关球阀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12</w:t>
            </w:r>
            <w:r>
              <w:rPr>
                <w:rFonts w:hint="default"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CL1500\阀盖：散热型\阀体材质：ASTMA182F11\固定球\Ⅵ泄露\单作用\开关类型\：SPDT*2\带侧装手轮\规格书\需签技术协议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2</w:t>
            </w:r>
          </w:p>
        </w:tc>
      </w:tr>
    </w:tbl>
    <w:p>
      <w:pPr>
        <w:tabs>
          <w:tab w:val="left" w:pos="709"/>
        </w:tabs>
        <w:spacing w:line="360" w:lineRule="auto"/>
        <w:rPr>
          <w:sz w:val="24"/>
          <w:szCs w:val="24"/>
          <w:lang w:eastAsia="zh-CN"/>
        </w:rPr>
      </w:pPr>
    </w:p>
    <w:p>
      <w:pPr>
        <w:tabs>
          <w:tab w:val="left" w:pos="709"/>
        </w:tabs>
        <w:spacing w:line="360" w:lineRule="auto"/>
        <w:ind w:firstLine="480" w:firstLineChars="200"/>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4.</w:t>
      </w: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eastAsia="zh-CN"/>
        </w:rPr>
        <w:t>：</w:t>
      </w:r>
      <w:r>
        <w:rPr>
          <w:rFonts w:hint="eastAsia" w:ascii="宋体" w:hAnsi="宋体"/>
          <w:b w:val="0"/>
          <w:bCs w:val="0"/>
          <w:sz w:val="24"/>
          <w:lang w:val="en-US" w:eastAsia="zh-CN"/>
        </w:rPr>
        <w:t>130</w:t>
      </w:r>
      <w:r>
        <w:rPr>
          <w:rFonts w:hint="eastAsia" w:ascii="宋体" w:hAnsi="宋体"/>
          <w:b w:val="0"/>
          <w:bCs w:val="0"/>
          <w:sz w:val="24"/>
          <w:lang w:eastAsia="zh-CN"/>
        </w:rPr>
        <w:t>万元整（含税</w:t>
      </w:r>
      <w:r>
        <w:rPr>
          <w:rFonts w:hint="eastAsia"/>
          <w:b w:val="0"/>
          <w:bCs w:val="0"/>
          <w:sz w:val="24"/>
          <w:lang w:val="en-US" w:eastAsia="zh-CN"/>
        </w:rPr>
        <w:t>13%</w:t>
      </w:r>
      <w:r>
        <w:rPr>
          <w:rFonts w:hint="eastAsia" w:ascii="宋体" w:hAnsi="宋体"/>
          <w:b w:val="0"/>
          <w:bCs w:val="0"/>
          <w:sz w:val="24"/>
          <w:lang w:eastAsia="zh-CN"/>
        </w:rPr>
        <w:t>总价）</w:t>
      </w:r>
      <w:r>
        <w:rPr>
          <w:rFonts w:hint="eastAsia" w:ascii="宋体" w:hAnsi="宋体"/>
          <w:b w:val="0"/>
          <w:bCs w:val="0"/>
          <w:sz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.参选人要有特种设备制造许可证 A1、A2、B。</w:t>
      </w:r>
    </w:p>
    <w:p>
      <w:pPr>
        <w:pStyle w:val="56"/>
        <w:ind w:firstLine="480" w:firstLineChars="200"/>
        <w:rPr>
          <w:rFonts w:hint="default"/>
          <w:lang w:val="en-US" w:eastAsia="zh-CN"/>
        </w:rPr>
      </w:pPr>
      <w:r>
        <w:rPr>
          <w:rFonts w:hint="eastAsia"/>
          <w:color w:val="auto"/>
          <w:sz w:val="24"/>
          <w:szCs w:val="24"/>
          <w:lang w:eastAsia="zh-CN"/>
        </w:rPr>
        <w:t>4.参选人提供的阀门应该是成熟可靠、技术先进、在国内石油化工类型、近</w:t>
      </w:r>
      <w:r>
        <w:rPr>
          <w:rFonts w:hint="eastAsia"/>
          <w:color w:val="auto"/>
          <w:sz w:val="24"/>
          <w:szCs w:val="24"/>
          <w:lang w:val="en-US" w:eastAsia="zh-CN"/>
        </w:rPr>
        <w:t>五</w:t>
      </w:r>
      <w:r>
        <w:rPr>
          <w:rFonts w:hint="eastAsia"/>
          <w:color w:val="auto"/>
          <w:sz w:val="24"/>
          <w:szCs w:val="24"/>
          <w:lang w:eastAsia="zh-CN"/>
        </w:rPr>
        <w:t>年同规模装置至少有1处主装置(且安装投用)，单个合同总价≥50万元，数量≥2台调节阀的合同业绩。</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1"/>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w:t>
      </w:r>
      <w:r>
        <w:rPr>
          <w:rFonts w:hint="eastAsia" w:cs="Arial" w:asciiTheme="majorEastAsia" w:hAnsiTheme="majorEastAsia" w:eastAsiaTheme="majorEastAsia"/>
          <w:color w:val="333333"/>
          <w:sz w:val="24"/>
          <w:szCs w:val="24"/>
          <w:lang w:val="en-US" w:eastAsia="zh-CN"/>
        </w:rPr>
        <w:t>陆仟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26000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2台高压气动开关球</w:t>
      </w:r>
      <w:r>
        <w:rPr>
          <w:rFonts w:hint="eastAsia" w:cs="Arial" w:asciiTheme="majorEastAsia" w:hAnsiTheme="majorEastAsia" w:eastAsiaTheme="majorEastAsia"/>
          <w:b/>
          <w:bCs/>
          <w:color w:val="333333"/>
          <w:sz w:val="24"/>
          <w:szCs w:val="24"/>
          <w:lang w:eastAsia="zh-CN"/>
        </w:rPr>
        <w:t>阀</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1"/>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bookmarkStart w:id="16" w:name="_GoBack"/>
      <w:bookmarkEnd w:id="16"/>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2台高压气动开关球</w:t>
      </w:r>
      <w:r>
        <w:rPr>
          <w:rFonts w:hint="eastAsia"/>
          <w:sz w:val="24"/>
          <w:szCs w:val="24"/>
          <w:lang w:eastAsia="zh-CN"/>
        </w:rPr>
        <w:t>阀。</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唐凤玉 15059611803, fytang@fhcpec.com.cn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pPr>
        <w:pStyle w:val="203"/>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.参选人要有特种设备制造许可证 A1、A2、B。</w:t>
      </w:r>
    </w:p>
    <w:p>
      <w:pPr>
        <w:pStyle w:val="21"/>
        <w:spacing w:line="360" w:lineRule="auto"/>
        <w:ind w:right="121" w:firstLine="480" w:firstLineChars="200"/>
        <w:jc w:val="both"/>
        <w:rPr>
          <w:rFonts w:hint="eastAsia"/>
          <w:color w:val="000000" w:themeColor="text1"/>
          <w:lang w:eastAsia="zh-CN"/>
        </w:rPr>
      </w:pPr>
      <w:r>
        <w:rPr>
          <w:rFonts w:hint="eastAsia"/>
          <w:color w:val="000000" w:themeColor="text1"/>
          <w:lang w:eastAsia="zh-CN"/>
        </w:rPr>
        <w:t xml:space="preserve">4.参选人提供的阀门应该是成熟可靠、技术先进、在国内石油化工类型、近三年同规模装置至少有1处主装置(且安装投用)，单个合同总价≥50万元，数量≥2台调节阀的合同业绩。   </w:t>
      </w:r>
    </w:p>
    <w:p>
      <w:pPr>
        <w:pStyle w:val="21"/>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1、参选保证金的金额为：人民币贰万元整（￥</w:t>
      </w:r>
      <w:r>
        <w:rPr>
          <w:rFonts w:hint="eastAsia" w:cs="Arial" w:asciiTheme="majorEastAsia" w:hAnsiTheme="majorEastAsia" w:eastAsiaTheme="majorEastAsia"/>
          <w:color w:val="333333"/>
          <w:sz w:val="24"/>
          <w:szCs w:val="24"/>
          <w:lang w:val="en-US" w:eastAsia="zh-CN"/>
        </w:rPr>
        <w:t>26000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2台高压气动开关球</w:t>
      </w:r>
      <w:r>
        <w:rPr>
          <w:rFonts w:hint="eastAsia" w:cs="Arial" w:asciiTheme="majorEastAsia" w:hAnsiTheme="majorEastAsia" w:eastAsiaTheme="majorEastAsia"/>
          <w:b/>
          <w:bCs/>
          <w:color w:val="333333"/>
          <w:sz w:val="24"/>
          <w:szCs w:val="24"/>
          <w:lang w:eastAsia="zh-CN"/>
        </w:rPr>
        <w:t>阀</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26000元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4"/>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130</w:t>
      </w:r>
      <w:r>
        <w:rPr>
          <w:rFonts w:hint="eastAsia"/>
          <w:b/>
          <w:color w:val="FF0000"/>
          <w:lang w:eastAsia="zh-CN"/>
        </w:rPr>
        <w:t>万元整（含税总价）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1"/>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1"/>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1"/>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1"/>
        <w:spacing w:line="360" w:lineRule="auto"/>
        <w:ind w:right="121" w:firstLine="480" w:firstLineChars="200"/>
        <w:jc w:val="both"/>
        <w:rPr>
          <w:lang w:eastAsia="zh-CN"/>
        </w:rPr>
      </w:pP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default" w:ascii="Times New Roman"/>
          <w:b/>
          <w:bCs/>
          <w:lang w:val="en-US" w:eastAsia="zh-CN"/>
        </w:rPr>
      </w:pPr>
    </w:p>
    <w:p>
      <w:pPr>
        <w:pStyle w:val="56"/>
        <w:rPr>
          <w:b/>
          <w:bCs/>
          <w:sz w:val="24"/>
          <w:szCs w:val="24"/>
        </w:rPr>
      </w:pPr>
      <w:bookmarkStart w:id="1" w:name="_Toc10991"/>
      <w:bookmarkStart w:id="2" w:name="_Toc31173"/>
      <w:bookmarkStart w:id="3" w:name="_Toc18049"/>
      <w:bookmarkStart w:id="4" w:name="_Toc2239"/>
      <w:bookmarkStart w:id="5" w:name="_Toc4114"/>
      <w:bookmarkStart w:id="6" w:name="_Toc14171"/>
      <w:bookmarkStart w:id="7" w:name="_Toc23434"/>
      <w:bookmarkStart w:id="8" w:name="_Toc17959"/>
      <w:bookmarkStart w:id="9" w:name="_Toc20273"/>
      <w:bookmarkStart w:id="10" w:name="_Toc31402"/>
      <w:bookmarkStart w:id="11" w:name="_Toc385779252"/>
      <w:bookmarkStart w:id="12" w:name="_Toc27787"/>
      <w:bookmarkStart w:id="13" w:name="_Toc352146655"/>
      <w:bookmarkStart w:id="14" w:name="_Toc8520"/>
      <w:bookmarkStart w:id="15" w:name="_Toc20180"/>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2台高压气动开关球</w:t>
      </w:r>
      <w:r>
        <w:rPr>
          <w:rFonts w:hint="eastAsia" w:ascii="Times New Roman" w:hAnsi="ˎ̥"/>
          <w:sz w:val="28"/>
          <w:szCs w:val="28"/>
          <w:lang w:eastAsia="zh-CN"/>
        </w:rPr>
        <w:t>阀比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2台高压气动开关球</w:t>
      </w:r>
      <w:r>
        <w:rPr>
          <w:rFonts w:hint="eastAsia"/>
          <w:b/>
          <w:bCs/>
          <w:sz w:val="24"/>
          <w:szCs w:val="24"/>
          <w:lang w:eastAsia="zh-CN"/>
        </w:rPr>
        <w:t>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QG2302150031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27</w:t>
            </w:r>
            <w:r>
              <w:rPr>
                <w:rFonts w:hint="eastAsia" w:cs="宋体"/>
                <w:i w:val="0"/>
                <w:iCs w:val="0"/>
                <w:color w:val="000000"/>
                <w:kern w:val="0"/>
                <w:sz w:val="18"/>
                <w:szCs w:val="18"/>
                <w:u w:val="none"/>
                <w:lang w:val="en-US" w:eastAsia="zh-CN" w:bidi="ar"/>
              </w:rPr>
              <w:t>23060119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高压气动开关球阀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12</w:t>
            </w:r>
            <w:r>
              <w:rPr>
                <w:rFonts w:hint="default"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CL1500\阀盖：散热型\阀体材质：ASTMA182F11\固定球\Ⅵ泄露\单作用\开关类型\：SPDT*2\带侧装手轮\规格书\需签技术协议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auto"/>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E054EB"/>
    <w:rsid w:val="02E828A9"/>
    <w:rsid w:val="0367315B"/>
    <w:rsid w:val="039452D6"/>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3547C9"/>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CE14C6"/>
    <w:rsid w:val="34D84CEC"/>
    <w:rsid w:val="35DC515B"/>
    <w:rsid w:val="37AF5AB7"/>
    <w:rsid w:val="38B844F1"/>
    <w:rsid w:val="399C3DF7"/>
    <w:rsid w:val="39E568DF"/>
    <w:rsid w:val="3A387F18"/>
    <w:rsid w:val="3AC225C0"/>
    <w:rsid w:val="3AD1189A"/>
    <w:rsid w:val="3B1C3371"/>
    <w:rsid w:val="3CAE3A33"/>
    <w:rsid w:val="3CC23198"/>
    <w:rsid w:val="3DDF4815"/>
    <w:rsid w:val="3F447AD9"/>
    <w:rsid w:val="3FE669E5"/>
    <w:rsid w:val="41B94E35"/>
    <w:rsid w:val="42C84A21"/>
    <w:rsid w:val="43CA6D32"/>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97A9F"/>
    <w:rsid w:val="56A70955"/>
    <w:rsid w:val="57667D24"/>
    <w:rsid w:val="57C67347"/>
    <w:rsid w:val="57CE5BC3"/>
    <w:rsid w:val="57FB365A"/>
    <w:rsid w:val="58EA489E"/>
    <w:rsid w:val="5998493F"/>
    <w:rsid w:val="59B9557B"/>
    <w:rsid w:val="59C5385A"/>
    <w:rsid w:val="5A2D3E44"/>
    <w:rsid w:val="5A3260D4"/>
    <w:rsid w:val="5A8E6A07"/>
    <w:rsid w:val="5AD75FB8"/>
    <w:rsid w:val="5AE1516A"/>
    <w:rsid w:val="5B3226FA"/>
    <w:rsid w:val="5B6A3A79"/>
    <w:rsid w:val="5C1A5F7B"/>
    <w:rsid w:val="5D7A3273"/>
    <w:rsid w:val="5E2B4120"/>
    <w:rsid w:val="5E543886"/>
    <w:rsid w:val="601675AC"/>
    <w:rsid w:val="60342B61"/>
    <w:rsid w:val="627A792A"/>
    <w:rsid w:val="628D3982"/>
    <w:rsid w:val="62A32CCC"/>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1E85B35"/>
    <w:rsid w:val="725849E4"/>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A939D5"/>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29"/>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8"/>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3"/>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17</Pages>
  <Words>9576</Words>
  <Characters>10118</Characters>
  <Lines>79</Lines>
  <Paragraphs>22</Paragraphs>
  <TotalTime>3</TotalTime>
  <ScaleCrop>false</ScaleCrop>
  <LinksUpToDate>false</LinksUpToDate>
  <CharactersWithSpaces>10983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2023-07-11T01:38:45Z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