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color w:val="auto"/>
          <w:sz w:val="52"/>
          <w:szCs w:val="22"/>
          <w:u w:val="single"/>
          <w:lang w:eastAsia="zh-CN"/>
        </w:rPr>
      </w:pPr>
      <w:r>
        <w:rPr>
          <w:rFonts w:hint="eastAsia" w:ascii="微软雅黑" w:eastAsia="微软雅黑"/>
          <w:b/>
          <w:sz w:val="52"/>
          <w:szCs w:val="22"/>
          <w:u w:val="single"/>
          <w:lang w:eastAsia="zh-CN"/>
        </w:rPr>
        <w:t>福建福海创石油化工有限公司生产一团队纤维膜反应器清洗及部分纤维丝更换</w:t>
      </w:r>
      <w:r>
        <w:rPr>
          <w:rFonts w:hint="eastAsia" w:ascii="微软雅黑" w:eastAsia="微软雅黑"/>
          <w:b/>
          <w:sz w:val="52"/>
          <w:szCs w:val="22"/>
          <w:u w:val="single"/>
          <w:lang w:val="en-US" w:eastAsia="zh-CN"/>
        </w:rPr>
        <w:t>项目</w:t>
      </w:r>
      <w:r>
        <w:rPr>
          <w:rFonts w:hint="eastAsia" w:ascii="微软雅黑" w:eastAsia="微软雅黑"/>
          <w:b/>
          <w:sz w:val="52"/>
          <w:szCs w:val="22"/>
          <w:u w:val="single"/>
          <w:lang w:eastAsia="zh-CN"/>
        </w:rPr>
        <w:t>比选文</w:t>
      </w:r>
      <w:r>
        <w:rPr>
          <w:rFonts w:hint="eastAsia" w:ascii="微软雅黑" w:eastAsia="微软雅黑"/>
          <w:b/>
          <w:color w:val="auto"/>
          <w:sz w:val="52"/>
          <w:szCs w:val="22"/>
          <w:u w:val="single"/>
          <w:lang w:eastAsia="zh-CN"/>
        </w:rPr>
        <w:t>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ascii="宋体" w:hAnsi="Calibri" w:eastAsia="宋体" w:cs="Times New Roman"/>
          <w:i w:val="0"/>
          <w:iCs w:val="0"/>
          <w:caps w:val="0"/>
          <w:color w:val="000000" w:themeColor="text1"/>
          <w:spacing w:val="0"/>
          <w:sz w:val="28"/>
          <w:szCs w:val="28"/>
          <w:shd w:val="clear"/>
          <w14:textFill>
            <w14:solidFill>
              <w14:schemeClr w14:val="tx1"/>
            </w14:solidFill>
          </w14:textFill>
        </w:rPr>
        <w:t>FHC-PTCG20230407001</w:t>
      </w:r>
      <w:r>
        <w:rPr>
          <w:rFonts w:hint="eastAsia"/>
          <w:color w:val="000000" w:themeColor="text1"/>
          <w:sz w:val="28"/>
          <w:szCs w:val="28"/>
          <w14:textFill>
            <w14:solidFill>
              <w14:schemeClr w14:val="tx1"/>
            </w14:solidFill>
          </w14:textFill>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w:t>
      </w:r>
      <w:r>
        <w:rPr>
          <w:rFonts w:hint="eastAsia" w:ascii="微软雅黑" w:eastAsia="微软雅黑"/>
          <w:b/>
          <w:color w:val="000000" w:themeColor="text1"/>
          <w:w w:val="95"/>
          <w:sz w:val="32"/>
          <w:lang w:val="en-US" w:eastAsia="zh-CN"/>
          <w14:textFill>
            <w14:solidFill>
              <w14:schemeClr w14:val="tx1"/>
            </w14:solidFill>
          </w14:textFill>
        </w:rPr>
        <w:t>三</w:t>
      </w:r>
      <w:r>
        <w:rPr>
          <w:rFonts w:hint="eastAsia" w:ascii="微软雅黑" w:eastAsia="微软雅黑"/>
          <w:b/>
          <w:color w:val="000000" w:themeColor="text1"/>
          <w:w w:val="95"/>
          <w:sz w:val="32"/>
          <w:lang w:eastAsia="zh-CN"/>
          <w14:textFill>
            <w14:solidFill>
              <w14:schemeClr w14:val="tx1"/>
            </w14:solidFill>
          </w14:textFill>
        </w:rPr>
        <w:t>年</w:t>
      </w:r>
      <w:r>
        <w:rPr>
          <w:rFonts w:hint="eastAsia" w:ascii="微软雅黑" w:eastAsia="微软雅黑"/>
          <w:b/>
          <w:color w:val="000000" w:themeColor="text1"/>
          <w:w w:val="95"/>
          <w:sz w:val="32"/>
          <w:lang w:val="en-US" w:eastAsia="zh-CN"/>
          <w14:textFill>
            <w14:solidFill>
              <w14:schemeClr w14:val="tx1"/>
            </w14:solidFill>
          </w14:textFill>
        </w:rPr>
        <w:t>五</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1"/>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rFonts w:hint="eastAsia"/>
          <w:b/>
          <w:bCs/>
          <w:sz w:val="32"/>
          <w:lang w:eastAsia="zh-CN"/>
        </w:rPr>
      </w:pPr>
      <w:r>
        <w:rPr>
          <w:rFonts w:hint="eastAsia"/>
          <w:b/>
          <w:bCs/>
          <w:sz w:val="32"/>
          <w:lang w:eastAsia="zh-CN"/>
        </w:rPr>
        <w:t>福建福海创石油化工有限公司</w:t>
      </w:r>
      <w:r>
        <w:rPr>
          <w:rFonts w:hint="eastAsia"/>
          <w:b/>
          <w:bCs/>
          <w:sz w:val="32"/>
          <w:lang w:val="en-US" w:eastAsia="zh-CN"/>
        </w:rPr>
        <w:t>生产生产一团队纤维膜反应器清洗及部分纤维丝更换项目</w:t>
      </w:r>
      <w:r>
        <w:rPr>
          <w:rFonts w:hint="eastAsia"/>
          <w:b/>
          <w:bCs/>
          <w:sz w:val="32"/>
          <w:lang w:eastAsia="zh-CN"/>
        </w:rPr>
        <w:t>比选公告</w:t>
      </w:r>
    </w:p>
    <w:p>
      <w:pPr>
        <w:jc w:val="center"/>
        <w:rPr>
          <w:rFonts w:hint="eastAsia"/>
          <w:b/>
          <w:bCs/>
          <w:sz w:val="32"/>
          <w:lang w:eastAsia="zh-CN"/>
        </w:rPr>
      </w:pPr>
    </w:p>
    <w:p>
      <w:pPr>
        <w:pStyle w:val="20"/>
        <w:spacing w:before="26" w:line="360" w:lineRule="auto"/>
        <w:ind w:right="121"/>
        <w:jc w:val="both"/>
        <w:rPr>
          <w:lang w:eastAsia="zh-CN"/>
        </w:rPr>
      </w:pPr>
      <w:r>
        <w:rPr>
          <w:rFonts w:hint="eastAsia"/>
          <w:lang w:eastAsia="zh-CN"/>
        </w:rPr>
        <w:t xml:space="preserve">   </w:t>
      </w:r>
      <w:bookmarkStart w:id="14" w:name="_GoBack"/>
      <w:r>
        <w:rPr>
          <w:rFonts w:hint="eastAsia"/>
          <w:lang w:eastAsia="zh-CN"/>
        </w:rPr>
        <w:t xml:space="preserve"> 福建福海创石油化工有限公司就“</w:t>
      </w:r>
      <w:r>
        <w:rPr>
          <w:rFonts w:hint="eastAsia"/>
          <w:b w:val="0"/>
          <w:bCs w:val="0"/>
          <w:sz w:val="24"/>
          <w:lang w:val="en-US" w:eastAsia="zh-CN"/>
        </w:rPr>
        <w:t>生产生产一团队纤维膜反应器清洗及部分纤维丝更换项目</w:t>
      </w:r>
      <w:r>
        <w:rPr>
          <w:rFonts w:hint="eastAsia"/>
          <w:color w:val="auto"/>
          <w:u w:val="none"/>
          <w:lang w:eastAsia="zh-CN"/>
        </w:rPr>
        <w:t>（项目编号：</w:t>
      </w:r>
      <w:r>
        <w:rPr>
          <w:rFonts w:hint="eastAsia" w:ascii="宋体" w:hAnsi="Calibri" w:eastAsia="宋体" w:cs="Times New Roman"/>
          <w:i w:val="0"/>
          <w:iCs w:val="0"/>
          <w:caps w:val="0"/>
          <w:color w:val="000000" w:themeColor="text1"/>
          <w:spacing w:val="0"/>
          <w:sz w:val="28"/>
          <w:szCs w:val="28"/>
          <w:shd w:val="clear"/>
          <w14:textFill>
            <w14:solidFill>
              <w14:schemeClr w14:val="tx1"/>
            </w14:solidFill>
          </w14:textFill>
        </w:rPr>
        <w:t>FHC-PTCG20230407001</w:t>
      </w:r>
      <w:r>
        <w:rPr>
          <w:rFonts w:hint="eastAsia"/>
          <w:u w:val="none"/>
          <w:lang w:eastAsia="zh-CN"/>
        </w:rPr>
        <w:t>）</w:t>
      </w:r>
      <w:r>
        <w:rPr>
          <w:rFonts w:hint="eastAsia"/>
          <w:color w:val="auto"/>
          <w:u w:val="none"/>
          <w:lang w:eastAsia="zh-CN"/>
        </w:rPr>
        <w:t>”</w:t>
      </w:r>
      <w:r>
        <w:rPr>
          <w:lang w:eastAsia="zh-CN"/>
        </w:rPr>
        <w:t>进行国内公开比选</w:t>
      </w:r>
      <w:r>
        <w:rPr>
          <w:rFonts w:hint="eastAsia"/>
          <w:lang w:eastAsia="zh-CN"/>
        </w:rPr>
        <w:t>，欢迎国内符合条件的承揽商积极参选。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rFonts w:hint="eastAsia"/>
          <w:sz w:val="24"/>
          <w:szCs w:val="24"/>
          <w:lang w:val="en-US" w:eastAsia="zh-CN"/>
        </w:rPr>
      </w:pPr>
      <w:r>
        <w:rPr>
          <w:sz w:val="24"/>
          <w:szCs w:val="24"/>
          <w:lang w:eastAsia="zh-CN"/>
        </w:rPr>
        <w:t>1.</w:t>
      </w:r>
      <w:r>
        <w:rPr>
          <w:rFonts w:hint="eastAsia"/>
          <w:sz w:val="24"/>
          <w:szCs w:val="24"/>
          <w:lang w:eastAsia="zh-CN"/>
        </w:rPr>
        <w:t>项目名称：福建福海创石油化工有限公司</w:t>
      </w:r>
      <w:r>
        <w:rPr>
          <w:rFonts w:hint="eastAsia"/>
          <w:b w:val="0"/>
          <w:bCs w:val="0"/>
          <w:sz w:val="24"/>
          <w:szCs w:val="24"/>
          <w:lang w:val="en-US" w:eastAsia="zh-CN"/>
        </w:rPr>
        <w:t>生产生产一团队纤维膜反应器清洗及部分纤维丝更换项目</w:t>
      </w:r>
      <w:r>
        <w:rPr>
          <w:rFonts w:hint="eastAsia"/>
          <w:b w:val="0"/>
          <w:bCs w:val="0"/>
          <w:sz w:val="24"/>
          <w:szCs w:val="24"/>
          <w:u w:val="none"/>
          <w:lang w:val="en-US"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r>
        <w:rPr>
          <w:rFonts w:hint="eastAsia"/>
          <w:b w:val="0"/>
          <w:bCs w:val="0"/>
          <w:sz w:val="24"/>
          <w:szCs w:val="24"/>
          <w:lang w:val="en-US" w:eastAsia="zh-CN"/>
        </w:rPr>
        <w:t>生产生产一团队纤维膜反应器清洗及部分纤维丝更换项目</w:t>
      </w:r>
      <w:r>
        <w:rPr>
          <w:rFonts w:hint="eastAsia"/>
          <w:sz w:val="24"/>
          <w:szCs w:val="24"/>
          <w:lang w:eastAsia="zh-CN"/>
        </w:rPr>
        <w:t>，内容详见附</w:t>
      </w:r>
      <w:r>
        <w:rPr>
          <w:sz w:val="24"/>
          <w:szCs w:val="24"/>
          <w:lang w:eastAsia="zh-CN"/>
        </w:rPr>
        <w:t>件发包说明</w:t>
      </w:r>
      <w:r>
        <w:rPr>
          <w:rFonts w:hint="eastAsia"/>
          <w:sz w:val="24"/>
          <w:szCs w:val="24"/>
          <w:lang w:eastAsia="zh-CN"/>
        </w:rPr>
        <w:t>。</w:t>
      </w:r>
    </w:p>
    <w:p>
      <w:pPr>
        <w:pStyle w:val="20"/>
        <w:spacing w:line="360" w:lineRule="auto"/>
        <w:ind w:right="121" w:firstLine="480"/>
        <w:jc w:val="both"/>
        <w:rPr>
          <w:rFonts w:hint="default" w:eastAsia="宋体"/>
          <w:lang w:val="en-US" w:eastAsia="zh-CN"/>
        </w:rPr>
      </w:pPr>
      <w:r>
        <w:rPr>
          <w:rFonts w:hint="eastAsia"/>
          <w:sz w:val="24"/>
          <w:szCs w:val="24"/>
          <w:lang w:val="en-US" w:eastAsia="zh-CN"/>
        </w:rPr>
        <w:t>3、本案最高限价：未税</w:t>
      </w:r>
      <w:r>
        <w:rPr>
          <w:rFonts w:hint="eastAsia"/>
          <w:lang w:val="en-US" w:eastAsia="zh-CN"/>
        </w:rPr>
        <w:t>45万元。</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参选单位应是具备独立法人资格且有能力按我司需求提供服务的承揽商。</w:t>
      </w:r>
    </w:p>
    <w:p>
      <w:pPr>
        <w:pStyle w:val="206"/>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6"/>
        <w:spacing w:line="360" w:lineRule="auto"/>
        <w:ind w:left="0" w:leftChars="0" w:firstLine="0" w:firstLineChars="0"/>
        <w:rPr>
          <w:rFonts w:hint="eastAsia" w:ascii="宋体" w:hAnsi="宋体" w:cs="宋体"/>
          <w:kern w:val="0"/>
          <w:sz w:val="24"/>
          <w:szCs w:val="24"/>
        </w:rPr>
      </w:pPr>
      <w:r>
        <w:rPr>
          <w:sz w:val="24"/>
          <w:szCs w:val="24"/>
        </w:rPr>
        <w:t>选；</w:t>
      </w:r>
      <w:r>
        <w:rPr>
          <w:rFonts w:hint="eastAsia" w:ascii="宋体" w:hAnsi="宋体" w:cs="宋体"/>
          <w:kern w:val="0"/>
          <w:sz w:val="24"/>
          <w:szCs w:val="24"/>
        </w:rPr>
        <w:t>参选人没有失信黑名单记录（以最高院失信被执行人系统发布信息为准），与比选人无诉讼纠纷。</w:t>
      </w:r>
    </w:p>
    <w:p>
      <w:pPr>
        <w:pStyle w:val="206"/>
        <w:spacing w:line="600" w:lineRule="exact"/>
        <w:ind w:firstLine="480"/>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lang w:eastAsia="zh-CN"/>
        </w:rPr>
        <w:t>参选人</w:t>
      </w:r>
      <w:r>
        <w:rPr>
          <w:rFonts w:hint="eastAsia" w:ascii="宋体" w:hAnsi="宋体" w:cs="宋体"/>
          <w:kern w:val="0"/>
          <w:sz w:val="24"/>
          <w:szCs w:val="24"/>
        </w:rPr>
        <w:t>具有2021和2022年连续两年年度税收完税证明；</w:t>
      </w:r>
    </w:p>
    <w:p>
      <w:pPr>
        <w:pStyle w:val="206"/>
        <w:spacing w:line="600" w:lineRule="exact"/>
        <w:ind w:firstLine="480"/>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lang w:eastAsia="zh-CN"/>
        </w:rPr>
        <w:t>参选人</w:t>
      </w:r>
      <w:r>
        <w:rPr>
          <w:rFonts w:hint="eastAsia" w:ascii="宋体" w:hAnsi="宋体" w:cs="宋体"/>
          <w:kern w:val="0"/>
          <w:sz w:val="24"/>
          <w:szCs w:val="24"/>
        </w:rPr>
        <w:t>具有厂房、设备清洗场地；</w:t>
      </w:r>
    </w:p>
    <w:p>
      <w:pPr>
        <w:pStyle w:val="206"/>
        <w:spacing w:line="600" w:lineRule="exact"/>
        <w:ind w:firstLine="480"/>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lang w:eastAsia="zh-CN"/>
        </w:rPr>
        <w:t>参选人</w:t>
      </w:r>
      <w:r>
        <w:rPr>
          <w:rFonts w:hint="eastAsia" w:ascii="宋体" w:hAnsi="宋体" w:cs="宋体"/>
          <w:kern w:val="0"/>
          <w:sz w:val="24"/>
          <w:szCs w:val="24"/>
        </w:rPr>
        <w:t>具有近两年以内类似容器清洗工程案例，并提供业绩证明（合同复印件）。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18</w:t>
      </w:r>
      <w:r>
        <w:rPr>
          <w:rFonts w:hint="eastAsia"/>
          <w:color w:val="000000" w:themeColor="text1"/>
          <w:sz w:val="24"/>
          <w:szCs w:val="24"/>
          <w:lang w:eastAsia="zh-CN"/>
          <w14:textFill>
            <w14:solidFill>
              <w14:schemeClr w14:val="tx1"/>
            </w14:solidFill>
          </w14:textFill>
        </w:rPr>
        <w:t>日至202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27</w:t>
      </w:r>
      <w:r>
        <w:rPr>
          <w:rFonts w:hint="eastAsia"/>
          <w:color w:val="000000" w:themeColor="text1"/>
          <w:sz w:val="24"/>
          <w:szCs w:val="24"/>
          <w:lang w:eastAsia="zh-CN"/>
          <w14:textFill>
            <w14:solidFill>
              <w14:schemeClr w14:val="tx1"/>
            </w14:solidFill>
          </w14:textFill>
        </w:rPr>
        <w:t>日（共</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xumx</w:t>
      </w:r>
      <w:r>
        <w:rPr>
          <w:rFonts w:hint="eastAsia"/>
          <w:color w:val="000000" w:themeColor="text1"/>
          <w:sz w:val="24"/>
          <w:szCs w:val="24"/>
          <w:lang w:eastAsia="zh-CN"/>
          <w14:textFill>
            <w14:solidFill>
              <w14:schemeClr w14:val="tx1"/>
            </w14:solidFill>
          </w14:textFill>
        </w:rPr>
        <w:t>@fhcpec.com.cn，参选项目名称、参选单位和商务联系人及联系方式（邮件内容上填写即可），报名文件包含：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发包说明，技术交流后经比选人技术人员确认合格后，参选人方可参与后续比选，未进行报名和技术交流确认的参选人不能参加比选。技术交流签订时间暂定为报名截止后5天内完成。</w:t>
      </w:r>
    </w:p>
    <w:p>
      <w:pPr>
        <w:widowControl/>
        <w:numPr>
          <w:ilvl w:val="-1"/>
          <w:numId w:val="0"/>
        </w:numPr>
        <w:tabs>
          <w:tab w:val="left" w:pos="709"/>
        </w:tabs>
        <w:autoSpaceDE/>
        <w:autoSpaceDN/>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获取比选文件：</w:t>
      </w:r>
      <w:r>
        <w:rPr>
          <w:rFonts w:hint="eastAsia" w:ascii="宋体" w:hAnsi="宋体" w:eastAsia="宋体" w:cs="宋体"/>
          <w:color w:val="000000" w:themeColor="text1"/>
          <w:sz w:val="24"/>
          <w:szCs w:val="24"/>
          <w:lang w:val="en-US" w:eastAsia="zh-CN"/>
          <w14:textFill>
            <w14:solidFill>
              <w14:schemeClr w14:val="tx1"/>
            </w14:solidFill>
          </w14:textFill>
        </w:rPr>
        <w:t>本项目比选文件待比选人确认合格的参选人后统一邮件发送，不合格的参选人不予发送。</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257" w:firstLineChars="100"/>
        <w:jc w:val="both"/>
        <w:textAlignment w:val="auto"/>
        <w:rPr>
          <w:rFonts w:hint="eastAsia"/>
          <w:b/>
          <w:snapToGrid w:val="0"/>
          <w:color w:val="000000" w:themeColor="text1"/>
          <w:spacing w:val="8"/>
          <w:sz w:val="24"/>
          <w:szCs w:val="24"/>
          <w:lang w:val="en-US"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w:t>
      </w:r>
      <w:r>
        <w:rPr>
          <w:rFonts w:hint="eastAsia"/>
          <w:b/>
          <w:snapToGrid w:val="0"/>
          <w:color w:val="000000" w:themeColor="text1"/>
          <w:spacing w:val="8"/>
          <w:sz w:val="24"/>
          <w:szCs w:val="24"/>
          <w:lang w:val="en-US" w:eastAsia="zh-CN"/>
          <w14:textFill>
            <w14:solidFill>
              <w14:schemeClr w14:val="tx1"/>
            </w14:solidFill>
          </w14:textFill>
        </w:rPr>
        <w:t>评选方法：</w:t>
      </w:r>
    </w:p>
    <w:p>
      <w:pPr>
        <w:pStyle w:val="20"/>
        <w:widowControl w:val="0"/>
        <w:numPr>
          <w:ilvl w:val="0"/>
          <w:numId w:val="0"/>
        </w:numPr>
        <w:autoSpaceDE w:val="0"/>
        <w:autoSpaceDN w:val="0"/>
        <w:spacing w:line="600" w:lineRule="exact"/>
        <w:ind w:right="119" w:firstLine="240" w:firstLineChars="1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采用商务报价决标评选的方式，满足未税总价最低者作为第一中选人，以此类推。</w:t>
      </w:r>
    </w:p>
    <w:p>
      <w:pPr>
        <w:tabs>
          <w:tab w:val="left" w:pos="709"/>
        </w:tabs>
        <w:spacing w:line="360" w:lineRule="auto"/>
        <w:ind w:firstLine="237" w:firstLineChars="100"/>
        <w:rPr>
          <w:b/>
          <w:snapToGrid w:val="0"/>
          <w:color w:val="000000" w:themeColor="text1"/>
          <w:spacing w:val="8"/>
          <w:sz w:val="24"/>
          <w:szCs w:val="24"/>
          <w:lang w:eastAsia="zh-CN"/>
          <w14:textFill>
            <w14:solidFill>
              <w14:schemeClr w14:val="tx1"/>
            </w14:solidFill>
          </w14:textFill>
        </w:rPr>
      </w:pPr>
      <w:r>
        <w:rPr>
          <w:rFonts w:hint="eastAsia"/>
          <w:b/>
          <w:bCs/>
          <w:snapToGrid w:val="0"/>
          <w:color w:val="000000" w:themeColor="text1"/>
          <w:spacing w:val="8"/>
          <w:lang w:eastAsia="zh-CN"/>
          <w14:textFill>
            <w14:solidFill>
              <w14:schemeClr w14:val="tx1"/>
            </w14:solidFill>
          </w14:textFill>
        </w:rPr>
        <w:t>五</w:t>
      </w:r>
      <w:r>
        <w:rPr>
          <w:rFonts w:hint="eastAsia"/>
          <w:b/>
          <w:snapToGrid w:val="0"/>
          <w:color w:val="000000" w:themeColor="text1"/>
          <w:spacing w:val="8"/>
          <w:sz w:val="24"/>
          <w:szCs w:val="24"/>
          <w:lang w:eastAsia="zh-CN"/>
          <w14:textFill>
            <w14:solidFill>
              <w14:schemeClr w14:val="tx1"/>
            </w14:solidFill>
          </w14:textFill>
        </w:rPr>
        <w:t>、参选文件递交要求</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w:t>
      </w:r>
      <w:r>
        <w:rPr>
          <w:rFonts w:hint="eastAsia"/>
          <w:color w:val="000000" w:themeColor="text1"/>
          <w:sz w:val="24"/>
          <w:szCs w:val="24"/>
          <w:lang w:val="en-US" w:eastAsia="zh-CN"/>
          <w14:textFill>
            <w14:solidFill>
              <w14:schemeClr w14:val="tx1"/>
            </w14:solidFill>
          </w14:textFill>
        </w:rPr>
        <w:t xml:space="preserve"> 徐明兴 13779967252</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40" w:firstLineChars="200"/>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w:t>
      </w:r>
      <w:r>
        <w:rPr>
          <w:rFonts w:hint="eastAsia"/>
          <w:color w:val="000000" w:themeColor="text1"/>
          <w:sz w:val="24"/>
          <w:szCs w:val="24"/>
          <w:lang w:eastAsia="zh-CN"/>
          <w14:textFill>
            <w14:solidFill>
              <w14:schemeClr w14:val="tx1"/>
            </w14:solidFill>
          </w14:textFill>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20"/>
        <w:spacing w:line="360" w:lineRule="auto"/>
        <w:ind w:right="121"/>
        <w:jc w:val="both"/>
        <w:rPr>
          <w:b/>
          <w:w w:val="95"/>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sz w:val="24"/>
          <w:szCs w:val="24"/>
          <w:lang w:eastAsia="zh-CN"/>
          <w14:textFill>
            <w14:solidFill>
              <w14:schemeClr w14:val="tx1"/>
            </w14:solidFill>
          </w14:textFill>
        </w:rPr>
        <w:t>六</w:t>
      </w:r>
      <w:r>
        <w:rPr>
          <w:b/>
          <w:w w:val="95"/>
          <w:sz w:val="28"/>
          <w:lang w:eastAsia="zh-CN"/>
        </w:rPr>
        <w:t>、</w:t>
      </w:r>
      <w:r>
        <w:rPr>
          <w:b/>
          <w:w w:val="95"/>
          <w:lang w:eastAsia="zh-CN"/>
        </w:rPr>
        <w:t>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10000元</w:t>
      </w:r>
      <w:r>
        <w:rPr>
          <w:rFonts w:hint="eastAsia"/>
          <w:color w:val="000000" w:themeColor="text1"/>
          <w:lang w:eastAsia="zh-CN"/>
          <w14:textFill>
            <w14:solidFill>
              <w14:schemeClr w14:val="tx1"/>
            </w14:solidFill>
          </w14:textFill>
        </w:rPr>
        <w:t>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firstLine="480"/>
        <w:jc w:val="both"/>
        <w:rPr>
          <w:rFonts w:hint="eastAsia"/>
          <w:lang w:eastAsia="zh-CN"/>
        </w:rPr>
      </w:pPr>
      <w:r>
        <w:rPr>
          <w:rFonts w:hint="eastAsia"/>
          <w:color w:val="000000" w:themeColor="text1"/>
          <w:lang w:eastAsia="zh-CN"/>
          <w14:textFill>
            <w14:solidFill>
              <w14:schemeClr w14:val="tx1"/>
            </w14:solidFill>
          </w14:textFill>
        </w:rPr>
        <w:t>注明用途：</w:t>
      </w:r>
      <w:r>
        <w:rPr>
          <w:rFonts w:hint="eastAsia"/>
          <w:b w:val="0"/>
          <w:bCs w:val="0"/>
          <w:sz w:val="24"/>
          <w:szCs w:val="24"/>
          <w:lang w:val="en-US" w:eastAsia="zh-CN"/>
        </w:rPr>
        <w:t>生产生产一团队纤维膜反应器清洗及部分纤维丝更换项目</w:t>
      </w:r>
      <w:r>
        <w:rPr>
          <w:rFonts w:hint="eastAsia"/>
          <w:lang w:eastAsia="zh-CN"/>
        </w:rPr>
        <w:t>参选保证金</w:t>
      </w:r>
    </w:p>
    <w:p>
      <w:pPr>
        <w:pStyle w:val="20"/>
        <w:spacing w:line="360" w:lineRule="auto"/>
        <w:ind w:right="121" w:firstLine="480"/>
        <w:jc w:val="both"/>
        <w:rPr>
          <w:lang w:eastAsia="zh-CN"/>
        </w:rPr>
      </w:pPr>
      <w:r>
        <w:rPr>
          <w:rFonts w:hint="eastAsia"/>
          <w:lang w:eastAsia="zh-CN"/>
        </w:rPr>
        <w:t>有效期：</w:t>
      </w:r>
      <w:r>
        <w:rPr>
          <w:lang w:eastAsia="zh-CN"/>
        </w:rPr>
        <w:t>90</w:t>
      </w:r>
      <w:r>
        <w:rPr>
          <w:rFonts w:hint="eastAsia"/>
          <w:lang w:eastAsia="zh-CN"/>
        </w:rPr>
        <w:t>日历天。</w:t>
      </w:r>
    </w:p>
    <w:p>
      <w:pPr>
        <w:pStyle w:val="20"/>
        <w:spacing w:line="360" w:lineRule="auto"/>
        <w:ind w:right="121" w:firstLine="480"/>
        <w:jc w:val="both"/>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rFonts w:hint="default"/>
          <w:lang w:val="en-US" w:eastAsia="zh-CN"/>
        </w:rPr>
      </w:pPr>
      <w:r>
        <w:rPr>
          <w:rFonts w:hint="eastAsia"/>
          <w:lang w:val="en-US" w:eastAsia="zh-CN"/>
        </w:rPr>
        <w:t>2、</w:t>
      </w:r>
      <w:r>
        <w:rPr>
          <w:rFonts w:hint="eastAsia"/>
          <w:b/>
          <w:lang w:eastAsia="zh-CN"/>
        </w:rPr>
        <w:t>中选者的参选保证金将直接转为履约保证金。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七</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w:t>
      </w:r>
      <w:r>
        <w:rPr>
          <w:rFonts w:hint="eastAsia"/>
          <w:color w:val="000000" w:themeColor="text1"/>
          <w:sz w:val="24"/>
          <w:szCs w:val="24"/>
          <w:lang w:val="en-US" w:eastAsia="zh-CN"/>
          <w14:textFill>
            <w14:solidFill>
              <w14:schemeClr w14:val="tx1"/>
            </w14:solidFill>
          </w14:textFill>
        </w:rPr>
        <w:t>13779967252</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fldChar w:fldCharType="begin"/>
      </w:r>
      <w:r>
        <w:rPr>
          <w:rFonts w:hint="eastAsia"/>
          <w:color w:val="000000" w:themeColor="text1"/>
          <w:sz w:val="24"/>
          <w:szCs w:val="24"/>
          <w:lang w:val="en-US" w:eastAsia="zh-CN"/>
          <w14:textFill>
            <w14:solidFill>
              <w14:schemeClr w14:val="tx1"/>
            </w14:solidFill>
          </w14:textFill>
        </w:rPr>
        <w:instrText xml:space="preserve"> HYPERLINK "mailto:xumx@fhcpec.com.cn" </w:instrText>
      </w:r>
      <w:r>
        <w:rPr>
          <w:rFonts w:hint="eastAsia"/>
          <w:color w:val="000000" w:themeColor="text1"/>
          <w:sz w:val="24"/>
          <w:szCs w:val="24"/>
          <w:lang w:val="en-US" w:eastAsia="zh-CN"/>
          <w14:textFill>
            <w14:solidFill>
              <w14:schemeClr w14:val="tx1"/>
            </w14:solidFill>
          </w14:textFill>
        </w:rPr>
        <w:fldChar w:fldCharType="separate"/>
      </w:r>
      <w:r>
        <w:rPr>
          <w:rStyle w:val="56"/>
          <w:rFonts w:hint="eastAsia"/>
          <w:color w:val="000000" w:themeColor="text1"/>
          <w:sz w:val="24"/>
          <w:szCs w:val="24"/>
          <w:lang w:val="en-US" w:eastAsia="zh-CN"/>
          <w14:textFill>
            <w14:solidFill>
              <w14:schemeClr w14:val="tx1"/>
            </w14:solidFill>
          </w14:textFill>
        </w:rPr>
        <w:t>xumx</w:t>
      </w:r>
      <w:r>
        <w:rPr>
          <w:rStyle w:val="56"/>
          <w:rFonts w:hint="eastAsia"/>
          <w:color w:val="000000" w:themeColor="text1"/>
          <w:sz w:val="24"/>
          <w:szCs w:val="24"/>
          <w:lang w:eastAsia="zh-CN"/>
          <w14:textFill>
            <w14:solidFill>
              <w14:schemeClr w14:val="tx1"/>
            </w14:solidFill>
          </w14:textFill>
        </w:rPr>
        <w:t>@fhcpec.com.cn</w:t>
      </w:r>
      <w:r>
        <w:rPr>
          <w:rFonts w:hint="eastAsia"/>
          <w:color w:val="000000" w:themeColor="text1"/>
          <w:sz w:val="24"/>
          <w:szCs w:val="24"/>
          <w:lang w:val="en-US" w:eastAsia="zh-CN"/>
          <w14:textFill>
            <w14:solidFill>
              <w14:schemeClr w14:val="tx1"/>
            </w14:solidFill>
          </w14:textFill>
        </w:rPr>
        <w:fldChar w:fldCharType="end"/>
      </w:r>
    </w:p>
    <w:p>
      <w:pPr>
        <w:pStyle w:val="2"/>
        <w:ind w:firstLine="480" w:firstLineChars="200"/>
        <w:rPr>
          <w:lang w:eastAsia="zh-CN"/>
        </w:rPr>
      </w:pPr>
      <w:r>
        <w:rPr>
          <w:rFonts w:hint="eastAsia" w:ascii="宋体" w:hAnsi="宋体" w:eastAsia="宋体" w:cs="宋体"/>
          <w:i w:val="0"/>
          <w:iCs w:val="0"/>
          <w:caps w:val="0"/>
          <w:spacing w:val="0"/>
          <w:sz w:val="24"/>
          <w:szCs w:val="24"/>
          <w:shd w:val="clear"/>
          <w:lang w:val="en-US" w:eastAsia="zh-CN"/>
        </w:rPr>
        <w:t>技术联系人：</w:t>
      </w:r>
      <w:r>
        <w:rPr>
          <w:rFonts w:hint="eastAsia" w:ascii="宋体" w:hAnsi="宋体" w:eastAsia="宋体" w:cs="宋体"/>
          <w:i w:val="0"/>
          <w:iCs w:val="0"/>
          <w:caps w:val="0"/>
          <w:spacing w:val="0"/>
          <w:sz w:val="24"/>
          <w:szCs w:val="24"/>
          <w:shd w:val="clear"/>
          <w:lang w:eastAsia="zh-CN"/>
        </w:rPr>
        <w:t>梁欣欣</w:t>
      </w:r>
      <w:r>
        <w:rPr>
          <w:rFonts w:hint="eastAsia" w:ascii="宋体" w:hAnsi="宋体" w:eastAsia="宋体" w:cs="宋体"/>
          <w:i w:val="0"/>
          <w:iCs w:val="0"/>
          <w:caps w:val="0"/>
          <w:spacing w:val="0"/>
          <w:sz w:val="24"/>
          <w:szCs w:val="24"/>
          <w:shd w:val="clear"/>
          <w:lang w:val="en-US" w:eastAsia="zh-CN"/>
        </w:rPr>
        <w:t xml:space="preserve"> </w:t>
      </w:r>
      <w:r>
        <w:rPr>
          <w:rFonts w:hint="eastAsia" w:ascii="宋体" w:hAnsi="宋体" w:eastAsia="宋体" w:cs="宋体"/>
          <w:i w:val="0"/>
          <w:iCs w:val="0"/>
          <w:caps w:val="0"/>
          <w:spacing w:val="0"/>
          <w:sz w:val="24"/>
          <w:szCs w:val="24"/>
          <w:shd w:val="clear"/>
          <w:lang w:eastAsia="zh-CN"/>
        </w:rPr>
        <w:t xml:space="preserve">15280638483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17</w:t>
      </w:r>
      <w:r>
        <w:rPr>
          <w:rFonts w:hint="eastAsia"/>
          <w:color w:val="000000" w:themeColor="text1"/>
          <w:sz w:val="24"/>
          <w:szCs w:val="24"/>
          <w:lang w:eastAsia="zh-CN"/>
          <w14:textFill>
            <w14:solidFill>
              <w14:schemeClr w14:val="tx1"/>
            </w14:solidFill>
          </w14:textFill>
        </w:rPr>
        <w:t>日</w:t>
      </w:r>
    </w:p>
    <w:p>
      <w:pPr>
        <w:pStyle w:val="2"/>
        <w:sectPr>
          <w:pgSz w:w="11910" w:h="16840"/>
          <w:pgMar w:top="1500" w:right="1020" w:bottom="740" w:left="1300" w:header="0" w:footer="551" w:gutter="0"/>
          <w:cols w:space="720" w:num="1"/>
        </w:sectPr>
      </w:pPr>
    </w:p>
    <w:bookmarkEnd w:id="14"/>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firstLine="480"/>
        <w:jc w:val="both"/>
        <w:rPr>
          <w:rFonts w:hint="eastAsia"/>
          <w:color w:val="000000" w:themeColor="text1"/>
          <w:lang w:eastAsia="zh-CN"/>
          <w14:textFill>
            <w14:solidFill>
              <w14:schemeClr w14:val="tx1"/>
            </w14:solidFill>
          </w14:textFill>
        </w:rPr>
      </w:pPr>
      <w:r>
        <w:rPr>
          <w:rFonts w:hint="eastAsia"/>
          <w:lang w:eastAsia="zh-CN"/>
        </w:rPr>
        <w:t>1.项目</w:t>
      </w:r>
      <w:r>
        <w:rPr>
          <w:lang w:eastAsia="zh-CN"/>
        </w:rPr>
        <w:t>名称：</w:t>
      </w:r>
      <w:r>
        <w:rPr>
          <w:rFonts w:hint="eastAsia"/>
          <w:color w:val="000000" w:themeColor="text1"/>
          <w:lang w:eastAsia="zh-CN"/>
          <w14:textFill>
            <w14:solidFill>
              <w14:schemeClr w14:val="tx1"/>
            </w14:solidFill>
          </w14:textFill>
        </w:rPr>
        <w:t>福建福海创石油化工有限公司</w:t>
      </w:r>
      <w:r>
        <w:rPr>
          <w:rFonts w:hint="eastAsia"/>
          <w:b w:val="0"/>
          <w:bCs w:val="0"/>
          <w:sz w:val="24"/>
          <w:szCs w:val="24"/>
          <w:lang w:val="en-US" w:eastAsia="zh-CN"/>
        </w:rPr>
        <w:t>生产生产一团队纤维膜反应器清洗及部分纤维丝更换项目</w:t>
      </w:r>
      <w:r>
        <w:rPr>
          <w:rFonts w:hint="eastAsia"/>
          <w:lang w:eastAsia="zh-CN"/>
        </w:rPr>
        <w:t>。</w:t>
      </w:r>
      <w:r>
        <w:rPr>
          <w:rFonts w:hint="eastAsia"/>
          <w:color w:val="000000" w:themeColor="text1"/>
          <w:lang w:eastAsia="zh-CN"/>
          <w14:textFill>
            <w14:solidFill>
              <w14:schemeClr w14:val="tx1"/>
            </w14:solidFill>
          </w14:textFill>
        </w:rPr>
        <w:t xml:space="preserve">  </w:t>
      </w:r>
    </w:p>
    <w:p>
      <w:pPr>
        <w:pStyle w:val="20"/>
        <w:spacing w:line="360" w:lineRule="auto"/>
        <w:ind w:right="121" w:firstLine="240" w:firstLineChars="1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rFonts w:hint="eastAsia" w:asciiTheme="minorEastAsia" w:hAnsiTheme="minorEastAsia" w:eastAsiaTheme="minorEastAsia"/>
          <w:lang w:eastAsia="zh-CN"/>
        </w:rPr>
      </w:pPr>
      <w:r>
        <w:rPr>
          <w:rFonts w:hint="eastAsia"/>
          <w:color w:val="000000" w:themeColor="text1"/>
          <w:lang w:eastAsia="zh-CN"/>
          <w14:textFill>
            <w14:solidFill>
              <w14:schemeClr w14:val="tx1"/>
            </w14:solidFill>
          </w14:textFill>
        </w:rPr>
        <w:t xml:space="preserve">    3.发包方式：</w:t>
      </w:r>
      <w:r>
        <w:rPr>
          <w:rFonts w:hint="eastAsia" w:asciiTheme="minorEastAsia" w:hAnsiTheme="minorEastAsia" w:eastAsiaTheme="minorEastAsia"/>
          <w:lang w:val="en-US" w:eastAsia="zh-CN"/>
        </w:rPr>
        <w:t>固定包干含税总价</w:t>
      </w:r>
      <w:r>
        <w:rPr>
          <w:rFonts w:hint="eastAsia" w:asciiTheme="minorEastAsia" w:hAnsiTheme="minorEastAsia" w:eastAsiaTheme="minorEastAsia"/>
          <w:lang w:eastAsia="zh-CN"/>
        </w:rPr>
        <w:t>。</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4.项目工作范围及技术要求：见项目比选发包说明。</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jc w:val="both"/>
        <w:rPr>
          <w:rFonts w:hint="eastAsia" w:ascii="宋体" w:hAnsi="宋体" w:eastAsia="宋体" w:cs="宋体"/>
          <w:lang w:val="en-US" w:eastAsia="zh-CN"/>
        </w:rPr>
      </w:pPr>
      <w:r>
        <w:rPr>
          <w:rFonts w:hint="eastAsia"/>
          <w:lang w:eastAsia="zh-CN"/>
        </w:rPr>
        <w:t>技术联系人：</w:t>
      </w:r>
      <w:r>
        <w:rPr>
          <w:rFonts w:hint="eastAsia" w:ascii="宋体" w:hAnsi="宋体" w:eastAsia="宋体" w:cs="宋体"/>
          <w:i w:val="0"/>
          <w:iCs w:val="0"/>
          <w:caps w:val="0"/>
          <w:spacing w:val="0"/>
          <w:sz w:val="24"/>
          <w:szCs w:val="24"/>
          <w:shd w:val="clear"/>
          <w:lang w:eastAsia="zh-CN"/>
        </w:rPr>
        <w:t>梁欣欣</w:t>
      </w:r>
      <w:r>
        <w:rPr>
          <w:rFonts w:hint="eastAsia" w:ascii="宋体" w:hAnsi="宋体" w:eastAsia="宋体" w:cs="宋体"/>
          <w:i w:val="0"/>
          <w:iCs w:val="0"/>
          <w:caps w:val="0"/>
          <w:spacing w:val="0"/>
          <w:sz w:val="24"/>
          <w:szCs w:val="24"/>
          <w:shd w:val="clear"/>
          <w:lang w:val="en-US" w:eastAsia="zh-CN"/>
        </w:rPr>
        <w:t xml:space="preserve"> </w:t>
      </w:r>
      <w:r>
        <w:rPr>
          <w:rFonts w:hint="eastAsia" w:ascii="宋体" w:hAnsi="宋体" w:eastAsia="宋体" w:cs="宋体"/>
          <w:i w:val="0"/>
          <w:iCs w:val="0"/>
          <w:caps w:val="0"/>
          <w:spacing w:val="0"/>
          <w:sz w:val="24"/>
          <w:szCs w:val="24"/>
          <w:shd w:val="clear"/>
          <w:lang w:eastAsia="zh-CN"/>
        </w:rPr>
        <w:t>15280638483  </w:t>
      </w:r>
    </w:p>
    <w:p>
      <w:pPr>
        <w:pStyle w:val="20"/>
        <w:spacing w:line="360" w:lineRule="auto"/>
        <w:ind w:right="121" w:firstLine="480"/>
        <w:jc w:val="both"/>
        <w:rPr>
          <w:lang w:eastAsia="zh-CN"/>
        </w:rPr>
      </w:pPr>
      <w:r>
        <w:rPr>
          <w:rFonts w:hint="eastAsia"/>
          <w:lang w:eastAsia="zh-CN"/>
        </w:rPr>
        <w:t xml:space="preserve">商务联系人：徐明兴 </w:t>
      </w:r>
      <w:r>
        <w:rPr>
          <w:rFonts w:hint="eastAsia"/>
          <w:lang w:val="en-US" w:eastAsia="zh-CN"/>
        </w:rPr>
        <w:t>13779967252</w:t>
      </w:r>
      <w:r>
        <w:rPr>
          <w:rFonts w:hint="eastAsia"/>
          <w:lang w:eastAsia="zh-CN"/>
        </w:rPr>
        <w:t>，</w:t>
      </w:r>
      <w:r>
        <w:rPr>
          <w:rFonts w:hint="eastAsia"/>
          <w:lang w:val="en-US" w:eastAsia="zh-CN"/>
        </w:rPr>
        <w:t xml:space="preserve"> 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参选单位应是具备独立法人资格且有能力按我司需求提供服务的承揽商。</w:t>
      </w:r>
    </w:p>
    <w:p>
      <w:pPr>
        <w:pStyle w:val="206"/>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6"/>
        <w:spacing w:line="360" w:lineRule="auto"/>
        <w:ind w:left="0" w:leftChars="0" w:firstLine="0" w:firstLineChars="0"/>
        <w:rPr>
          <w:rFonts w:hint="eastAsia" w:ascii="宋体" w:hAnsi="宋体" w:cs="宋体"/>
          <w:kern w:val="0"/>
          <w:sz w:val="24"/>
          <w:szCs w:val="24"/>
        </w:rPr>
      </w:pPr>
      <w:r>
        <w:rPr>
          <w:sz w:val="24"/>
          <w:szCs w:val="24"/>
        </w:rPr>
        <w:t>选；</w:t>
      </w:r>
      <w:r>
        <w:rPr>
          <w:rFonts w:hint="eastAsia" w:ascii="宋体" w:hAnsi="宋体" w:cs="宋体"/>
          <w:kern w:val="0"/>
          <w:sz w:val="24"/>
          <w:szCs w:val="24"/>
        </w:rPr>
        <w:t>参选人没有失信黑名单记录（以最高院失信被执行人系统发布信息为准），与比选人无诉讼纠纷。</w:t>
      </w:r>
    </w:p>
    <w:p>
      <w:pPr>
        <w:pStyle w:val="206"/>
        <w:spacing w:line="600" w:lineRule="exact"/>
        <w:ind w:firstLine="480"/>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lang w:eastAsia="zh-CN"/>
        </w:rPr>
        <w:t>参选人</w:t>
      </w:r>
      <w:r>
        <w:rPr>
          <w:rFonts w:hint="eastAsia" w:ascii="宋体" w:hAnsi="宋体" w:cs="宋体"/>
          <w:kern w:val="0"/>
          <w:sz w:val="24"/>
          <w:szCs w:val="24"/>
        </w:rPr>
        <w:t>具有2021和2022年连续两年年度税收完税证明；</w:t>
      </w:r>
    </w:p>
    <w:p>
      <w:pPr>
        <w:pStyle w:val="206"/>
        <w:spacing w:line="600" w:lineRule="exact"/>
        <w:ind w:firstLine="480"/>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lang w:eastAsia="zh-CN"/>
        </w:rPr>
        <w:t>参选人</w:t>
      </w:r>
      <w:r>
        <w:rPr>
          <w:rFonts w:hint="eastAsia" w:ascii="宋体" w:hAnsi="宋体" w:cs="宋体"/>
          <w:kern w:val="0"/>
          <w:sz w:val="24"/>
          <w:szCs w:val="24"/>
        </w:rPr>
        <w:t>具有厂房、设备清洗场地；</w:t>
      </w:r>
    </w:p>
    <w:p>
      <w:pPr>
        <w:pStyle w:val="206"/>
        <w:spacing w:line="600" w:lineRule="exact"/>
        <w:ind w:firstLine="480"/>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lang w:eastAsia="zh-CN"/>
        </w:rPr>
        <w:t>参选人</w:t>
      </w:r>
      <w:r>
        <w:rPr>
          <w:rFonts w:hint="eastAsia" w:ascii="宋体" w:hAnsi="宋体" w:cs="宋体"/>
          <w:kern w:val="0"/>
          <w:sz w:val="24"/>
          <w:szCs w:val="24"/>
        </w:rPr>
        <w:t>具有近两年以内类似容器清洗工程案例，并提供业绩证明（合同复印件）。</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10000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b w:val="0"/>
          <w:bCs w:val="0"/>
          <w:sz w:val="24"/>
          <w:szCs w:val="24"/>
          <w:lang w:val="en-US" w:eastAsia="zh-CN"/>
        </w:rPr>
        <w:t>生产生产一团队纤维膜反应器清洗及部分纤维丝更换项目</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0"/>
        <w:spacing w:line="360" w:lineRule="auto"/>
        <w:ind w:right="121" w:firstLine="482" w:firstLineChars="200"/>
        <w:jc w:val="both"/>
        <w:rPr>
          <w:color w:val="000000" w:themeColor="text1"/>
          <w:lang w:eastAsia="zh-CN"/>
          <w14:textFill>
            <w14:solidFill>
              <w14:schemeClr w14:val="tx1"/>
            </w14:solidFill>
          </w14:textFill>
        </w:rPr>
      </w:pP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leftChars="0" w:right="106" w:firstLine="480" w:firstLineChars="0"/>
        <w:rPr>
          <w:rFonts w:asciiTheme="majorEastAsia" w:hAnsiTheme="majorEastAsia" w:eastAsiaTheme="majorEastAsia"/>
          <w:b w:val="0"/>
          <w:bCs w:val="0"/>
          <w:lang w:eastAsia="zh-CN"/>
        </w:rPr>
      </w:pP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lang w:eastAsia="zh-CN"/>
          <w14:textFill>
            <w14:solidFill>
              <w14:schemeClr w14:val="tx1"/>
            </w14:solidFill>
          </w14:textFill>
        </w:rPr>
        <w:t>漳州市漳浦县杜浔镇杜昌路9号，福海创办公楼三楼设备及服务团队，收件人：</w:t>
      </w:r>
      <w:r>
        <w:rPr>
          <w:rFonts w:hint="eastAsia"/>
          <w:b w:val="0"/>
          <w:color w:val="000000" w:themeColor="text1"/>
          <w:lang w:val="en-US" w:eastAsia="zh-CN"/>
          <w14:textFill>
            <w14:solidFill>
              <w14:schemeClr w14:val="tx1"/>
            </w14:solidFill>
          </w14:textFill>
        </w:rPr>
        <w:t>徐明兴</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电话：</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13779967252</w:t>
      </w:r>
      <w:r>
        <w:rPr>
          <w:rFonts w:hint="eastAsia"/>
          <w:b w:val="0"/>
          <w:color w:val="000000" w:themeColor="text1"/>
          <w:lang w:eastAsia="zh-CN"/>
          <w14:textFill>
            <w14:solidFill>
              <w14:schemeClr w14:val="tx1"/>
            </w14:solidFill>
          </w14:textFill>
        </w:rPr>
        <w:t>。</w:t>
      </w:r>
      <w:r>
        <w:rPr>
          <w:rFonts w:hint="default" w:asciiTheme="majorEastAsia" w:hAnsiTheme="majorEastAsia" w:eastAsiaTheme="majorEastAsia"/>
          <w:b w:val="0"/>
          <w:bCs w:val="0"/>
          <w:lang w:val="en-US" w:eastAsia="zh-CN"/>
        </w:rPr>
        <w:t xml:space="preserve"> </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91"/>
        <w:numPr>
          <w:ilvl w:val="0"/>
          <w:numId w:val="0"/>
        </w:numPr>
        <w:spacing w:before="0"/>
        <w:rPr>
          <w:b/>
          <w:w w:val="95"/>
          <w:sz w:val="28"/>
          <w:lang w:eastAsia="zh-CN"/>
        </w:rPr>
      </w:pPr>
      <w:r>
        <w:rPr>
          <w:rFonts w:hint="eastAsia"/>
          <w:b/>
          <w:w w:val="95"/>
          <w:sz w:val="28"/>
          <w:lang w:eastAsia="zh-CN"/>
        </w:rPr>
        <w:t xml:space="preserve">  </w:t>
      </w:r>
      <w:r>
        <w:rPr>
          <w:rFonts w:hint="eastAsia"/>
          <w:b/>
          <w:w w:val="95"/>
          <w:sz w:val="28"/>
          <w:lang w:val="en-US" w:eastAsia="zh-CN"/>
        </w:rPr>
        <w:t xml:space="preserve"> </w:t>
      </w:r>
      <w:r>
        <w:rPr>
          <w:rFonts w:hint="eastAsia"/>
          <w:b/>
          <w:w w:val="95"/>
          <w:sz w:val="28"/>
          <w:lang w:eastAsia="zh-CN"/>
        </w:rPr>
        <w:t>一、</w:t>
      </w: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参选单位完成的与本项目相似业绩履行情况的说明；</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2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20"/>
        <w:spacing w:line="360" w:lineRule="auto"/>
        <w:ind w:firstLine="482" w:firstLineChars="200"/>
        <w:rPr>
          <w:lang w:eastAsia="zh-CN"/>
        </w:rPr>
      </w:pPr>
      <w:r>
        <w:rPr>
          <w:rFonts w:hint="eastAsia"/>
          <w:b/>
          <w:lang w:eastAsia="zh-CN"/>
        </w:rPr>
        <w:t>注：需提供参选文件及报价表电子版一份（盖章PDF版），报价表须独立盖章密封</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ind w:right="121" w:firstLine="480" w:firstLineChars="200"/>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1"/>
        <w:tabs>
          <w:tab w:val="left" w:pos="220"/>
        </w:tabs>
        <w:spacing w:after="0" w:line="360" w:lineRule="auto"/>
        <w:ind w:left="0" w:leftChars="0" w:firstLine="543" w:firstLineChars="245"/>
        <w:rPr>
          <w:b/>
          <w:bCs/>
          <w:i w:val="0"/>
          <w:iCs w:val="0"/>
          <w:sz w:val="24"/>
          <w:szCs w:val="24"/>
          <w:u w:val="double"/>
          <w:lang w:eastAsia="zh-CN"/>
        </w:rPr>
      </w:pPr>
      <w:r>
        <w:rPr>
          <w:rFonts w:hint="eastAsia"/>
          <w:i w:val="0"/>
          <w:iCs w:val="0"/>
          <w:spacing w:val="-9"/>
          <w:sz w:val="24"/>
          <w:szCs w:val="24"/>
          <w:lang w:eastAsia="zh-CN"/>
        </w:rPr>
        <w:t>4.</w:t>
      </w:r>
      <w:r>
        <w:rPr>
          <w:rFonts w:hint="eastAsia"/>
          <w:bCs/>
          <w:i w:val="0"/>
          <w:iCs w:val="0"/>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2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2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30488651"/>
      <w:bookmarkStart w:id="2" w:name="_Toc177186249"/>
      <w:bookmarkStart w:id="3" w:name="_Toc430490619"/>
      <w:bookmarkStart w:id="4" w:name="_Toc415567504"/>
      <w:bookmarkStart w:id="5" w:name="_Toc430492133"/>
      <w:bookmarkStart w:id="6" w:name="_Toc430422420"/>
      <w:bookmarkStart w:id="7" w:name="_Toc430488858"/>
      <w:bookmarkStart w:id="8" w:name="_Toc430489126"/>
    </w:p>
    <w:p>
      <w:pPr>
        <w:pStyle w:val="2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2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20"/>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70" w:firstLineChars="196"/>
        <w:outlineLvl w:val="0"/>
        <w:rPr>
          <w:sz w:val="24"/>
          <w:szCs w:val="24"/>
          <w:lang w:eastAsia="zh-CN"/>
        </w:rPr>
      </w:pPr>
      <w:bookmarkStart w:id="9" w:name="_Toc30266"/>
      <w:r>
        <w:rPr>
          <w:rFonts w:hint="eastAsia"/>
          <w:sz w:val="24"/>
          <w:szCs w:val="24"/>
          <w:lang w:eastAsia="zh-CN"/>
        </w:rPr>
        <w:t>a.参选人应在参选文件中附上服务业绩的合同文件复印件。</w:t>
      </w:r>
      <w:bookmarkEnd w:id="9"/>
    </w:p>
    <w:p>
      <w:pPr>
        <w:spacing w:line="360" w:lineRule="auto"/>
        <w:ind w:firstLine="470" w:firstLineChars="196"/>
        <w:outlineLvl w:val="0"/>
        <w:rPr>
          <w:sz w:val="24"/>
          <w:szCs w:val="24"/>
          <w:lang w:eastAsia="zh-CN"/>
        </w:rPr>
      </w:pPr>
      <w:bookmarkStart w:id="10" w:name="_Toc4607"/>
      <w:r>
        <w:rPr>
          <w:rFonts w:hint="eastAsia"/>
          <w:sz w:val="24"/>
          <w:szCs w:val="24"/>
          <w:lang w:eastAsia="zh-CN"/>
        </w:rPr>
        <w:t>b.若所报业绩的合同文件未体现压力容器、管道修复及项目负责人等项目特征的，还应同时附上项目技术协议书复印件加盖参选人单位公章；若合同文件、技术协议书均未体现上述项目特征的，应补充提交建设单位出具的证明文件复印件加盖参选人单位公章，否则，其业绩无效。</w:t>
      </w:r>
      <w:bookmarkEnd w:id="10"/>
    </w:p>
    <w:p>
      <w:pPr>
        <w:spacing w:line="360" w:lineRule="auto"/>
        <w:ind w:firstLine="470" w:firstLineChars="196"/>
        <w:outlineLvl w:val="0"/>
        <w:rPr>
          <w:sz w:val="24"/>
          <w:szCs w:val="24"/>
          <w:lang w:eastAsia="zh-CN"/>
        </w:rPr>
      </w:pPr>
      <w:bookmarkStart w:id="11" w:name="_Toc982"/>
      <w:r>
        <w:rPr>
          <w:rFonts w:hint="eastAsia"/>
          <w:sz w:val="24"/>
          <w:szCs w:val="24"/>
          <w:lang w:eastAsia="zh-CN"/>
        </w:rPr>
        <w:t>c. 所报“业绩”时间以合同签订的日期为准。</w:t>
      </w:r>
      <w:bookmarkEnd w:id="11"/>
    </w:p>
    <w:p>
      <w:pPr>
        <w:tabs>
          <w:tab w:val="center" w:pos="540"/>
          <w:tab w:val="center" w:pos="1080"/>
        </w:tabs>
        <w:spacing w:line="360" w:lineRule="auto"/>
        <w:ind w:firstLine="480" w:firstLineChars="200"/>
        <w:rPr>
          <w:sz w:val="24"/>
          <w:szCs w:val="24"/>
          <w:lang w:eastAsia="zh-CN"/>
        </w:rPr>
      </w:pPr>
      <w:r>
        <w:rPr>
          <w:rFonts w:hint="eastAsia"/>
          <w:sz w:val="24"/>
          <w:szCs w:val="24"/>
          <w:lang w:eastAsia="zh-CN"/>
        </w:rPr>
        <w:t>d.参选人应在业绩证明文件中针对项目特征作出明显标记，以便评委进行评审。参选人与其拟派的项目经理的“类似项目业绩”可为同一项目，也可为不同项目。</w:t>
      </w:r>
    </w:p>
    <w:p>
      <w:pPr>
        <w:tabs>
          <w:tab w:val="left" w:pos="825"/>
        </w:tabs>
        <w:spacing w:line="360" w:lineRule="auto"/>
        <w:ind w:firstLine="480" w:firstLineChars="200"/>
        <w:rPr>
          <w:b/>
          <w:bCs/>
          <w:u w:val="double"/>
          <w:lang w:eastAsia="zh-CN"/>
        </w:rPr>
      </w:pPr>
      <w:r>
        <w:rPr>
          <w:rFonts w:hint="eastAsia"/>
          <w:sz w:val="24"/>
          <w:szCs w:val="24"/>
          <w:lang w:eastAsia="zh-CN"/>
        </w:rPr>
        <w:t>e.参选人应对申报业绩的真实性和准确性负责。在比选过程中，比选人有权对参选人申报的项目业绩进行核实和澄清，若参选人所申报资料内容有失实情况，则该参选人即被取消参选或中选资格。</w:t>
      </w:r>
      <w:bookmarkStart w:id="12" w:name="OLE_LINK28"/>
    </w:p>
    <w:bookmarkEnd w:id="12"/>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20"/>
        <w:spacing w:line="360" w:lineRule="auto"/>
        <w:ind w:firstLine="480"/>
        <w:jc w:val="both"/>
        <w:rPr>
          <w:lang w:eastAsia="zh-CN"/>
        </w:rPr>
      </w:pPr>
      <w:r>
        <w:rPr>
          <w:rFonts w:hint="eastAsia"/>
          <w:lang w:eastAsia="zh-CN"/>
        </w:rPr>
        <w:t>10.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pStyle w:val="20"/>
        <w:numPr>
          <w:ilvl w:val="-1"/>
          <w:numId w:val="0"/>
        </w:numPr>
        <w:spacing w:line="360" w:lineRule="auto"/>
        <w:ind w:left="440" w:leftChars="200" w:right="0" w:firstLine="0" w:firstLineChars="0"/>
        <w:jc w:val="left"/>
        <w:rPr>
          <w:lang w:eastAsia="zh-CN"/>
        </w:rPr>
      </w:pPr>
      <w:r>
        <w:rPr>
          <w:rFonts w:hint="eastAsia"/>
          <w:lang w:val="en-US" w:eastAsia="zh-CN"/>
        </w:rPr>
        <w:t>4.</w:t>
      </w:r>
      <w:r>
        <w:rPr>
          <w:lang w:eastAsia="zh-CN"/>
        </w:rPr>
        <w:t>在开选时有启封和没</w:t>
      </w:r>
      <w:r>
        <w:rPr>
          <w:rFonts w:hint="eastAsia"/>
          <w:lang w:eastAsia="zh-CN"/>
        </w:rPr>
        <w:t>公章</w:t>
      </w:r>
      <w:r>
        <w:rPr>
          <w:lang w:eastAsia="zh-CN"/>
        </w:rPr>
        <w:t>的参选文件，在评选时将不予考虑。</w:t>
      </w:r>
    </w:p>
    <w:p>
      <w:pPr>
        <w:pStyle w:val="20"/>
        <w:numPr>
          <w:ilvl w:val="-1"/>
          <w:numId w:val="0"/>
        </w:numPr>
        <w:spacing w:line="360" w:lineRule="auto"/>
        <w:ind w:left="440" w:leftChars="200" w:right="0" w:firstLine="0" w:firstLineChars="0"/>
        <w:jc w:val="left"/>
        <w:rPr>
          <w:lang w:eastAsia="zh-CN"/>
        </w:rPr>
      </w:pPr>
      <w:r>
        <w:rPr>
          <w:rFonts w:hint="eastAsia"/>
          <w:lang w:val="en-US" w:eastAsia="zh-CN"/>
        </w:rPr>
        <w:t>5</w:t>
      </w:r>
      <w:r>
        <w:rPr>
          <w:lang w:eastAsia="zh-CN"/>
        </w:rPr>
        <w:t>.比选人将做开选记录</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本项目设置最高暂定总价控制价</w:t>
      </w:r>
      <w:r>
        <w:rPr>
          <w:rFonts w:hint="eastAsia"/>
          <w:b/>
          <w:color w:val="FF0000"/>
          <w:lang w:val="en-US" w:eastAsia="zh-CN"/>
        </w:rPr>
        <w:t>45</w:t>
      </w:r>
      <w:r>
        <w:rPr>
          <w:rFonts w:hint="eastAsia"/>
          <w:b/>
          <w:color w:val="FF0000"/>
          <w:lang w:eastAsia="zh-CN"/>
        </w:rPr>
        <w:t>万元整（</w:t>
      </w:r>
      <w:r>
        <w:rPr>
          <w:rFonts w:hint="eastAsia"/>
          <w:b/>
          <w:color w:val="FF0000"/>
          <w:lang w:val="en-US" w:eastAsia="zh-CN"/>
        </w:rPr>
        <w:t>未税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6"/>
          <w:rFonts w:hint="eastAsia"/>
          <w:lang w:eastAsia="zh-CN"/>
        </w:rPr>
        <w:t>如参选人对控制价存疑请于报价截止前发邮件至</w:t>
      </w:r>
      <w:r>
        <w:rPr>
          <w:rStyle w:val="56"/>
          <w:rFonts w:hint="eastAsia"/>
          <w:lang w:val="en-US" w:eastAsia="zh-CN"/>
        </w:rPr>
        <w:t>xumx</w:t>
      </w:r>
      <w:r>
        <w:rPr>
          <w:rStyle w:val="56"/>
          <w:rFonts w:hint="eastAsia"/>
          <w:lang w:eastAsia="zh-CN"/>
        </w:rPr>
        <w:t>@fhcpec.com.cn</w:t>
      </w:r>
      <w:r>
        <w:rPr>
          <w:rStyle w:val="56"/>
          <w:rFonts w:hint="eastAsia"/>
          <w:lang w:eastAsia="zh-CN"/>
        </w:rPr>
        <w:fldChar w:fldCharType="end"/>
      </w:r>
      <w:r>
        <w:rPr>
          <w:rFonts w:hint="eastAsia"/>
          <w:lang w:eastAsia="zh-CN"/>
        </w:rPr>
        <w:t>。</w:t>
      </w:r>
    </w:p>
    <w:p>
      <w:pPr>
        <w:spacing w:before="15" w:line="360" w:lineRule="auto"/>
        <w:ind w:firstLine="440" w:firstLineChars="200"/>
        <w:rPr>
          <w:color w:val="000000"/>
          <w:sz w:val="24"/>
          <w:szCs w:val="24"/>
          <w:shd w:val="clear" w:color="auto" w:fill="FFFFFF"/>
          <w:lang w:eastAsia="zh-CN"/>
        </w:rPr>
      </w:pPr>
      <w:r>
        <w:rPr>
          <w:rFonts w:hint="eastAsia"/>
          <w:lang w:eastAsia="zh-CN"/>
        </w:rPr>
        <w:t>本项目</w:t>
      </w:r>
      <w:r>
        <w:rPr>
          <w:rFonts w:hint="eastAsia"/>
          <w:color w:val="000000"/>
          <w:sz w:val="24"/>
          <w:szCs w:val="24"/>
          <w:shd w:val="clear" w:color="auto" w:fill="FFFFFF"/>
          <w:lang w:eastAsia="zh-CN"/>
        </w:rPr>
        <w:t>采用商务报价决标评选的方式，未税总价最低者作为第一中选人，以此类推。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tabs>
          <w:tab w:val="left" w:pos="2860"/>
        </w:tabs>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600" w:lineRule="exact"/>
        <w:ind w:right="119" w:firstLine="480" w:firstLineChars="200"/>
        <w:rPr>
          <w:lang w:eastAsia="zh-CN"/>
        </w:rPr>
      </w:pPr>
      <w:r>
        <w:rPr>
          <w:rFonts w:ascii="宋体" w:hAnsi="宋体" w:eastAsia="宋体" w:cs="宋体"/>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adjustRightInd/>
        <w:spacing w:line="360" w:lineRule="auto"/>
        <w:ind w:firstLine="437"/>
        <w:rPr>
          <w:rFonts w:hint="eastAsia" w:hAnsi="宋体"/>
          <w:sz w:val="24"/>
          <w:szCs w:val="24"/>
        </w:rPr>
      </w:pPr>
      <w:r>
        <w:rPr>
          <w:rFonts w:hint="eastAsia"/>
          <w:sz w:val="24"/>
          <w:szCs w:val="24"/>
        </w:rPr>
        <w:t xml:space="preserve">8. </w:t>
      </w:r>
      <w:r>
        <w:rPr>
          <w:rFonts w:hint="eastAsia" w:hAnsi="宋体"/>
          <w:sz w:val="24"/>
          <w:szCs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szCs w:val="24"/>
        </w:rPr>
        <w:t>人应对参选文件资料的真实性负责</w:t>
      </w:r>
      <w:r>
        <w:rPr>
          <w:rFonts w:hint="eastAsia" w:hAnsi="宋体"/>
          <w:sz w:val="24"/>
          <w:szCs w:val="24"/>
        </w:rPr>
        <w:t>，如发现其所提交的资料不真实，比选人将视其为以弄虚作假方式骗取中选，其中选无效。参选人给比选人造成损失的，应依法承担赔偿责任。</w:t>
      </w:r>
    </w:p>
    <w:p>
      <w:pPr>
        <w:pStyle w:val="2"/>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bookmarkStart w:id="13" w:name="_Toc251742852"/>
    </w:p>
    <w:p>
      <w:pPr>
        <w:pStyle w:val="20"/>
        <w:jc w:val="center"/>
        <w:rPr>
          <w:rFonts w:ascii="宋体" w:hAnsi="宋体"/>
          <w:b/>
          <w:sz w:val="32"/>
          <w:szCs w:val="32"/>
        </w:rPr>
      </w:pPr>
      <w:r>
        <w:rPr>
          <w:rFonts w:hint="eastAsia" w:ascii="宋体" w:hAnsi="宋体"/>
          <w:b/>
          <w:sz w:val="32"/>
          <w:szCs w:val="32"/>
        </w:rPr>
        <w:t>福建福海创石油化工有限公司</w:t>
      </w:r>
    </w:p>
    <w:p>
      <w:pPr>
        <w:pStyle w:val="20"/>
        <w:ind w:left="3213" w:hanging="3213" w:hangingChars="1000"/>
        <w:jc w:val="center"/>
        <w:rPr>
          <w:rFonts w:hint="eastAsia"/>
          <w:b/>
          <w:bCs w:val="0"/>
          <w:sz w:val="32"/>
          <w:szCs w:val="32"/>
          <w:lang w:val="en-US" w:eastAsia="zh-CN"/>
        </w:rPr>
      </w:pPr>
      <w:r>
        <w:rPr>
          <w:rFonts w:hint="eastAsia"/>
          <w:b/>
          <w:bCs w:val="0"/>
          <w:sz w:val="32"/>
          <w:szCs w:val="32"/>
          <w:lang w:val="en-US" w:eastAsia="zh-CN"/>
        </w:rPr>
        <w:t>生产生产一团队纤维膜反应器清洗及部分纤维丝更换项目</w:t>
      </w:r>
    </w:p>
    <w:p>
      <w:pPr>
        <w:pStyle w:val="20"/>
        <w:ind w:left="0" w:firstLine="0" w:firstLineChars="0"/>
        <w:jc w:val="center"/>
        <w:rPr>
          <w:b/>
          <w:sz w:val="32"/>
          <w:szCs w:val="32"/>
        </w:rPr>
      </w:pPr>
      <w:r>
        <w:rPr>
          <w:rFonts w:hint="eastAsia" w:ascii="宋体" w:hAnsi="宋体"/>
          <w:b/>
          <w:sz w:val="32"/>
          <w:szCs w:val="32"/>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0"/>
        <w:tabs>
          <w:tab w:val="right" w:leader="middleDot" w:pos="8190"/>
        </w:tabs>
        <w:adjustRightInd/>
        <w:spacing w:after="0"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lang w:eastAsia="zh-CN"/>
        </w:rPr>
        <w:t>甲方</w:t>
      </w:r>
      <w:r>
        <w:rPr>
          <w:rFonts w:hint="eastAsia" w:asciiTheme="majorEastAsia" w:hAnsiTheme="majorEastAsia" w:eastAsiaTheme="majorEastAsia"/>
          <w:b/>
          <w:sz w:val="24"/>
          <w:szCs w:val="24"/>
        </w:rPr>
        <w:t>（甲方）：</w:t>
      </w:r>
      <w:r>
        <w:rPr>
          <w:rFonts w:hint="eastAsia"/>
          <w:spacing w:val="20"/>
          <w:sz w:val="24"/>
          <w:u w:val="single"/>
          <w:lang w:eastAsia="zh-CN"/>
        </w:rPr>
        <w:t>腾龙芳烃（漳州）有限公司</w:t>
      </w:r>
    </w:p>
    <w:p>
      <w:pPr>
        <w:pStyle w:val="20"/>
        <w:adjustRightInd/>
        <w:spacing w:after="0" w:line="360" w:lineRule="auto"/>
        <w:rPr>
          <w:rFonts w:asciiTheme="majorEastAsia" w:hAnsiTheme="majorEastAsia" w:eastAsiaTheme="majorEastAsia"/>
          <w:sz w:val="24"/>
          <w:szCs w:val="24"/>
        </w:rPr>
      </w:pPr>
      <w:r>
        <w:rPr>
          <w:rFonts w:hint="eastAsia" w:asciiTheme="majorEastAsia" w:hAnsiTheme="majorEastAsia" w:eastAsiaTheme="majorEastAsia"/>
          <w:b/>
          <w:sz w:val="24"/>
          <w:szCs w:val="24"/>
          <w:lang w:eastAsia="zh-CN"/>
        </w:rPr>
        <w:t>乙方</w:t>
      </w:r>
      <w:r>
        <w:rPr>
          <w:rFonts w:hint="eastAsia" w:asciiTheme="majorEastAsia" w:hAnsiTheme="majorEastAsia" w:eastAsiaTheme="majorEastAsia"/>
          <w:b/>
          <w:sz w:val="24"/>
          <w:szCs w:val="24"/>
        </w:rPr>
        <w:t>（乙方）：</w:t>
      </w:r>
    </w:p>
    <w:p>
      <w:pPr>
        <w:pStyle w:val="20"/>
        <w:adjustRightInd/>
        <w:spacing w:after="0" w:line="360" w:lineRule="auto"/>
        <w:ind w:firstLine="600" w:firstLineChars="250"/>
        <w:rPr>
          <w:rFonts w:asciiTheme="majorEastAsia" w:hAnsiTheme="majorEastAsia" w:eastAsiaTheme="majorEastAsia"/>
          <w:sz w:val="24"/>
          <w:szCs w:val="24"/>
        </w:rPr>
      </w:pPr>
      <w:r>
        <w:rPr>
          <w:rFonts w:hint="eastAsia" w:asciiTheme="majorEastAsia" w:hAnsiTheme="majorEastAsia" w:eastAsiaTheme="majorEastAsia"/>
          <w:sz w:val="24"/>
          <w:szCs w:val="24"/>
        </w:rPr>
        <w:t>依照《中华人民共和国民法典》第三编合同及其他有关法律、行政法规，遵循平等、自愿、公平和诚实信用的原则，双方就本工程作业项目协商一致，订立本合同。</w:t>
      </w:r>
    </w:p>
    <w:p>
      <w:pPr>
        <w:pStyle w:val="20"/>
        <w:adjustRightInd/>
        <w:spacing w:after="0" w:line="360" w:lineRule="auto"/>
        <w:ind w:firstLine="600" w:firstLineChars="250"/>
        <w:rPr>
          <w:rFonts w:asciiTheme="majorEastAsia" w:hAnsiTheme="majorEastAsia" w:eastAsiaTheme="majorEastAsia"/>
          <w:sz w:val="24"/>
          <w:szCs w:val="24"/>
        </w:rPr>
      </w:pPr>
      <w:r>
        <w:rPr>
          <w:rFonts w:hint="eastAsia" w:asciiTheme="majorEastAsia" w:hAnsiTheme="majorEastAsia" w:eastAsiaTheme="majorEastAsia"/>
          <w:sz w:val="24"/>
          <w:szCs w:val="24"/>
        </w:rPr>
        <w:t>本合同中使用的货币为人民币。</w:t>
      </w:r>
    </w:p>
    <w:p>
      <w:pPr>
        <w:pStyle w:val="47"/>
        <w:spacing w:after="0" w:line="360" w:lineRule="auto"/>
        <w:ind w:firstLine="422" w:firstLineChars="200"/>
        <w:rPr>
          <w:rFonts w:asciiTheme="majorEastAsia" w:hAnsiTheme="majorEastAsia" w:eastAsiaTheme="majorEastAsia"/>
          <w:b/>
          <w:szCs w:val="24"/>
        </w:rPr>
      </w:pPr>
      <w:r>
        <w:rPr>
          <w:rFonts w:hint="eastAsia" w:asciiTheme="majorEastAsia" w:hAnsiTheme="majorEastAsia" w:eastAsiaTheme="majorEastAsia"/>
          <w:b/>
          <w:szCs w:val="24"/>
        </w:rPr>
        <w:t>词语定义：</w:t>
      </w:r>
    </w:p>
    <w:p>
      <w:pPr>
        <w:pStyle w:val="47"/>
        <w:spacing w:after="0" w:line="360" w:lineRule="auto"/>
        <w:ind w:firstLineChars="200"/>
        <w:rPr>
          <w:rFonts w:asciiTheme="majorEastAsia" w:hAnsiTheme="majorEastAsia" w:eastAsiaTheme="majorEastAsia"/>
          <w:szCs w:val="24"/>
        </w:rPr>
      </w:pPr>
      <w:r>
        <w:rPr>
          <w:rFonts w:hint="eastAsia" w:asciiTheme="majorEastAsia" w:hAnsiTheme="majorEastAsia" w:eastAsiaTheme="majorEastAsia"/>
          <w:szCs w:val="24"/>
        </w:rPr>
        <w:t>本文及附件中“发包人” 、“甲方” 均指“</w:t>
      </w:r>
      <w:r>
        <w:rPr>
          <w:rFonts w:hint="eastAsia"/>
          <w:spacing w:val="20"/>
          <w:sz w:val="24"/>
          <w:u w:val="single"/>
          <w:lang w:eastAsia="zh-CN"/>
        </w:rPr>
        <w:t>腾龙芳烃（漳州）有限公司</w:t>
      </w:r>
      <w:r>
        <w:rPr>
          <w:rFonts w:hint="eastAsia" w:asciiTheme="majorEastAsia" w:hAnsiTheme="majorEastAsia" w:eastAsiaTheme="majorEastAsia"/>
          <w:szCs w:val="24"/>
        </w:rPr>
        <w:t>”；</w:t>
      </w:r>
    </w:p>
    <w:p>
      <w:pPr>
        <w:pStyle w:val="47"/>
        <w:spacing w:after="0" w:line="360" w:lineRule="auto"/>
        <w:ind w:firstLineChars="200"/>
        <w:rPr>
          <w:rFonts w:asciiTheme="majorEastAsia" w:hAnsiTheme="majorEastAsia" w:eastAsiaTheme="majorEastAsia"/>
          <w:szCs w:val="24"/>
        </w:rPr>
      </w:pPr>
      <w:r>
        <w:rPr>
          <w:rFonts w:hint="eastAsia" w:asciiTheme="majorEastAsia" w:hAnsiTheme="majorEastAsia" w:eastAsiaTheme="majorEastAsia"/>
          <w:szCs w:val="24"/>
        </w:rPr>
        <w:t>本文及附件中“承包人” 、“乙方” 、“承揽商”等均指“”。</w:t>
      </w:r>
    </w:p>
    <w:p>
      <w:pPr>
        <w:pStyle w:val="35"/>
        <w:tabs>
          <w:tab w:val="left" w:pos="2130"/>
        </w:tabs>
        <w:spacing w:line="360" w:lineRule="auto"/>
        <w:ind w:left="482" w:hanging="482"/>
        <w:rPr>
          <w:rFonts w:hint="eastAsia" w:cs="Times New Roman" w:asciiTheme="majorEastAsia" w:hAnsiTheme="majorEastAsia" w:eastAsiaTheme="majorEastAsia"/>
          <w:b/>
          <w:sz w:val="24"/>
        </w:rPr>
      </w:pPr>
      <w:r>
        <w:rPr>
          <w:rFonts w:hint="eastAsia" w:asciiTheme="majorEastAsia" w:hAnsiTheme="majorEastAsia" w:eastAsiaTheme="majorEastAsia"/>
          <w:b/>
          <w:sz w:val="24"/>
        </w:rPr>
        <w:t xml:space="preserve">一、工程名称 </w:t>
      </w:r>
      <w:r>
        <w:rPr>
          <w:rFonts w:hint="eastAsia" w:asciiTheme="majorEastAsia" w:hAnsiTheme="majorEastAsia" w:eastAsiaTheme="majorEastAsia"/>
          <w:bCs/>
          <w:sz w:val="24"/>
        </w:rPr>
        <w:t xml:space="preserve"> </w:t>
      </w:r>
      <w:r>
        <w:rPr>
          <w:rFonts w:hint="eastAsia" w:asciiTheme="majorEastAsia" w:hAnsiTheme="majorEastAsia" w:eastAsiaTheme="majorEastAsia"/>
          <w:b w:val="0"/>
          <w:bCs w:val="0"/>
          <w:sz w:val="24"/>
          <w:szCs w:val="20"/>
          <w:lang w:val="en-US" w:eastAsia="zh-CN"/>
        </w:rPr>
        <w:t>生产生产一团队纤维膜反应器清洗及部分纤维丝更换项目</w:t>
      </w:r>
    </w:p>
    <w:p>
      <w:pPr>
        <w:pStyle w:val="35"/>
        <w:spacing w:line="360" w:lineRule="auto"/>
        <w:ind w:left="482" w:hanging="482"/>
        <w:rPr>
          <w:rFonts w:asciiTheme="majorEastAsia" w:hAnsiTheme="majorEastAsia" w:eastAsiaTheme="majorEastAsia"/>
          <w:b/>
          <w:sz w:val="24"/>
        </w:rPr>
      </w:pPr>
      <w:r>
        <w:rPr>
          <w:rFonts w:hint="eastAsia" w:asciiTheme="majorEastAsia" w:hAnsiTheme="majorEastAsia" w:eastAsiaTheme="majorEastAsia"/>
          <w:b/>
          <w:sz w:val="24"/>
        </w:rPr>
        <w:t xml:space="preserve">二、工程地点  </w:t>
      </w:r>
      <w:r>
        <w:rPr>
          <w:rFonts w:hint="eastAsia" w:asciiTheme="majorEastAsia" w:hAnsiTheme="majorEastAsia" w:eastAsiaTheme="majorEastAsia"/>
          <w:sz w:val="24"/>
        </w:rPr>
        <w:t>福建省漳州古雷</w:t>
      </w:r>
    </w:p>
    <w:p>
      <w:pPr>
        <w:pStyle w:val="35"/>
        <w:spacing w:line="360" w:lineRule="auto"/>
        <w:ind w:left="482" w:hanging="482"/>
        <w:rPr>
          <w:rFonts w:asciiTheme="majorEastAsia" w:hAnsiTheme="majorEastAsia" w:eastAsiaTheme="majorEastAsia"/>
          <w:b/>
          <w:sz w:val="24"/>
        </w:rPr>
      </w:pPr>
      <w:r>
        <w:rPr>
          <w:rFonts w:hint="eastAsia" w:asciiTheme="majorEastAsia" w:hAnsiTheme="majorEastAsia" w:eastAsiaTheme="majorEastAsia"/>
          <w:b/>
          <w:sz w:val="24"/>
        </w:rPr>
        <w:t xml:space="preserve">三、工程范围及要求   </w:t>
      </w:r>
    </w:p>
    <w:p>
      <w:pPr>
        <w:spacing w:line="360" w:lineRule="auto"/>
        <w:ind w:left="-53" w:leftChars="-24" w:firstLine="480" w:firstLineChars="200"/>
        <w:rPr>
          <w:rStyle w:val="231"/>
          <w:sz w:val="24"/>
          <w:szCs w:val="24"/>
        </w:rPr>
      </w:pPr>
      <w:r>
        <w:rPr>
          <w:rFonts w:hint="eastAsia"/>
          <w:sz w:val="24"/>
          <w:szCs w:val="24"/>
        </w:rPr>
        <w:t>本次清洗和更换的设备位于13单元凝析油分离装置脱硫醇单元，液化气进料设计量20.88t/h，原料来自脱乙烷塔液化气，</w:t>
      </w:r>
      <w:r>
        <w:rPr>
          <w:sz w:val="24"/>
          <w:szCs w:val="24"/>
        </w:rPr>
        <w:t>脱硫醇</w:t>
      </w:r>
      <w:r>
        <w:rPr>
          <w:rFonts w:hint="eastAsia"/>
          <w:sz w:val="24"/>
          <w:szCs w:val="24"/>
        </w:rPr>
        <w:t>单元</w:t>
      </w:r>
      <w:r>
        <w:rPr>
          <w:sz w:val="24"/>
          <w:szCs w:val="24"/>
        </w:rPr>
        <w:t>使用碱液进行脱硫醇</w:t>
      </w:r>
      <w:r>
        <w:rPr>
          <w:rFonts w:hint="eastAsia"/>
          <w:sz w:val="24"/>
          <w:szCs w:val="24"/>
        </w:rPr>
        <w:t>，依次经过13-R-401、13-R-402脱除硫醇，13-R-403通过除盐水脱除液化气含带的碱液，液化气和碱液在罐内分离，液化气自罐顶排出，碱液从罐底排出，最终精制合格液化气送至罐区。脱硫醇反应及水洗纤维膜为条形束状，2023年凝析油分离脱瓶颈改造后，为保证下周期高负荷生产运行及脱硫效果，申请检修期间将该发包委外解体、清洗、局部更换纤维膜等维护工作。</w:t>
      </w:r>
      <w:r>
        <w:rPr>
          <w:rStyle w:val="231"/>
          <w:sz w:val="24"/>
          <w:szCs w:val="24"/>
        </w:rPr>
        <w:t>需要清洗的纤维膜</w:t>
      </w:r>
      <w:r>
        <w:rPr>
          <w:rStyle w:val="231"/>
          <w:rFonts w:hint="eastAsia"/>
          <w:sz w:val="24"/>
          <w:szCs w:val="24"/>
        </w:rPr>
        <w:t>反应器</w:t>
      </w:r>
      <w:r>
        <w:rPr>
          <w:rStyle w:val="231"/>
          <w:sz w:val="24"/>
          <w:szCs w:val="24"/>
        </w:rPr>
        <w:t>分别为13-R-401</w:t>
      </w:r>
      <w:r>
        <w:rPr>
          <w:rStyle w:val="231"/>
          <w:rFonts w:hint="eastAsia"/>
          <w:sz w:val="24"/>
          <w:szCs w:val="24"/>
        </w:rPr>
        <w:t>、</w:t>
      </w:r>
      <w:r>
        <w:rPr>
          <w:rStyle w:val="231"/>
          <w:sz w:val="24"/>
          <w:szCs w:val="24"/>
        </w:rPr>
        <w:t>13-R-402</w:t>
      </w:r>
      <w:r>
        <w:rPr>
          <w:rStyle w:val="231"/>
          <w:rFonts w:hint="eastAsia"/>
          <w:sz w:val="24"/>
          <w:szCs w:val="24"/>
        </w:rPr>
        <w:t>和</w:t>
      </w:r>
      <w:r>
        <w:rPr>
          <w:rStyle w:val="231"/>
          <w:sz w:val="24"/>
          <w:szCs w:val="24"/>
        </w:rPr>
        <w:t>13-R-403共计3台</w:t>
      </w:r>
      <w:r>
        <w:rPr>
          <w:rStyle w:val="231"/>
          <w:rFonts w:hint="eastAsia"/>
          <w:sz w:val="24"/>
          <w:szCs w:val="24"/>
        </w:rPr>
        <w:t>，详见下表1。</w:t>
      </w:r>
    </w:p>
    <w:tbl>
      <w:tblPr>
        <w:tblStyle w:val="49"/>
        <w:tblW w:w="91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1" w:type="dxa"/>
          <w:bottom w:w="0" w:type="dxa"/>
          <w:right w:w="11" w:type="dxa"/>
        </w:tblCellMar>
      </w:tblPr>
      <w:tblGrid>
        <w:gridCol w:w="264"/>
        <w:gridCol w:w="960"/>
        <w:gridCol w:w="1983"/>
        <w:gridCol w:w="682"/>
        <w:gridCol w:w="612"/>
        <w:gridCol w:w="599"/>
        <w:gridCol w:w="1601"/>
        <w:gridCol w:w="2403"/>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gridAfter w:val="1"/>
          <w:wAfter w:w="20" w:type="dxa"/>
          <w:trHeight w:val="251" w:hRule="atLeast"/>
          <w:tblHeader/>
          <w:jc w:val="center"/>
        </w:trPr>
        <w:tc>
          <w:tcPr>
            <w:tcW w:w="9104" w:type="dxa"/>
            <w:gridSpan w:val="8"/>
            <w:tcBorders>
              <w:bottom w:val="single" w:color="000000" w:sz="4" w:space="0"/>
            </w:tcBorders>
            <w:vAlign w:val="center"/>
          </w:tcPr>
          <w:p>
            <w:pPr>
              <w:jc w:val="center"/>
              <w:rPr>
                <w:rStyle w:val="231"/>
                <w:szCs w:val="21"/>
              </w:rPr>
            </w:pPr>
            <w:r>
              <w:rPr>
                <w:rStyle w:val="231"/>
                <w:szCs w:val="21"/>
              </w:rPr>
              <w:t>表</w:t>
            </w:r>
            <w:r>
              <w:rPr>
                <w:rStyle w:val="231"/>
                <w:rFonts w:hint="eastAsia"/>
                <w:szCs w:val="21"/>
              </w:rPr>
              <w:t>1</w:t>
            </w:r>
            <w:r>
              <w:rPr>
                <w:rStyle w:val="231"/>
                <w:szCs w:val="21"/>
              </w:rPr>
              <w:t xml:space="preserve"> 清洗设备列表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425" w:hRule="atLeast"/>
          <w:tblHeader/>
          <w:jc w:val="center"/>
        </w:trPr>
        <w:tc>
          <w:tcPr>
            <w:tcW w:w="264"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序号</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位号</w:t>
            </w: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名称/型号</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数量</w:t>
            </w:r>
          </w:p>
          <w:p>
            <w:pPr>
              <w:jc w:val="center"/>
              <w:rPr>
                <w:rStyle w:val="231"/>
                <w:szCs w:val="21"/>
              </w:rPr>
            </w:pPr>
            <w:r>
              <w:rPr>
                <w:rStyle w:val="231"/>
                <w:szCs w:val="21"/>
              </w:rPr>
              <w:t>（台）</w:t>
            </w:r>
          </w:p>
        </w:tc>
        <w:tc>
          <w:tcPr>
            <w:tcW w:w="613"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设计温度</w:t>
            </w:r>
            <w:r>
              <w:rPr>
                <w:rStyle w:val="231"/>
                <w:rFonts w:ascii="宋体"/>
                <w:szCs w:val="21"/>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设计压力MPaG</w:t>
            </w:r>
          </w:p>
        </w:tc>
        <w:tc>
          <w:tcPr>
            <w:tcW w:w="160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设备规格</w:t>
            </w:r>
          </w:p>
        </w:tc>
        <w:tc>
          <w:tcPr>
            <w:tcW w:w="243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主体材质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99" w:hRule="atLeast"/>
          <w:jc w:val="center"/>
        </w:trPr>
        <w:tc>
          <w:tcPr>
            <w:tcW w:w="264" w:type="dxa"/>
            <w:vMerge w:val="restart"/>
            <w:tcBorders>
              <w:left w:val="single" w:color="000000" w:sz="4" w:space="0"/>
              <w:right w:val="single" w:color="000000" w:sz="4" w:space="0"/>
            </w:tcBorders>
            <w:vAlign w:val="center"/>
          </w:tcPr>
          <w:p>
            <w:pPr>
              <w:jc w:val="center"/>
              <w:rPr>
                <w:rStyle w:val="231"/>
                <w:szCs w:val="21"/>
              </w:rPr>
            </w:pPr>
            <w:r>
              <w:rPr>
                <w:rStyle w:val="231"/>
                <w:szCs w:val="21"/>
              </w:rPr>
              <w:t>1</w:t>
            </w:r>
          </w:p>
        </w:tc>
        <w:tc>
          <w:tcPr>
            <w:tcW w:w="964" w:type="dxa"/>
            <w:vMerge w:val="restart"/>
            <w:tcBorders>
              <w:left w:val="single" w:color="000000" w:sz="4" w:space="0"/>
              <w:right w:val="single" w:color="000000" w:sz="4" w:space="0"/>
            </w:tcBorders>
            <w:vAlign w:val="center"/>
          </w:tcPr>
          <w:p>
            <w:pPr>
              <w:jc w:val="center"/>
              <w:rPr>
                <w:rStyle w:val="231"/>
                <w:szCs w:val="21"/>
              </w:rPr>
            </w:pPr>
            <w:r>
              <w:rPr>
                <w:rStyle w:val="231"/>
                <w:sz w:val="24"/>
                <w:szCs w:val="24"/>
              </w:rPr>
              <w:t>13-R-401</w:t>
            </w: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rFonts w:hint="eastAsia"/>
                <w:sz w:val="24"/>
                <w:szCs w:val="24"/>
              </w:rPr>
              <w:t>一级脱硫醇反应器</w:t>
            </w:r>
            <w:r>
              <w:rPr>
                <w:rStyle w:val="231"/>
                <w:szCs w:val="21"/>
              </w:rPr>
              <w:t>/LSDR25D75</w:t>
            </w:r>
          </w:p>
        </w:tc>
        <w:tc>
          <w:tcPr>
            <w:tcW w:w="653" w:type="dxa"/>
            <w:vMerge w:val="restart"/>
            <w:tcBorders>
              <w:top w:val="single" w:color="000000" w:sz="4" w:space="0"/>
              <w:left w:val="single" w:color="000000" w:sz="4" w:space="0"/>
              <w:right w:val="single" w:color="000000" w:sz="4" w:space="0"/>
            </w:tcBorders>
            <w:vAlign w:val="center"/>
          </w:tcPr>
          <w:p>
            <w:pPr>
              <w:jc w:val="center"/>
              <w:rPr>
                <w:rStyle w:val="231"/>
                <w:szCs w:val="21"/>
              </w:rPr>
            </w:pPr>
            <w:r>
              <w:rPr>
                <w:rStyle w:val="231"/>
                <w:rFonts w:hint="eastAsia"/>
                <w:szCs w:val="21"/>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60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2.8</w:t>
            </w:r>
          </w:p>
        </w:tc>
        <w:tc>
          <w:tcPr>
            <w:tcW w:w="160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750 ID x 3750 TT</w:t>
            </w:r>
          </w:p>
        </w:tc>
        <w:tc>
          <w:tcPr>
            <w:tcW w:w="243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筒体Q345R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99" w:hRule="atLeast"/>
          <w:jc w:val="center"/>
        </w:trPr>
        <w:tc>
          <w:tcPr>
            <w:tcW w:w="264" w:type="dxa"/>
            <w:vMerge w:val="continue"/>
            <w:tcBorders>
              <w:left w:val="single" w:color="000000" w:sz="4" w:space="0"/>
              <w:bottom w:val="single" w:color="000000" w:sz="4" w:space="0"/>
              <w:right w:val="single" w:color="000000" w:sz="4" w:space="0"/>
            </w:tcBorders>
            <w:vAlign w:val="center"/>
          </w:tcPr>
          <w:p>
            <w:pPr>
              <w:jc w:val="center"/>
              <w:rPr>
                <w:rStyle w:val="231"/>
                <w:szCs w:val="21"/>
              </w:rPr>
            </w:pPr>
          </w:p>
        </w:tc>
        <w:tc>
          <w:tcPr>
            <w:tcW w:w="964" w:type="dxa"/>
            <w:vMerge w:val="continue"/>
            <w:tcBorders>
              <w:left w:val="single" w:color="000000" w:sz="4" w:space="0"/>
              <w:bottom w:val="single" w:color="000000" w:sz="4" w:space="0"/>
              <w:right w:val="single" w:color="000000" w:sz="4" w:space="0"/>
            </w:tcBorders>
            <w:vAlign w:val="center"/>
          </w:tcPr>
          <w:p>
            <w:pPr>
              <w:jc w:val="center"/>
              <w:rPr>
                <w:rStyle w:val="231"/>
                <w:szCs w:val="21"/>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内芯</w:t>
            </w:r>
          </w:p>
        </w:tc>
        <w:tc>
          <w:tcPr>
            <w:tcW w:w="653" w:type="dxa"/>
            <w:vMerge w:val="continue"/>
            <w:tcBorders>
              <w:left w:val="single" w:color="000000" w:sz="4" w:space="0"/>
              <w:bottom w:val="single" w:color="000000" w:sz="4" w:space="0"/>
              <w:right w:val="single" w:color="000000" w:sz="4" w:space="0"/>
            </w:tcBorders>
            <w:vAlign w:val="center"/>
          </w:tcPr>
          <w:p>
            <w:pPr>
              <w:jc w:val="center"/>
              <w:rPr>
                <w:rStyle w:val="231"/>
                <w:szCs w:val="21"/>
              </w:rPr>
            </w:pPr>
          </w:p>
        </w:tc>
        <w:tc>
          <w:tcPr>
            <w:tcW w:w="613"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60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w:t>
            </w:r>
          </w:p>
        </w:tc>
        <w:tc>
          <w:tcPr>
            <w:tcW w:w="160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w:t>
            </w:r>
          </w:p>
        </w:tc>
        <w:tc>
          <w:tcPr>
            <w:tcW w:w="243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内芯304不锈钢及表面复合材料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42" w:hRule="atLeast"/>
          <w:jc w:val="center"/>
        </w:trPr>
        <w:tc>
          <w:tcPr>
            <w:tcW w:w="264" w:type="dxa"/>
            <w:vMerge w:val="restart"/>
            <w:tcBorders>
              <w:top w:val="single" w:color="000000" w:sz="4" w:space="0"/>
              <w:left w:val="single" w:color="000000" w:sz="4" w:space="0"/>
              <w:right w:val="single" w:color="000000" w:sz="4" w:space="0"/>
            </w:tcBorders>
            <w:vAlign w:val="center"/>
          </w:tcPr>
          <w:p>
            <w:pPr>
              <w:jc w:val="center"/>
              <w:rPr>
                <w:rStyle w:val="231"/>
                <w:szCs w:val="21"/>
              </w:rPr>
            </w:pPr>
            <w:r>
              <w:rPr>
                <w:rStyle w:val="231"/>
                <w:szCs w:val="21"/>
              </w:rPr>
              <w:t>2</w:t>
            </w:r>
          </w:p>
        </w:tc>
        <w:tc>
          <w:tcPr>
            <w:tcW w:w="964" w:type="dxa"/>
            <w:vMerge w:val="restart"/>
            <w:tcBorders>
              <w:top w:val="single" w:color="000000" w:sz="4" w:space="0"/>
              <w:left w:val="single" w:color="000000" w:sz="4" w:space="0"/>
              <w:right w:val="single" w:color="000000" w:sz="4" w:space="0"/>
            </w:tcBorders>
            <w:vAlign w:val="center"/>
          </w:tcPr>
          <w:p>
            <w:pPr>
              <w:jc w:val="center"/>
              <w:rPr>
                <w:rStyle w:val="231"/>
                <w:szCs w:val="21"/>
              </w:rPr>
            </w:pPr>
            <w:r>
              <w:rPr>
                <w:rStyle w:val="231"/>
                <w:sz w:val="24"/>
                <w:szCs w:val="24"/>
              </w:rPr>
              <w:t>13-R-402</w:t>
            </w: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rFonts w:hint="eastAsia"/>
                <w:sz w:val="24"/>
                <w:szCs w:val="24"/>
              </w:rPr>
              <w:t>二级脱硫醇反应器</w:t>
            </w:r>
            <w:r>
              <w:rPr>
                <w:rStyle w:val="231"/>
                <w:szCs w:val="21"/>
              </w:rPr>
              <w:t>/</w:t>
            </w:r>
            <w:r>
              <w:rPr>
                <w:szCs w:val="21"/>
              </w:rPr>
              <w:t xml:space="preserve"> </w:t>
            </w:r>
            <w:r>
              <w:rPr>
                <w:rStyle w:val="231"/>
                <w:szCs w:val="21"/>
              </w:rPr>
              <w:t>LSDR25D75</w:t>
            </w:r>
            <w:r>
              <w:rPr>
                <w:szCs w:val="21"/>
              </w:rPr>
              <w:t xml:space="preserve"> </w:t>
            </w:r>
          </w:p>
        </w:tc>
        <w:tc>
          <w:tcPr>
            <w:tcW w:w="653" w:type="dxa"/>
            <w:vMerge w:val="restart"/>
            <w:tcBorders>
              <w:top w:val="single" w:color="000000" w:sz="4" w:space="0"/>
              <w:left w:val="single" w:color="000000" w:sz="4" w:space="0"/>
              <w:right w:val="single" w:color="000000" w:sz="4" w:space="0"/>
            </w:tcBorders>
            <w:vAlign w:val="center"/>
          </w:tcPr>
          <w:p>
            <w:pPr>
              <w:jc w:val="center"/>
              <w:rPr>
                <w:rStyle w:val="231"/>
                <w:szCs w:val="21"/>
              </w:rPr>
            </w:pPr>
            <w:r>
              <w:rPr>
                <w:rStyle w:val="231"/>
                <w:rFonts w:hint="eastAsia"/>
                <w:szCs w:val="21"/>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60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2.8</w:t>
            </w:r>
          </w:p>
        </w:tc>
        <w:tc>
          <w:tcPr>
            <w:tcW w:w="160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750 ID x 3750 TT</w:t>
            </w:r>
          </w:p>
        </w:tc>
        <w:tc>
          <w:tcPr>
            <w:tcW w:w="243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筒体Q345R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01" w:hRule="atLeast"/>
          <w:jc w:val="center"/>
        </w:trPr>
        <w:tc>
          <w:tcPr>
            <w:tcW w:w="264" w:type="dxa"/>
            <w:vMerge w:val="continue"/>
            <w:tcBorders>
              <w:left w:val="single" w:color="000000" w:sz="4" w:space="0"/>
              <w:bottom w:val="single" w:color="auto" w:sz="4" w:space="0"/>
              <w:right w:val="single" w:color="000000" w:sz="4" w:space="0"/>
            </w:tcBorders>
            <w:vAlign w:val="center"/>
          </w:tcPr>
          <w:p>
            <w:pPr>
              <w:jc w:val="center"/>
              <w:rPr>
                <w:rStyle w:val="231"/>
                <w:szCs w:val="21"/>
              </w:rPr>
            </w:pPr>
          </w:p>
        </w:tc>
        <w:tc>
          <w:tcPr>
            <w:tcW w:w="964" w:type="dxa"/>
            <w:vMerge w:val="continue"/>
            <w:tcBorders>
              <w:left w:val="single" w:color="000000" w:sz="4" w:space="0"/>
              <w:bottom w:val="single" w:color="auto" w:sz="4" w:space="0"/>
              <w:right w:val="single" w:color="000000" w:sz="4" w:space="0"/>
            </w:tcBorders>
            <w:vAlign w:val="center"/>
          </w:tcPr>
          <w:p>
            <w:pPr>
              <w:jc w:val="center"/>
              <w:rPr>
                <w:rStyle w:val="231"/>
                <w:szCs w:val="21"/>
              </w:rPr>
            </w:pPr>
          </w:p>
        </w:tc>
        <w:tc>
          <w:tcPr>
            <w:tcW w:w="1988" w:type="dxa"/>
            <w:tcBorders>
              <w:top w:val="single" w:color="000000" w:sz="4" w:space="0"/>
              <w:left w:val="single" w:color="000000" w:sz="4" w:space="0"/>
              <w:bottom w:val="single" w:color="auto" w:sz="4" w:space="0"/>
              <w:right w:val="single" w:color="000000" w:sz="4" w:space="0"/>
            </w:tcBorders>
            <w:vAlign w:val="center"/>
          </w:tcPr>
          <w:p>
            <w:pPr>
              <w:jc w:val="center"/>
              <w:rPr>
                <w:rStyle w:val="231"/>
                <w:szCs w:val="21"/>
              </w:rPr>
            </w:pPr>
            <w:r>
              <w:rPr>
                <w:rStyle w:val="231"/>
                <w:szCs w:val="21"/>
              </w:rPr>
              <w:t>内芯</w:t>
            </w:r>
          </w:p>
        </w:tc>
        <w:tc>
          <w:tcPr>
            <w:tcW w:w="653" w:type="dxa"/>
            <w:vMerge w:val="continue"/>
            <w:tcBorders>
              <w:left w:val="single" w:color="000000" w:sz="4" w:space="0"/>
              <w:bottom w:val="single" w:color="000000" w:sz="4" w:space="0"/>
              <w:right w:val="single" w:color="000000" w:sz="4" w:space="0"/>
            </w:tcBorders>
            <w:vAlign w:val="center"/>
          </w:tcPr>
          <w:p>
            <w:pPr>
              <w:jc w:val="center"/>
              <w:rPr>
                <w:rStyle w:val="231"/>
                <w:szCs w:val="21"/>
              </w:rPr>
            </w:pPr>
          </w:p>
        </w:tc>
        <w:tc>
          <w:tcPr>
            <w:tcW w:w="613"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60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w:t>
            </w:r>
          </w:p>
        </w:tc>
        <w:tc>
          <w:tcPr>
            <w:tcW w:w="160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w:t>
            </w:r>
          </w:p>
        </w:tc>
        <w:tc>
          <w:tcPr>
            <w:tcW w:w="243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内芯304不锈钢及表面复合材料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01" w:hRule="atLeast"/>
          <w:jc w:val="center"/>
        </w:trPr>
        <w:tc>
          <w:tcPr>
            <w:tcW w:w="264" w:type="dxa"/>
            <w:vMerge w:val="restart"/>
            <w:tcBorders>
              <w:top w:val="single" w:color="auto" w:sz="4" w:space="0"/>
              <w:left w:val="single" w:color="000000" w:sz="4" w:space="0"/>
              <w:right w:val="single" w:color="000000" w:sz="4" w:space="0"/>
            </w:tcBorders>
            <w:vAlign w:val="center"/>
          </w:tcPr>
          <w:p>
            <w:pPr>
              <w:jc w:val="center"/>
              <w:rPr>
                <w:rStyle w:val="231"/>
                <w:szCs w:val="21"/>
              </w:rPr>
            </w:pPr>
            <w:r>
              <w:rPr>
                <w:rStyle w:val="231"/>
                <w:rFonts w:hint="eastAsia"/>
                <w:szCs w:val="21"/>
              </w:rPr>
              <w:t>3</w:t>
            </w:r>
          </w:p>
        </w:tc>
        <w:tc>
          <w:tcPr>
            <w:tcW w:w="964" w:type="dxa"/>
            <w:vMerge w:val="restart"/>
            <w:tcBorders>
              <w:top w:val="single" w:color="auto" w:sz="4" w:space="0"/>
              <w:left w:val="single" w:color="000000" w:sz="4" w:space="0"/>
              <w:right w:val="single" w:color="000000" w:sz="4" w:space="0"/>
            </w:tcBorders>
            <w:vAlign w:val="center"/>
          </w:tcPr>
          <w:p>
            <w:pPr>
              <w:jc w:val="center"/>
              <w:rPr>
                <w:rStyle w:val="231"/>
                <w:szCs w:val="21"/>
              </w:rPr>
            </w:pPr>
            <w:r>
              <w:rPr>
                <w:rStyle w:val="231"/>
                <w:sz w:val="24"/>
                <w:szCs w:val="24"/>
              </w:rPr>
              <w:t>13-R-403</w:t>
            </w:r>
          </w:p>
        </w:tc>
        <w:tc>
          <w:tcPr>
            <w:tcW w:w="1988" w:type="dxa"/>
            <w:tcBorders>
              <w:top w:val="single" w:color="auto" w:sz="4" w:space="0"/>
              <w:left w:val="single" w:color="000000" w:sz="4" w:space="0"/>
              <w:bottom w:val="single" w:color="000000" w:sz="4" w:space="0"/>
              <w:right w:val="single" w:color="000000" w:sz="4" w:space="0"/>
            </w:tcBorders>
            <w:vAlign w:val="center"/>
          </w:tcPr>
          <w:p>
            <w:pPr>
              <w:jc w:val="center"/>
              <w:rPr>
                <w:rStyle w:val="231"/>
                <w:szCs w:val="21"/>
              </w:rPr>
            </w:pPr>
            <w:r>
              <w:rPr>
                <w:rStyle w:val="231"/>
                <w:rFonts w:hint="eastAsia"/>
                <w:sz w:val="24"/>
                <w:szCs w:val="24"/>
              </w:rPr>
              <w:t>液膜水洗接触器</w:t>
            </w:r>
            <w:r>
              <w:rPr>
                <w:rStyle w:val="231"/>
                <w:szCs w:val="21"/>
              </w:rPr>
              <w:t>/</w:t>
            </w:r>
            <w:r>
              <w:rPr>
                <w:szCs w:val="21"/>
              </w:rPr>
              <w:t xml:space="preserve"> </w:t>
            </w:r>
            <w:r>
              <w:rPr>
                <w:rStyle w:val="231"/>
                <w:szCs w:val="21"/>
              </w:rPr>
              <w:t>LSDR25D75</w:t>
            </w:r>
            <w:r>
              <w:rPr>
                <w:szCs w:val="21"/>
              </w:rPr>
              <w:t xml:space="preserve"> </w:t>
            </w:r>
          </w:p>
        </w:tc>
        <w:tc>
          <w:tcPr>
            <w:tcW w:w="653" w:type="dxa"/>
            <w:vMerge w:val="restart"/>
            <w:tcBorders>
              <w:top w:val="single" w:color="000000" w:sz="4" w:space="0"/>
              <w:left w:val="single" w:color="000000" w:sz="4" w:space="0"/>
              <w:right w:val="single" w:color="000000" w:sz="4" w:space="0"/>
            </w:tcBorders>
            <w:vAlign w:val="center"/>
          </w:tcPr>
          <w:p>
            <w:pPr>
              <w:jc w:val="center"/>
              <w:rPr>
                <w:rStyle w:val="231"/>
                <w:szCs w:val="21"/>
              </w:rPr>
            </w:pPr>
            <w:r>
              <w:rPr>
                <w:rStyle w:val="231"/>
                <w:rFonts w:hint="eastAsia"/>
                <w:szCs w:val="21"/>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60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2.36</w:t>
            </w:r>
          </w:p>
        </w:tc>
        <w:tc>
          <w:tcPr>
            <w:tcW w:w="160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750 ID x 3750 TT</w:t>
            </w:r>
          </w:p>
        </w:tc>
        <w:tc>
          <w:tcPr>
            <w:tcW w:w="243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筒体Q345R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201" w:hRule="atLeast"/>
          <w:jc w:val="center"/>
        </w:trPr>
        <w:tc>
          <w:tcPr>
            <w:tcW w:w="264" w:type="dxa"/>
            <w:vMerge w:val="continue"/>
            <w:tcBorders>
              <w:left w:val="single" w:color="000000" w:sz="4" w:space="0"/>
              <w:bottom w:val="single" w:color="000000" w:sz="4" w:space="0"/>
              <w:right w:val="single" w:color="000000" w:sz="4" w:space="0"/>
            </w:tcBorders>
            <w:vAlign w:val="center"/>
          </w:tcPr>
          <w:p>
            <w:pPr>
              <w:jc w:val="center"/>
              <w:rPr>
                <w:rStyle w:val="231"/>
                <w:szCs w:val="21"/>
              </w:rPr>
            </w:pPr>
          </w:p>
        </w:tc>
        <w:tc>
          <w:tcPr>
            <w:tcW w:w="964" w:type="dxa"/>
            <w:vMerge w:val="continue"/>
            <w:tcBorders>
              <w:left w:val="single" w:color="000000" w:sz="4" w:space="0"/>
              <w:bottom w:val="single" w:color="000000" w:sz="4" w:space="0"/>
              <w:right w:val="single" w:color="000000" w:sz="4" w:space="0"/>
            </w:tcBorders>
            <w:vAlign w:val="center"/>
          </w:tcPr>
          <w:p>
            <w:pPr>
              <w:jc w:val="center"/>
              <w:rPr>
                <w:rStyle w:val="231"/>
                <w:szCs w:val="21"/>
              </w:rPr>
            </w:pPr>
          </w:p>
        </w:tc>
        <w:tc>
          <w:tcPr>
            <w:tcW w:w="198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内芯</w:t>
            </w:r>
          </w:p>
        </w:tc>
        <w:tc>
          <w:tcPr>
            <w:tcW w:w="653" w:type="dxa"/>
            <w:vMerge w:val="continue"/>
            <w:tcBorders>
              <w:left w:val="single" w:color="000000" w:sz="4" w:space="0"/>
              <w:bottom w:val="single" w:color="000000" w:sz="4" w:space="0"/>
              <w:right w:val="single" w:color="000000" w:sz="4" w:space="0"/>
            </w:tcBorders>
            <w:vAlign w:val="center"/>
          </w:tcPr>
          <w:p>
            <w:pPr>
              <w:jc w:val="center"/>
              <w:rPr>
                <w:rStyle w:val="231"/>
                <w:szCs w:val="21"/>
              </w:rPr>
            </w:pPr>
          </w:p>
        </w:tc>
        <w:tc>
          <w:tcPr>
            <w:tcW w:w="613"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60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w:t>
            </w:r>
          </w:p>
        </w:tc>
        <w:tc>
          <w:tcPr>
            <w:tcW w:w="1608" w:type="dxa"/>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w:t>
            </w:r>
          </w:p>
        </w:tc>
        <w:tc>
          <w:tcPr>
            <w:tcW w:w="243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1"/>
                <w:szCs w:val="21"/>
              </w:rPr>
            </w:pPr>
            <w:r>
              <w:rPr>
                <w:rStyle w:val="231"/>
                <w:szCs w:val="21"/>
              </w:rPr>
              <w:t>内芯304不锈钢及表面复合材料</w:t>
            </w:r>
          </w:p>
        </w:tc>
      </w:tr>
    </w:tbl>
    <w:p>
      <w:pPr>
        <w:spacing w:line="360" w:lineRule="auto"/>
      </w:pPr>
      <w:r>
        <w:rPr>
          <w:rStyle w:val="231"/>
          <w:sz w:val="24"/>
          <w:szCs w:val="24"/>
        </w:rPr>
        <w:t>备注：更换</w:t>
      </w:r>
      <w:r>
        <w:rPr>
          <w:rStyle w:val="231"/>
          <w:rFonts w:hint="eastAsia"/>
          <w:sz w:val="24"/>
          <w:szCs w:val="24"/>
        </w:rPr>
        <w:t>所有</w:t>
      </w:r>
      <w:r>
        <w:rPr>
          <w:rStyle w:val="231"/>
          <w:sz w:val="24"/>
          <w:szCs w:val="24"/>
        </w:rPr>
        <w:t>损坏内芯。</w:t>
      </w:r>
    </w:p>
    <w:p>
      <w:pPr>
        <w:numPr>
          <w:ilvl w:val="-1"/>
          <w:numId w:val="0"/>
        </w:numPr>
        <w:spacing w:line="360" w:lineRule="auto"/>
        <w:ind w:left="0" w:firstLine="0"/>
      </w:pPr>
      <w:r>
        <w:rPr>
          <w:rStyle w:val="231"/>
          <w:rFonts w:hint="eastAsia"/>
          <w:sz w:val="24"/>
          <w:szCs w:val="24"/>
          <w:lang w:val="en-US" w:eastAsia="zh-CN"/>
        </w:rPr>
        <w:t>1)</w:t>
      </w:r>
      <w:r>
        <w:rPr>
          <w:rStyle w:val="231"/>
          <w:sz w:val="24"/>
          <w:szCs w:val="24"/>
        </w:rPr>
        <w:t>清洗后保证</w:t>
      </w:r>
      <w:r>
        <w:rPr>
          <w:rStyle w:val="231"/>
          <w:rFonts w:hint="eastAsia"/>
          <w:sz w:val="24"/>
          <w:szCs w:val="24"/>
        </w:rPr>
        <w:t>单级</w:t>
      </w:r>
      <w:r>
        <w:rPr>
          <w:rStyle w:val="231"/>
          <w:sz w:val="24"/>
          <w:szCs w:val="24"/>
        </w:rPr>
        <w:t>纤维膜</w:t>
      </w:r>
      <w:r>
        <w:rPr>
          <w:rStyle w:val="231"/>
          <w:rFonts w:hint="eastAsia"/>
          <w:sz w:val="24"/>
          <w:szCs w:val="24"/>
        </w:rPr>
        <w:t>反应器13-R-401/402</w:t>
      </w:r>
      <w:r>
        <w:rPr>
          <w:rStyle w:val="231"/>
          <w:sz w:val="24"/>
          <w:szCs w:val="24"/>
        </w:rPr>
        <w:t>一年内压降</w:t>
      </w:r>
      <w:r>
        <w:rPr>
          <w:rFonts w:hint="eastAsia" w:ascii="宋体" w:hAnsi="宋体" w:cs="宋体"/>
          <w:szCs w:val="21"/>
        </w:rPr>
        <w:t>≤</w:t>
      </w:r>
      <w:r>
        <w:rPr>
          <w:rStyle w:val="231"/>
          <w:sz w:val="24"/>
          <w:szCs w:val="24"/>
        </w:rPr>
        <w:t>0.05MPa</w:t>
      </w:r>
      <w:r>
        <w:rPr>
          <w:rStyle w:val="231"/>
          <w:rFonts w:hint="eastAsia"/>
          <w:sz w:val="24"/>
          <w:szCs w:val="24"/>
        </w:rPr>
        <w:t>；</w:t>
      </w:r>
    </w:p>
    <w:p>
      <w:pPr>
        <w:numPr>
          <w:ilvl w:val="-1"/>
          <w:numId w:val="0"/>
        </w:numPr>
        <w:spacing w:line="360" w:lineRule="auto"/>
        <w:ind w:left="0" w:firstLine="0"/>
      </w:pPr>
      <w:r>
        <w:rPr>
          <w:rStyle w:val="231"/>
          <w:rFonts w:hint="eastAsia"/>
          <w:sz w:val="24"/>
          <w:szCs w:val="24"/>
          <w:lang w:val="en-US" w:eastAsia="zh-CN"/>
        </w:rPr>
        <w:t>2)</w:t>
      </w:r>
      <w:r>
        <w:rPr>
          <w:rStyle w:val="231"/>
          <w:rFonts w:hint="eastAsia"/>
          <w:sz w:val="24"/>
          <w:szCs w:val="24"/>
        </w:rPr>
        <w:t>清洗后</w:t>
      </w:r>
      <w:r>
        <w:rPr>
          <w:rStyle w:val="231"/>
          <w:sz w:val="24"/>
          <w:szCs w:val="24"/>
        </w:rPr>
        <w:t>保证</w:t>
      </w:r>
      <w:r>
        <w:rPr>
          <w:rStyle w:val="231"/>
          <w:rFonts w:hint="eastAsia"/>
          <w:sz w:val="24"/>
          <w:szCs w:val="24"/>
        </w:rPr>
        <w:t>单级</w:t>
      </w:r>
      <w:r>
        <w:rPr>
          <w:rStyle w:val="231"/>
          <w:sz w:val="24"/>
          <w:szCs w:val="24"/>
        </w:rPr>
        <w:t>纤维膜</w:t>
      </w:r>
      <w:r>
        <w:rPr>
          <w:rStyle w:val="231"/>
          <w:rFonts w:hint="eastAsia"/>
          <w:sz w:val="24"/>
          <w:szCs w:val="24"/>
        </w:rPr>
        <w:t>反应器13-R-401/402</w:t>
      </w:r>
      <w:r>
        <w:rPr>
          <w:rStyle w:val="231"/>
          <w:sz w:val="24"/>
          <w:szCs w:val="24"/>
        </w:rPr>
        <w:t>连续运行一个周期（4年）以上</w:t>
      </w:r>
      <w:r>
        <w:rPr>
          <w:rStyle w:val="231"/>
          <w:rFonts w:hint="eastAsia"/>
          <w:sz w:val="24"/>
          <w:szCs w:val="24"/>
        </w:rPr>
        <w:t>压降</w:t>
      </w:r>
      <w:r>
        <w:rPr>
          <w:rFonts w:hint="eastAsia" w:ascii="宋体" w:hAnsi="宋体" w:cs="宋体"/>
          <w:szCs w:val="21"/>
        </w:rPr>
        <w:t>≤</w:t>
      </w:r>
      <w:r>
        <w:rPr>
          <w:rStyle w:val="231"/>
          <w:sz w:val="24"/>
          <w:szCs w:val="24"/>
        </w:rPr>
        <w:t>0.1MPa；</w:t>
      </w:r>
    </w:p>
    <w:p>
      <w:pPr>
        <w:numPr>
          <w:ilvl w:val="-1"/>
          <w:numId w:val="0"/>
        </w:numPr>
        <w:spacing w:line="360" w:lineRule="auto"/>
        <w:ind w:left="0" w:firstLine="0" w:firstLineChars="0"/>
        <w:rPr>
          <w:rStyle w:val="231"/>
          <w:sz w:val="24"/>
          <w:szCs w:val="24"/>
        </w:rPr>
      </w:pPr>
      <w:r>
        <w:rPr>
          <w:rStyle w:val="231"/>
          <w:rFonts w:hint="eastAsia"/>
          <w:sz w:val="24"/>
          <w:szCs w:val="24"/>
          <w:lang w:val="en-US" w:eastAsia="zh-CN"/>
        </w:rPr>
        <w:t>3)</w:t>
      </w:r>
      <w:r>
        <w:rPr>
          <w:rStyle w:val="231"/>
          <w:rFonts w:hint="eastAsia"/>
          <w:sz w:val="24"/>
          <w:szCs w:val="24"/>
        </w:rPr>
        <w:t>清洗后液化气产品指标满足</w:t>
      </w:r>
      <w:r>
        <w:rPr>
          <w:rFonts w:hint="eastAsia" w:asciiTheme="majorEastAsia" w:hAnsiTheme="majorEastAsia" w:eastAsiaTheme="majorEastAsia"/>
          <w:sz w:val="24"/>
          <w:lang w:val="en-US" w:eastAsia="zh-CN"/>
        </w:rPr>
        <w:t>见</w:t>
      </w:r>
      <w:r>
        <w:rPr>
          <w:rFonts w:hint="eastAsia" w:asciiTheme="majorEastAsia" w:hAnsiTheme="majorEastAsia" w:eastAsiaTheme="majorEastAsia"/>
          <w:sz w:val="24"/>
          <w:lang w:eastAsia="zh-CN"/>
        </w:rPr>
        <w:t>附件一</w:t>
      </w:r>
      <w:r>
        <w:rPr>
          <w:rFonts w:hint="eastAsia" w:asciiTheme="majorEastAsia" w:hAnsiTheme="majorEastAsia" w:eastAsiaTheme="majorEastAsia"/>
          <w:sz w:val="24"/>
        </w:rPr>
        <w:t>、《13-R-401 402 403纤维膜反应器清洗及部分纤维丝更换发包说明》</w:t>
      </w:r>
      <w:r>
        <w:rPr>
          <w:rFonts w:hint="eastAsia" w:asciiTheme="majorEastAsia" w:hAnsiTheme="majorEastAsia" w:eastAsiaTheme="majorEastAsia"/>
          <w:sz w:val="24"/>
          <w:lang w:eastAsia="zh-CN"/>
        </w:rPr>
        <w:t>、附件二：《13-R-401 402 403纤维膜反应器清洗及部分纤维丝更换技术协议》</w:t>
      </w:r>
      <w:r>
        <w:rPr>
          <w:rStyle w:val="231"/>
          <w:rFonts w:hint="eastAsia"/>
          <w:sz w:val="24"/>
          <w:szCs w:val="24"/>
        </w:rPr>
        <w:t>要求；</w:t>
      </w:r>
    </w:p>
    <w:p>
      <w:pPr>
        <w:numPr>
          <w:ilvl w:val="-1"/>
          <w:numId w:val="0"/>
        </w:numPr>
        <w:spacing w:line="360" w:lineRule="auto"/>
        <w:ind w:left="0" w:firstLine="0"/>
        <w:rPr>
          <w:rStyle w:val="231"/>
          <w:rFonts w:hint="eastAsia" w:ascii="Times New Roman" w:hAnsi="Times New Roman" w:cs="Times New Roman"/>
          <w:sz w:val="24"/>
          <w:szCs w:val="24"/>
        </w:rPr>
      </w:pPr>
      <w:r>
        <w:rPr>
          <w:rStyle w:val="231"/>
          <w:rFonts w:hint="eastAsia" w:ascii="Times New Roman" w:hAnsi="Times New Roman" w:cs="Times New Roman"/>
          <w:sz w:val="24"/>
          <w:szCs w:val="24"/>
          <w:lang w:val="en-US" w:eastAsia="zh-CN"/>
        </w:rPr>
        <w:t>4)</w:t>
      </w:r>
      <w:r>
        <w:rPr>
          <w:rStyle w:val="231"/>
          <w:rFonts w:hint="eastAsia" w:ascii="Times New Roman" w:hAnsi="Times New Roman" w:cs="Times New Roman"/>
          <w:sz w:val="24"/>
          <w:szCs w:val="24"/>
        </w:rPr>
        <w:t>清洗所用的药剂不得对纤维膜反应器及其他相关设备造成损坏。</w:t>
      </w:r>
    </w:p>
    <w:p>
      <w:pPr>
        <w:spacing w:line="360" w:lineRule="auto"/>
        <w:rPr>
          <w:rStyle w:val="231"/>
          <w:rFonts w:hint="eastAsia" w:ascii="Times New Roman" w:hAnsi="Times New Roman" w:cs="Times New Roman"/>
          <w:szCs w:val="24"/>
        </w:rPr>
      </w:pPr>
      <w:r>
        <w:rPr>
          <w:rStyle w:val="231"/>
          <w:rFonts w:ascii="Times New Roman" w:hAnsi="Times New Roman" w:cs="Times New Roman"/>
          <w:szCs w:val="24"/>
        </w:rPr>
        <w:t>以上具体内容详见</w:t>
      </w:r>
      <w:r>
        <w:rPr>
          <w:rStyle w:val="231"/>
          <w:rFonts w:hint="eastAsia" w:ascii="Times New Roman" w:hAnsi="Times New Roman" w:cs="Times New Roman"/>
          <w:szCs w:val="24"/>
          <w:lang w:eastAsia="zh-CN"/>
        </w:rPr>
        <w:t>附件一</w:t>
      </w:r>
      <w:r>
        <w:rPr>
          <w:rStyle w:val="231"/>
          <w:rFonts w:ascii="Times New Roman" w:hAnsi="Times New Roman" w:cs="Times New Roman"/>
          <w:szCs w:val="24"/>
        </w:rPr>
        <w:t>、《13-R-401 402 403纤维膜反应器清洗及部分纤维丝更换发包说明》、</w:t>
      </w:r>
      <w:r>
        <w:rPr>
          <w:rStyle w:val="231"/>
          <w:rFonts w:hint="eastAsia" w:ascii="Times New Roman" w:hAnsi="Times New Roman" w:cs="Times New Roman"/>
          <w:szCs w:val="24"/>
          <w:lang w:eastAsia="zh-CN"/>
        </w:rPr>
        <w:t>附件二</w:t>
      </w:r>
      <w:r>
        <w:rPr>
          <w:rStyle w:val="231"/>
          <w:rFonts w:ascii="Times New Roman" w:hAnsi="Times New Roman" w:cs="Times New Roman"/>
          <w:szCs w:val="24"/>
        </w:rPr>
        <w:t>：《13-R-401 402 403纤维膜反应器清洗及部分纤维丝更换技术协议》。</w:t>
      </w:r>
    </w:p>
    <w:p>
      <w:pPr>
        <w:pStyle w:val="91"/>
        <w:numPr>
          <w:ilvl w:val="0"/>
          <w:numId w:val="0"/>
        </w:numPr>
        <w:spacing w:line="360" w:lineRule="auto"/>
        <w:ind w:firstLine="0"/>
        <w:rPr>
          <w:rFonts w:hint="default" w:asciiTheme="majorEastAsia" w:hAnsiTheme="majorEastAsia" w:eastAsiaTheme="majorEastAsia"/>
          <w:b/>
          <w:color w:val="000000" w:themeColor="text1"/>
          <w:sz w:val="24"/>
          <w:lang w:val="en-US" w:eastAsia="zh-CN"/>
          <w14:textFill>
            <w14:solidFill>
              <w14:schemeClr w14:val="tx1"/>
            </w14:solidFill>
          </w14:textFill>
        </w:rPr>
      </w:pPr>
      <w:r>
        <w:rPr>
          <w:rFonts w:hint="eastAsia" w:asciiTheme="majorEastAsia" w:hAnsiTheme="majorEastAsia" w:eastAsiaTheme="majorEastAsia"/>
          <w:b/>
          <w:sz w:val="24"/>
        </w:rPr>
        <w:t>四、合同工期</w:t>
      </w:r>
      <w:r>
        <w:rPr>
          <w:rFonts w:hint="eastAsia" w:asciiTheme="majorEastAsia" w:hAnsiTheme="majorEastAsia" w:eastAsiaTheme="majorEastAsia"/>
          <w:b/>
          <w:sz w:val="24"/>
          <w:lang w:eastAsia="zh-CN"/>
        </w:rPr>
        <w:t>：</w:t>
      </w:r>
      <w:r>
        <w:rPr>
          <w:rFonts w:hint="eastAsia" w:cs="Times New Roman" w:asciiTheme="majorEastAsia" w:hAnsiTheme="majorEastAsia" w:eastAsiaTheme="majorEastAsia"/>
          <w:sz w:val="24"/>
          <w:szCs w:val="20"/>
          <w:lang w:eastAsia="zh-CN"/>
        </w:rPr>
        <w:t>总工期</w:t>
      </w:r>
      <w:r>
        <w:rPr>
          <w:rFonts w:hint="eastAsia" w:cs="Times New Roman" w:asciiTheme="majorEastAsia" w:hAnsiTheme="majorEastAsia" w:eastAsiaTheme="majorEastAsia"/>
          <w:sz w:val="24"/>
          <w:szCs w:val="20"/>
          <w:lang w:val="en-US" w:eastAsia="zh-CN"/>
        </w:rPr>
        <w:t>20日</w:t>
      </w:r>
      <w:r>
        <w:rPr>
          <w:rFonts w:hint="eastAsia" w:cs="Times New Roman" w:asciiTheme="majorEastAsia" w:hAnsiTheme="majorEastAsia" w:eastAsiaTheme="majorEastAsia"/>
          <w:sz w:val="24"/>
          <w:szCs w:val="20"/>
          <w:lang w:eastAsia="zh-CN"/>
        </w:rPr>
        <w:t>。</w:t>
      </w:r>
      <w:r>
        <w:rPr>
          <w:rFonts w:ascii="宋体" w:hAnsi="宋体" w:eastAsia="宋体"/>
          <w:color w:val="000000" w:themeColor="text1"/>
          <w:sz w:val="24"/>
          <w:szCs w:val="24"/>
          <w14:textFill>
            <w14:solidFill>
              <w14:schemeClr w14:val="tx1"/>
            </w14:solidFill>
          </w14:textFill>
        </w:rPr>
        <w:t>本劳务活动</w:t>
      </w:r>
      <w:r>
        <w:rPr>
          <w:rFonts w:hint="eastAsia" w:ascii="宋体" w:hAnsi="宋体" w:eastAsia="宋体"/>
          <w:color w:val="000000" w:themeColor="text1"/>
          <w:sz w:val="24"/>
          <w:szCs w:val="24"/>
          <w14:textFill>
            <w14:solidFill>
              <w14:schemeClr w14:val="tx1"/>
            </w14:solidFill>
          </w14:textFill>
        </w:rPr>
        <w:t>具体开始时间</w:t>
      </w:r>
      <w:r>
        <w:rPr>
          <w:rFonts w:ascii="宋体" w:hAnsi="宋体" w:eastAsia="宋体"/>
          <w:color w:val="000000" w:themeColor="text1"/>
          <w:sz w:val="24"/>
          <w:szCs w:val="24"/>
          <w14:textFill>
            <w14:solidFill>
              <w14:schemeClr w14:val="tx1"/>
            </w14:solidFill>
          </w14:textFill>
        </w:rPr>
        <w:t>以甲方通知为准</w:t>
      </w:r>
      <w:r>
        <w:rPr>
          <w:rFonts w:hint="eastAsia" w:ascii="宋体" w:hAnsi="宋体" w:eastAsia="宋体"/>
          <w:color w:val="000000" w:themeColor="text1"/>
          <w:sz w:val="24"/>
          <w:szCs w:val="24"/>
          <w14:textFill>
            <w14:solidFill>
              <w14:schemeClr w14:val="tx1"/>
            </w14:solidFill>
          </w14:textFill>
        </w:rPr>
        <w:t>，</w:t>
      </w:r>
      <w:r>
        <w:rPr>
          <w:rFonts w:hint="eastAsia" w:hAnsi="宋体"/>
          <w:snapToGrid w:val="0"/>
          <w:sz w:val="24"/>
          <w:szCs w:val="24"/>
        </w:rPr>
        <w:t>作业开始时间甲方提前</w:t>
      </w:r>
      <w:r>
        <w:rPr>
          <w:rFonts w:hint="eastAsia" w:hAnsi="宋体"/>
          <w:snapToGrid w:val="0"/>
          <w:sz w:val="24"/>
          <w:szCs w:val="24"/>
          <w:lang w:eastAsia="zh-CN"/>
        </w:rPr>
        <w:t>两</w:t>
      </w:r>
      <w:r>
        <w:rPr>
          <w:rFonts w:hint="eastAsia" w:hAnsi="宋体"/>
          <w:snapToGrid w:val="0"/>
          <w:sz w:val="24"/>
          <w:szCs w:val="24"/>
        </w:rPr>
        <w:t>周通知</w:t>
      </w:r>
      <w:r>
        <w:rPr>
          <w:rFonts w:hint="eastAsia" w:ascii="宋体" w:hAnsi="宋体" w:eastAsia="宋体"/>
          <w:color w:val="000000" w:themeColor="text1"/>
          <w:sz w:val="24"/>
          <w:szCs w:val="24"/>
          <w14:textFill>
            <w14:solidFill>
              <w14:schemeClr w14:val="tx1"/>
            </w14:solidFill>
          </w14:textFill>
        </w:rPr>
        <w:t>。</w:t>
      </w:r>
    </w:p>
    <w:p>
      <w:pPr>
        <w:pStyle w:val="35"/>
        <w:spacing w:line="360" w:lineRule="auto"/>
        <w:ind w:left="482" w:hanging="482"/>
        <w:rPr>
          <w:rFonts w:asciiTheme="majorEastAsia" w:hAnsiTheme="majorEastAsia" w:eastAsiaTheme="majorEastAsia"/>
          <w:b/>
          <w:sz w:val="24"/>
        </w:rPr>
      </w:pPr>
      <w:r>
        <w:rPr>
          <w:rFonts w:hint="eastAsia" w:asciiTheme="majorEastAsia" w:hAnsiTheme="majorEastAsia" w:eastAsiaTheme="majorEastAsia"/>
          <w:b/>
          <w:sz w:val="24"/>
        </w:rPr>
        <w:t>五、合同价款</w:t>
      </w:r>
    </w:p>
    <w:p>
      <w:pPr>
        <w:pStyle w:val="35"/>
        <w:spacing w:line="360" w:lineRule="auto"/>
        <w:ind w:left="540" w:hanging="540" w:hangingChars="225"/>
        <w:rPr>
          <w:rFonts w:hint="eastAsia" w:asciiTheme="majorEastAsia" w:hAnsiTheme="majorEastAsia" w:eastAsiaTheme="majorEastAsia"/>
          <w:sz w:val="24"/>
        </w:rPr>
      </w:pPr>
      <w:r>
        <w:rPr>
          <w:rFonts w:hint="eastAsia" w:asciiTheme="majorEastAsia" w:hAnsiTheme="majorEastAsia" w:eastAsiaTheme="majorEastAsia"/>
          <w:sz w:val="24"/>
        </w:rPr>
        <w:t xml:space="preserve">5.1 </w:t>
      </w:r>
      <w:r>
        <w:rPr>
          <w:rFonts w:hint="eastAsia" w:asciiTheme="majorEastAsia" w:hAnsiTheme="majorEastAsia" w:eastAsiaTheme="majorEastAsia"/>
          <w:color w:val="3C3C3C"/>
          <w:sz w:val="24"/>
          <w:szCs w:val="24"/>
          <w:lang w:eastAsia="zh-CN"/>
        </w:rPr>
        <w:t>本合同采用固定</w:t>
      </w:r>
      <w:r>
        <w:rPr>
          <w:rFonts w:hint="eastAsia" w:asciiTheme="majorEastAsia" w:hAnsiTheme="majorEastAsia" w:eastAsiaTheme="majorEastAsia"/>
          <w:color w:val="3C3C3C"/>
          <w:sz w:val="24"/>
          <w:szCs w:val="24"/>
          <w:lang w:val="en-US" w:eastAsia="zh-CN"/>
        </w:rPr>
        <w:t>包干</w:t>
      </w:r>
      <w:r>
        <w:rPr>
          <w:rFonts w:hint="eastAsia" w:asciiTheme="majorEastAsia" w:hAnsiTheme="majorEastAsia" w:eastAsiaTheme="majorEastAsia"/>
          <w:color w:val="3C3C3C"/>
          <w:sz w:val="24"/>
          <w:szCs w:val="24"/>
          <w:lang w:eastAsia="zh-CN"/>
        </w:rPr>
        <w:t>总价的承包方式，总价为</w:t>
      </w:r>
      <w:r>
        <w:rPr>
          <w:rFonts w:hint="eastAsia" w:asciiTheme="majorEastAsia" w:hAnsiTheme="majorEastAsia" w:eastAsiaTheme="majorEastAsia"/>
          <w:color w:val="3C3C3C"/>
          <w:sz w:val="24"/>
          <w:szCs w:val="24"/>
          <w:lang w:val="en-US" w:eastAsia="zh-CN"/>
        </w:rPr>
        <w:t xml:space="preserve">  </w:t>
      </w:r>
      <w:r>
        <w:rPr>
          <w:rFonts w:hint="eastAsia" w:asciiTheme="majorEastAsia" w:hAnsiTheme="majorEastAsia" w:eastAsiaTheme="majorEastAsia"/>
          <w:color w:val="3C3C3C"/>
          <w:sz w:val="24"/>
          <w:szCs w:val="24"/>
          <w:lang w:eastAsia="zh-CN"/>
        </w:rPr>
        <w:t>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r>
        <w:rPr>
          <w:rFonts w:hint="eastAsia"/>
          <w:b/>
          <w:bCs/>
          <w:sz w:val="24"/>
          <w:szCs w:val="24"/>
          <w:lang w:eastAsia="zh-CN"/>
        </w:rPr>
        <w:t>。</w:t>
      </w:r>
      <w:r>
        <w:rPr>
          <w:rFonts w:hint="eastAsia" w:asciiTheme="majorEastAsia" w:hAnsiTheme="majorEastAsia" w:eastAsiaTheme="majorEastAsia"/>
          <w:color w:val="3C3C3C"/>
          <w:sz w:val="24"/>
          <w:szCs w:val="24"/>
          <w:lang w:eastAsia="zh-CN"/>
        </w:rPr>
        <w:t>（含税价税率</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u w:val="single"/>
          <w:lang w:val="en-US"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，具体见附件</w:t>
      </w:r>
      <w:r>
        <w:rPr>
          <w:rFonts w:hint="eastAsia" w:asciiTheme="majorEastAsia" w:hAnsiTheme="majorEastAsia" w:eastAsiaTheme="majorEastAsia"/>
          <w:color w:val="3C3C3C"/>
          <w:sz w:val="24"/>
          <w:szCs w:val="24"/>
          <w:lang w:val="en-US" w:eastAsia="zh-CN"/>
        </w:rPr>
        <w:t>3、《</w:t>
      </w:r>
      <w:r>
        <w:rPr>
          <w:rFonts w:hint="eastAsia" w:asciiTheme="majorEastAsia" w:hAnsiTheme="majorEastAsia" w:eastAsiaTheme="majorEastAsia"/>
          <w:color w:val="3C3C3C"/>
          <w:sz w:val="24"/>
          <w:szCs w:val="24"/>
          <w:lang w:eastAsia="zh-CN"/>
        </w:rPr>
        <w:t>价格清单》）。</w:t>
      </w:r>
      <w:r>
        <w:rPr>
          <w:rFonts w:hint="eastAsia" w:asciiTheme="majorEastAsia" w:hAnsiTheme="majorEastAsia" w:eastAsiaTheme="majorEastAsia"/>
          <w:sz w:val="24"/>
        </w:rPr>
        <w:t>在合同履行期限内</w:t>
      </w:r>
      <w:r>
        <w:rPr>
          <w:rFonts w:hint="eastAsia" w:asciiTheme="majorEastAsia" w:hAnsiTheme="majorEastAsia" w:eastAsiaTheme="majorEastAsia"/>
          <w:sz w:val="24"/>
          <w:lang w:val="en-US" w:eastAsia="zh-CN"/>
        </w:rPr>
        <w:t>价格</w:t>
      </w:r>
      <w:r>
        <w:rPr>
          <w:rFonts w:hint="eastAsia" w:asciiTheme="majorEastAsia" w:hAnsiTheme="majorEastAsia" w:eastAsiaTheme="majorEastAsia"/>
          <w:sz w:val="24"/>
        </w:rPr>
        <w:t>不变，除因国家政策税率调整之外，不因任何因素作任何调整。</w:t>
      </w:r>
    </w:p>
    <w:p>
      <w:pPr>
        <w:pStyle w:val="35"/>
        <w:spacing w:line="360" w:lineRule="auto"/>
        <w:ind w:left="540" w:hanging="540" w:hangingChars="225"/>
        <w:rPr>
          <w:rFonts w:cs="宋体" w:asciiTheme="majorEastAsia" w:hAnsiTheme="majorEastAsia" w:eastAsiaTheme="majorEastAsia"/>
          <w:sz w:val="24"/>
        </w:rPr>
      </w:pPr>
      <w:r>
        <w:rPr>
          <w:rFonts w:hint="eastAsia" w:cs="宋体" w:asciiTheme="majorEastAsia" w:hAnsiTheme="majorEastAsia" w:eastAsiaTheme="majorEastAsia"/>
          <w:sz w:val="24"/>
        </w:rPr>
        <w:t>5.2 合同价款包含但不限于以下风险：</w:t>
      </w:r>
    </w:p>
    <w:p>
      <w:pPr>
        <w:pStyle w:val="35"/>
        <w:spacing w:line="360" w:lineRule="auto"/>
        <w:ind w:left="199" w:hanging="199" w:hangingChars="83"/>
        <w:rPr>
          <w:rFonts w:cs="宋体" w:asciiTheme="majorEastAsia" w:hAnsiTheme="majorEastAsia" w:eastAsiaTheme="majorEastAsia"/>
          <w:sz w:val="24"/>
        </w:rPr>
      </w:pPr>
      <w:r>
        <w:rPr>
          <w:rFonts w:hint="eastAsia" w:cs="宋体" w:asciiTheme="majorEastAsia" w:hAnsiTheme="majorEastAsia" w:eastAsiaTheme="majorEastAsia"/>
          <w:sz w:val="24"/>
        </w:rPr>
        <w:t>5.</w:t>
      </w: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.1 人工费、材料费等市场价格异常波动的风险；</w:t>
      </w:r>
    </w:p>
    <w:p>
      <w:pPr>
        <w:pStyle w:val="35"/>
        <w:spacing w:line="360" w:lineRule="auto"/>
        <w:ind w:left="199" w:hanging="199" w:hangingChars="83"/>
        <w:rPr>
          <w:rFonts w:cs="宋体" w:asciiTheme="majorEastAsia" w:hAnsiTheme="majorEastAsia" w:eastAsiaTheme="majorEastAsia"/>
          <w:sz w:val="24"/>
        </w:rPr>
      </w:pPr>
      <w:r>
        <w:rPr>
          <w:rFonts w:hint="eastAsia" w:cs="宋体" w:asciiTheme="majorEastAsia" w:hAnsiTheme="majorEastAsia" w:eastAsiaTheme="majorEastAsia"/>
          <w:sz w:val="24"/>
        </w:rPr>
        <w:t>5.</w:t>
      </w: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.2</w:t>
      </w:r>
      <w:r>
        <w:rPr>
          <w:rFonts w:hint="eastAsia" w:cs="宋体" w:asciiTheme="majorEastAsia" w:hAnsiTheme="majorEastAsia" w:eastAsiaTheme="majorEastAsia"/>
          <w:color w:val="000000"/>
          <w:sz w:val="24"/>
        </w:rPr>
        <w:t>汇率/利率调整风险；</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color w:val="000000"/>
          <w:sz w:val="24"/>
        </w:rPr>
        <w:t>5.</w:t>
      </w: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.3施工区域气候条件及其变化造成影响的风险。</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color w:val="000000"/>
          <w:sz w:val="24"/>
        </w:rPr>
        <w:t>5.</w:t>
      </w:r>
      <w:r>
        <w:rPr>
          <w:rFonts w:hint="eastAsia" w:cs="宋体" w:asciiTheme="majorEastAsia" w:hAnsiTheme="majorEastAsia" w:eastAsiaTheme="majorEastAsia"/>
          <w:color w:val="000000"/>
          <w:sz w:val="24"/>
          <w:lang w:val="en-US" w:eastAsia="zh-CN"/>
        </w:rPr>
        <w:t>3</w:t>
      </w:r>
      <w:r>
        <w:rPr>
          <w:rFonts w:hint="eastAsia" w:cs="宋体" w:asciiTheme="majorEastAsia" w:hAnsiTheme="majorEastAsia" w:eastAsiaTheme="majorEastAsia"/>
          <w:color w:val="000000"/>
          <w:sz w:val="24"/>
        </w:rPr>
        <w:t xml:space="preserve"> 凡涉及本合同工程的质量、作业量的确认均应由有</w:t>
      </w:r>
      <w:r>
        <w:rPr>
          <w:rFonts w:hint="eastAsia" w:cs="宋体" w:asciiTheme="majorEastAsia" w:hAnsiTheme="majorEastAsia" w:eastAsiaTheme="majorEastAsia"/>
          <w:color w:val="000000"/>
          <w:sz w:val="24"/>
          <w:lang w:eastAsia="zh-CN"/>
        </w:rPr>
        <w:t>甲方</w:t>
      </w:r>
      <w:r>
        <w:rPr>
          <w:rFonts w:hint="eastAsia" w:cs="宋体" w:asciiTheme="majorEastAsia" w:hAnsiTheme="majorEastAsia" w:eastAsiaTheme="majorEastAsia"/>
          <w:color w:val="000000"/>
          <w:sz w:val="24"/>
        </w:rPr>
        <w:t>明确授权的人员签证完成并加盖</w:t>
      </w:r>
      <w:r>
        <w:rPr>
          <w:rFonts w:hint="eastAsia" w:cs="宋体" w:asciiTheme="majorEastAsia" w:hAnsiTheme="majorEastAsia" w:eastAsiaTheme="majorEastAsia"/>
          <w:color w:val="000000"/>
          <w:sz w:val="24"/>
          <w:lang w:eastAsia="zh-CN"/>
        </w:rPr>
        <w:t>甲方</w:t>
      </w:r>
      <w:r>
        <w:rPr>
          <w:rFonts w:hint="eastAsia" w:cs="宋体" w:asciiTheme="majorEastAsia" w:hAnsiTheme="majorEastAsia" w:eastAsiaTheme="majorEastAsia"/>
          <w:color w:val="000000"/>
          <w:sz w:val="24"/>
        </w:rPr>
        <w:t>公章始得生效，否则对</w:t>
      </w:r>
      <w:r>
        <w:rPr>
          <w:rFonts w:hint="eastAsia" w:cs="宋体" w:asciiTheme="majorEastAsia" w:hAnsiTheme="majorEastAsia" w:eastAsiaTheme="majorEastAsia"/>
          <w:color w:val="000000"/>
          <w:sz w:val="24"/>
          <w:lang w:eastAsia="zh-CN"/>
        </w:rPr>
        <w:t>甲方</w:t>
      </w:r>
      <w:r>
        <w:rPr>
          <w:rFonts w:hint="eastAsia" w:cs="宋体" w:asciiTheme="majorEastAsia" w:hAnsiTheme="majorEastAsia" w:eastAsiaTheme="majorEastAsia"/>
          <w:color w:val="000000"/>
          <w:sz w:val="24"/>
        </w:rPr>
        <w:t>均无约束力。</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六、付款方式及条件</w:t>
      </w:r>
    </w:p>
    <w:p>
      <w:pPr>
        <w:spacing w:line="360" w:lineRule="auto"/>
        <w:ind w:firstLine="360" w:firstLineChars="150"/>
        <w:rPr>
          <w:rFonts w:hint="default"/>
          <w:spacing w:val="20"/>
          <w:sz w:val="24"/>
          <w:lang w:val="en-US" w:eastAsia="zh-CN"/>
        </w:rPr>
      </w:pPr>
      <w:r>
        <w:rPr>
          <w:rFonts w:hint="eastAsia"/>
          <w:sz w:val="24"/>
          <w:lang w:eastAsia="zh-CN"/>
        </w:rPr>
        <w:t xml:space="preserve"> 项目完工并经甲方验收合格后15日内，乙方提交结算资料给供甲方审核，甲方审核完成后，乙方根据合同约定及甲方要求，开具全额增值税专用发票，甲方收到乙方发票后</w:t>
      </w:r>
      <w:r>
        <w:rPr>
          <w:sz w:val="24"/>
          <w:u w:val="single"/>
          <w:lang w:eastAsia="zh-CN"/>
        </w:rPr>
        <w:t xml:space="preserve"> </w:t>
      </w:r>
      <w:r>
        <w:rPr>
          <w:rFonts w:hint="eastAsia"/>
          <w:sz w:val="24"/>
          <w:u w:val="single"/>
          <w:lang w:eastAsia="zh-CN"/>
        </w:rPr>
        <w:t>30</w:t>
      </w:r>
      <w:r>
        <w:rPr>
          <w:rFonts w:hint="eastAsia"/>
          <w:sz w:val="24"/>
          <w:lang w:eastAsia="zh-CN"/>
        </w:rPr>
        <w:t>个工作日内向乙方支付该项目总结算价款</w:t>
      </w:r>
      <w:r>
        <w:rPr>
          <w:rFonts w:hint="eastAsia"/>
          <w:sz w:val="24"/>
          <w:u w:val="single"/>
          <w:lang w:eastAsia="zh-CN"/>
        </w:rPr>
        <w:t xml:space="preserve"> </w:t>
      </w:r>
      <w:r>
        <w:rPr>
          <w:rFonts w:hint="eastAsia"/>
          <w:sz w:val="24"/>
          <w:u w:val="single"/>
          <w:lang w:val="en-US" w:eastAsia="zh-CN"/>
        </w:rPr>
        <w:t>10</w:t>
      </w:r>
      <w:r>
        <w:rPr>
          <w:rFonts w:hint="eastAsia"/>
          <w:sz w:val="24"/>
          <w:u w:val="single"/>
          <w:lang w:eastAsia="zh-CN"/>
        </w:rPr>
        <w:t xml:space="preserve">0 </w:t>
      </w:r>
      <w:r>
        <w:rPr>
          <w:rFonts w:hint="eastAsia"/>
          <w:sz w:val="24"/>
          <w:lang w:eastAsia="zh-CN"/>
        </w:rPr>
        <w:t>%（</w:t>
      </w:r>
      <w:r>
        <w:rPr>
          <w:rFonts w:hint="eastAsia"/>
          <w:sz w:val="24"/>
          <w:lang w:val="en-US" w:eastAsia="zh-CN"/>
        </w:rPr>
        <w:t>即RMB元）。</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七、履约保证</w:t>
      </w:r>
    </w:p>
    <w:p>
      <w:pPr>
        <w:pStyle w:val="35"/>
        <w:spacing w:line="360" w:lineRule="auto"/>
        <w:ind w:left="480" w:hanging="480"/>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7.1 履约保证金</w:t>
      </w: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b w:val="0"/>
          <w:color w:val="000000"/>
          <w:sz w:val="24"/>
          <w:lang w:eastAsia="zh-CN"/>
        </w:rPr>
        <w:t>参选保证金</w:t>
      </w:r>
      <w:r>
        <w:rPr>
          <w:rFonts w:hint="eastAsia" w:cs="宋体" w:asciiTheme="majorEastAsia" w:hAnsiTheme="majorEastAsia" w:eastAsiaTheme="majorEastAsia"/>
          <w:b w:val="0"/>
          <w:color w:val="000000"/>
          <w:sz w:val="24"/>
        </w:rPr>
        <w:t>RMB</w:t>
      </w:r>
      <w:r>
        <w:rPr>
          <w:rFonts w:hint="eastAsia" w:cs="宋体" w:asciiTheme="majorEastAsia" w:hAnsiTheme="majorEastAsia" w:eastAsiaTheme="majorEastAsia"/>
          <w:b w:val="0"/>
          <w:color w:val="000000"/>
          <w:sz w:val="24"/>
          <w:lang w:val="en-US" w:eastAsia="zh-CN"/>
        </w:rPr>
        <w:t>1</w:t>
      </w:r>
      <w:r>
        <w:rPr>
          <w:rFonts w:hint="eastAsia" w:cs="宋体" w:asciiTheme="majorEastAsia" w:hAnsiTheme="majorEastAsia" w:eastAsiaTheme="majorEastAsia"/>
          <w:color w:val="000000"/>
          <w:sz w:val="24"/>
          <w:u w:val="none"/>
          <w:lang w:val="en-US" w:eastAsia="zh-CN"/>
        </w:rPr>
        <w:t>0000</w:t>
      </w:r>
      <w:r>
        <w:rPr>
          <w:rFonts w:hint="eastAsia" w:cs="宋体" w:asciiTheme="majorEastAsia" w:hAnsiTheme="majorEastAsia" w:eastAsiaTheme="majorEastAsia"/>
          <w:color w:val="000000"/>
          <w:sz w:val="24"/>
          <w:u w:val="none"/>
        </w:rPr>
        <w:t>.</w:t>
      </w:r>
      <w:r>
        <w:rPr>
          <w:rFonts w:hint="eastAsia" w:cs="宋体" w:asciiTheme="majorEastAsia" w:hAnsiTheme="majorEastAsia" w:eastAsiaTheme="majorEastAsia"/>
          <w:color w:val="000000"/>
          <w:sz w:val="24"/>
          <w:u w:val="none"/>
          <w:lang w:val="en-US" w:eastAsia="zh-CN"/>
        </w:rPr>
        <w:t>0</w:t>
      </w:r>
      <w:r>
        <w:rPr>
          <w:rFonts w:hint="eastAsia" w:cs="宋体" w:asciiTheme="majorEastAsia" w:hAnsiTheme="majorEastAsia" w:eastAsiaTheme="majorEastAsia"/>
          <w:color w:val="000000"/>
          <w:sz w:val="24"/>
          <w:u w:val="none"/>
        </w:rPr>
        <w:t>0</w:t>
      </w:r>
      <w:r>
        <w:rPr>
          <w:rFonts w:hint="eastAsia" w:cs="宋体" w:asciiTheme="majorEastAsia" w:hAnsiTheme="majorEastAsia" w:eastAsiaTheme="majorEastAsia"/>
          <w:b w:val="0"/>
          <w:color w:val="000000"/>
          <w:sz w:val="24"/>
        </w:rPr>
        <w:t>元，</w:t>
      </w:r>
      <w:r>
        <w:rPr>
          <w:rFonts w:hint="eastAsia" w:cs="宋体" w:asciiTheme="majorEastAsia" w:hAnsiTheme="majorEastAsia" w:eastAsiaTheme="majorEastAsia"/>
          <w:b w:val="0"/>
          <w:color w:val="000000"/>
          <w:sz w:val="24"/>
          <w:lang w:eastAsia="zh-CN"/>
        </w:rPr>
        <w:t>将直接转为履约保证金</w:t>
      </w:r>
      <w:r>
        <w:rPr>
          <w:rFonts w:hint="eastAsia" w:cs="宋体" w:asciiTheme="majorEastAsia" w:hAnsiTheme="majorEastAsia" w:eastAsiaTheme="majorEastAsia"/>
          <w:color w:val="000000"/>
          <w:sz w:val="24"/>
        </w:rPr>
        <w:t>。</w:t>
      </w:r>
    </w:p>
    <w:p>
      <w:pPr>
        <w:pStyle w:val="35"/>
        <w:spacing w:line="360" w:lineRule="auto"/>
        <w:ind w:left="0" w:firstLine="0" w:firstLineChars="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7.</w:t>
      </w: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 xml:space="preserve"> 履约保证金有效期至合同到期日后30</w:t>
      </w:r>
      <w:r>
        <w:rPr>
          <w:rFonts w:hint="eastAsia" w:cs="宋体" w:asciiTheme="majorEastAsia" w:hAnsiTheme="majorEastAsia" w:eastAsiaTheme="majorEastAsia"/>
          <w:color w:val="000000"/>
          <w:sz w:val="24"/>
          <w:lang w:val="en-US" w:eastAsia="zh-CN"/>
        </w:rPr>
        <w:t>日</w:t>
      </w:r>
      <w:r>
        <w:rPr>
          <w:rFonts w:hint="eastAsia" w:cs="宋体" w:asciiTheme="majorEastAsia" w:hAnsiTheme="majorEastAsia" w:eastAsiaTheme="majorEastAsia"/>
          <w:color w:val="000000"/>
          <w:sz w:val="24"/>
        </w:rPr>
        <w:t>止。有效期满后，甲方将履约保证金无息返还给乙方。</w:t>
      </w:r>
    </w:p>
    <w:p>
      <w:pPr>
        <w:pStyle w:val="35"/>
        <w:spacing w:line="360" w:lineRule="auto"/>
        <w:ind w:left="480" w:hanging="48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7.</w:t>
      </w:r>
      <w:r>
        <w:rPr>
          <w:rFonts w:hint="eastAsia" w:cs="宋体" w:asciiTheme="majorEastAsia" w:hAnsiTheme="majorEastAsia" w:eastAsiaTheme="majorEastAsia"/>
          <w:color w:val="000000"/>
          <w:sz w:val="24"/>
          <w:lang w:val="en-US" w:eastAsia="zh-CN"/>
        </w:rPr>
        <w:t>3</w:t>
      </w:r>
      <w:r>
        <w:rPr>
          <w:rFonts w:hint="eastAsia" w:cs="宋体" w:asciiTheme="majorEastAsia" w:hAnsiTheme="majorEastAsia" w:eastAsiaTheme="majorEastAsia"/>
          <w:color w:val="000000"/>
          <w:sz w:val="24"/>
        </w:rPr>
        <w:t xml:space="preserve"> 乙方不履行合同或不完全履行合同，或无法满足合同约定的工作质量、标准、工期、安全等内容，甲方有权从履约保证金中扣除乙方的相应违约赔偿金。</w:t>
      </w:r>
    </w:p>
    <w:p>
      <w:pPr>
        <w:pStyle w:val="35"/>
        <w:spacing w:line="360" w:lineRule="auto"/>
        <w:ind w:left="456" w:hanging="456" w:hangingChars="190"/>
        <w:rPr>
          <w:rFonts w:cs="宋体" w:asciiTheme="majorEastAsia" w:hAnsiTheme="majorEastAsia" w:eastAsiaTheme="majorEastAsia"/>
          <w:sz w:val="24"/>
        </w:rPr>
      </w:pPr>
      <w:r>
        <w:rPr>
          <w:rFonts w:hint="eastAsia" w:cs="宋体" w:asciiTheme="majorEastAsia" w:hAnsiTheme="majorEastAsia" w:eastAsiaTheme="majorEastAsia"/>
          <w:sz w:val="24"/>
        </w:rPr>
        <w:t>7.</w:t>
      </w: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 xml:space="preserve"> 乙方未能在约定的时间内提供符合要求的履约保证金的，视为乙方不履行合同，甲方有权解除本合同，乙方应向甲方支付合同中年度估算总价款20%的金额作为赔偿金。</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八、</w:t>
      </w:r>
      <w:r>
        <w:rPr>
          <w:rFonts w:hint="eastAsia" w:cs="宋体" w:asciiTheme="majorEastAsia" w:hAnsiTheme="majorEastAsia" w:eastAsiaTheme="majorEastAsia"/>
          <w:b/>
          <w:sz w:val="24"/>
          <w:lang w:eastAsia="zh-CN"/>
        </w:rPr>
        <w:t>甲方</w:t>
      </w:r>
      <w:r>
        <w:rPr>
          <w:rFonts w:hint="eastAsia" w:cs="宋体" w:asciiTheme="majorEastAsia" w:hAnsiTheme="majorEastAsia" w:eastAsiaTheme="majorEastAsia"/>
          <w:b/>
          <w:sz w:val="24"/>
        </w:rPr>
        <w:t>工作</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 xml:space="preserve">8.1 </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向</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提供发包说明、人员配置说明、作业规范、单价表、HSE承诺书及违反HSE罚款规定等资料，并进行现场技术交流和澄清工作。</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 xml:space="preserve">8.2 </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对</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的工作进行全面的监督、管理和协调。</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8.3 按照合同约定的付款方式及条件支付</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的劳务费。</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九、</w:t>
      </w:r>
      <w:r>
        <w:rPr>
          <w:rFonts w:hint="eastAsia" w:cs="宋体" w:asciiTheme="majorEastAsia" w:hAnsiTheme="majorEastAsia" w:eastAsiaTheme="majorEastAsia"/>
          <w:b/>
          <w:sz w:val="24"/>
          <w:lang w:eastAsia="zh-CN"/>
        </w:rPr>
        <w:t>乙方</w:t>
      </w:r>
      <w:r>
        <w:rPr>
          <w:rFonts w:hint="eastAsia" w:cs="宋体" w:asciiTheme="majorEastAsia" w:hAnsiTheme="majorEastAsia" w:eastAsiaTheme="majorEastAsia"/>
          <w:b/>
          <w:sz w:val="24"/>
        </w:rPr>
        <w:t>工作</w:t>
      </w:r>
    </w:p>
    <w:p>
      <w:pPr>
        <w:numPr>
          <w:ilvl w:val="-1"/>
          <w:numId w:val="0"/>
        </w:numPr>
        <w:spacing w:line="360" w:lineRule="auto"/>
        <w:ind w:left="-53" w:leftChars="-24" w:firstLine="480" w:firstLineChars="200"/>
        <w:rPr>
          <w:rStyle w:val="231"/>
          <w:sz w:val="24"/>
          <w:szCs w:val="24"/>
        </w:rPr>
      </w:pPr>
      <w:r>
        <w:rPr>
          <w:rStyle w:val="231"/>
          <w:rFonts w:hint="eastAsia"/>
          <w:sz w:val="24"/>
          <w:szCs w:val="24"/>
          <w:lang w:val="en-US" w:eastAsia="zh-CN"/>
        </w:rPr>
        <w:t>9.1</w:t>
      </w:r>
      <w:r>
        <w:rPr>
          <w:rStyle w:val="231"/>
          <w:sz w:val="24"/>
          <w:szCs w:val="24"/>
        </w:rPr>
        <w:t>清洗所用的清洗药剂由</w:t>
      </w:r>
      <w:r>
        <w:rPr>
          <w:rStyle w:val="231"/>
          <w:rFonts w:hint="eastAsia"/>
          <w:sz w:val="24"/>
          <w:szCs w:val="24"/>
          <w:lang w:eastAsia="zh-CN"/>
        </w:rPr>
        <w:t>乙方</w:t>
      </w:r>
      <w:r>
        <w:rPr>
          <w:rStyle w:val="231"/>
          <w:sz w:val="24"/>
          <w:szCs w:val="24"/>
        </w:rPr>
        <w:t>配制提供。</w:t>
      </w:r>
    </w:p>
    <w:p>
      <w:pPr>
        <w:numPr>
          <w:ilvl w:val="-1"/>
          <w:numId w:val="0"/>
        </w:numPr>
        <w:spacing w:line="360" w:lineRule="auto"/>
        <w:ind w:left="426" w:firstLine="0"/>
        <w:rPr>
          <w:rStyle w:val="231"/>
          <w:sz w:val="24"/>
          <w:szCs w:val="24"/>
        </w:rPr>
      </w:pPr>
      <w:r>
        <w:rPr>
          <w:rStyle w:val="231"/>
          <w:rFonts w:hint="eastAsia"/>
          <w:sz w:val="24"/>
          <w:szCs w:val="24"/>
          <w:lang w:val="en-US" w:eastAsia="zh-CN"/>
        </w:rPr>
        <w:t>9.2</w:t>
      </w:r>
      <w:r>
        <w:rPr>
          <w:rStyle w:val="231"/>
          <w:rFonts w:hint="eastAsia"/>
          <w:sz w:val="24"/>
          <w:szCs w:val="24"/>
          <w:lang w:eastAsia="zh-CN"/>
        </w:rPr>
        <w:t>乙方</w:t>
      </w:r>
      <w:r>
        <w:rPr>
          <w:rStyle w:val="231"/>
          <w:sz w:val="24"/>
          <w:szCs w:val="24"/>
        </w:rPr>
        <w:t>提供清洗场地、清洗药剂、清洗工具等并配合</w:t>
      </w:r>
      <w:r>
        <w:rPr>
          <w:rStyle w:val="231"/>
          <w:rFonts w:hint="eastAsia"/>
          <w:sz w:val="24"/>
          <w:szCs w:val="24"/>
          <w:lang w:val="en-US" w:eastAsia="zh-CN"/>
        </w:rPr>
        <w:t>甲方</w:t>
      </w:r>
      <w:r>
        <w:rPr>
          <w:rStyle w:val="231"/>
          <w:sz w:val="24"/>
          <w:szCs w:val="24"/>
        </w:rPr>
        <w:t>完成本次清洗工作。</w:t>
      </w:r>
    </w:p>
    <w:p>
      <w:pPr>
        <w:numPr>
          <w:ilvl w:val="-1"/>
          <w:numId w:val="0"/>
        </w:numPr>
        <w:spacing w:line="360" w:lineRule="auto"/>
        <w:ind w:left="426" w:firstLine="0"/>
        <w:rPr>
          <w:rStyle w:val="231"/>
          <w:sz w:val="24"/>
          <w:szCs w:val="24"/>
        </w:rPr>
      </w:pPr>
      <w:r>
        <w:rPr>
          <w:rStyle w:val="231"/>
          <w:rFonts w:hint="eastAsia"/>
          <w:sz w:val="24"/>
          <w:szCs w:val="24"/>
          <w:lang w:val="en-US" w:eastAsia="zh-CN"/>
        </w:rPr>
        <w:t>9.3</w:t>
      </w:r>
      <w:r>
        <w:rPr>
          <w:rStyle w:val="231"/>
          <w:sz w:val="24"/>
          <w:szCs w:val="24"/>
        </w:rPr>
        <w:t>清洗前用户通知</w:t>
      </w:r>
      <w:r>
        <w:rPr>
          <w:rStyle w:val="231"/>
          <w:rFonts w:hint="eastAsia"/>
          <w:sz w:val="24"/>
          <w:szCs w:val="24"/>
          <w:lang w:eastAsia="zh-CN"/>
        </w:rPr>
        <w:t>乙方</w:t>
      </w:r>
      <w:r>
        <w:rPr>
          <w:rStyle w:val="231"/>
          <w:sz w:val="24"/>
          <w:szCs w:val="24"/>
        </w:rPr>
        <w:t>，</w:t>
      </w:r>
      <w:r>
        <w:rPr>
          <w:rStyle w:val="231"/>
          <w:rFonts w:hint="eastAsia"/>
          <w:sz w:val="24"/>
          <w:szCs w:val="24"/>
          <w:lang w:eastAsia="zh-CN"/>
        </w:rPr>
        <w:t>乙方</w:t>
      </w:r>
      <w:r>
        <w:rPr>
          <w:rStyle w:val="231"/>
          <w:sz w:val="24"/>
          <w:szCs w:val="24"/>
        </w:rPr>
        <w:t>派专车到现场将纤维膜</w:t>
      </w:r>
      <w:r>
        <w:rPr>
          <w:rStyle w:val="231"/>
          <w:rFonts w:hint="eastAsia"/>
          <w:sz w:val="24"/>
          <w:szCs w:val="24"/>
        </w:rPr>
        <w:t>反应器</w:t>
      </w:r>
      <w:r>
        <w:rPr>
          <w:rStyle w:val="231"/>
          <w:sz w:val="24"/>
          <w:szCs w:val="24"/>
        </w:rPr>
        <w:t>运送至</w:t>
      </w:r>
      <w:r>
        <w:rPr>
          <w:rStyle w:val="231"/>
          <w:rFonts w:hint="eastAsia"/>
          <w:sz w:val="24"/>
          <w:szCs w:val="24"/>
          <w:lang w:eastAsia="zh-CN"/>
        </w:rPr>
        <w:t>乙方</w:t>
      </w:r>
      <w:r>
        <w:rPr>
          <w:rStyle w:val="231"/>
          <w:sz w:val="24"/>
          <w:szCs w:val="24"/>
        </w:rPr>
        <w:t>清洗现场</w:t>
      </w:r>
      <w:r>
        <w:rPr>
          <w:rStyle w:val="231"/>
          <w:rFonts w:hint="eastAsia"/>
          <w:sz w:val="24"/>
          <w:szCs w:val="24"/>
        </w:rPr>
        <w:t>，</w:t>
      </w:r>
      <w:r>
        <w:rPr>
          <w:rStyle w:val="231"/>
          <w:rFonts w:hint="eastAsia"/>
          <w:sz w:val="24"/>
          <w:szCs w:val="24"/>
          <w:lang w:eastAsia="zh-CN"/>
        </w:rPr>
        <w:t>乙方</w:t>
      </w:r>
      <w:r>
        <w:rPr>
          <w:rStyle w:val="231"/>
          <w:rFonts w:hint="eastAsia"/>
          <w:sz w:val="24"/>
          <w:szCs w:val="24"/>
        </w:rPr>
        <w:t>车辆信息提前两天报备至处</w:t>
      </w:r>
      <w:r>
        <w:rPr>
          <w:rStyle w:val="231"/>
          <w:sz w:val="24"/>
          <w:szCs w:val="24"/>
        </w:rPr>
        <w:t>。</w:t>
      </w:r>
    </w:p>
    <w:p>
      <w:pPr>
        <w:numPr>
          <w:ilvl w:val="-1"/>
          <w:numId w:val="0"/>
        </w:numPr>
        <w:spacing w:line="360" w:lineRule="auto"/>
        <w:ind w:left="426" w:firstLine="0"/>
        <w:rPr>
          <w:rStyle w:val="231"/>
          <w:sz w:val="24"/>
          <w:szCs w:val="24"/>
        </w:rPr>
      </w:pPr>
      <w:r>
        <w:rPr>
          <w:rStyle w:val="231"/>
          <w:rFonts w:hint="eastAsia"/>
          <w:sz w:val="24"/>
          <w:szCs w:val="24"/>
          <w:lang w:val="en-US" w:eastAsia="zh-CN"/>
        </w:rPr>
        <w:t>9.4</w:t>
      </w:r>
      <w:r>
        <w:rPr>
          <w:rStyle w:val="231"/>
          <w:rFonts w:hint="eastAsia"/>
          <w:sz w:val="24"/>
          <w:szCs w:val="24"/>
        </w:rPr>
        <w:t>清洗前，</w:t>
      </w:r>
      <w:r>
        <w:rPr>
          <w:rStyle w:val="231"/>
          <w:rFonts w:hint="eastAsia"/>
          <w:sz w:val="24"/>
          <w:szCs w:val="24"/>
          <w:lang w:val="en-US" w:eastAsia="zh-CN"/>
        </w:rPr>
        <w:t>甲方</w:t>
      </w:r>
      <w:r>
        <w:rPr>
          <w:rStyle w:val="231"/>
          <w:rFonts w:hint="eastAsia"/>
          <w:sz w:val="24"/>
          <w:szCs w:val="24"/>
        </w:rPr>
        <w:t>若需要对</w:t>
      </w:r>
      <w:r>
        <w:rPr>
          <w:rStyle w:val="231"/>
          <w:rFonts w:hint="eastAsia"/>
          <w:sz w:val="24"/>
          <w:szCs w:val="24"/>
          <w:lang w:eastAsia="zh-CN"/>
        </w:rPr>
        <w:t>乙方</w:t>
      </w:r>
      <w:r>
        <w:rPr>
          <w:rStyle w:val="231"/>
          <w:rFonts w:hint="eastAsia"/>
          <w:sz w:val="24"/>
          <w:szCs w:val="24"/>
        </w:rPr>
        <w:t>清洗过程进行考察确认，则</w:t>
      </w:r>
      <w:r>
        <w:rPr>
          <w:rStyle w:val="231"/>
          <w:rFonts w:hint="eastAsia"/>
          <w:sz w:val="24"/>
          <w:szCs w:val="24"/>
          <w:lang w:eastAsia="zh-CN"/>
        </w:rPr>
        <w:t>乙方</w:t>
      </w:r>
      <w:r>
        <w:rPr>
          <w:rStyle w:val="231"/>
          <w:rFonts w:hint="eastAsia"/>
          <w:sz w:val="24"/>
          <w:szCs w:val="24"/>
        </w:rPr>
        <w:t>在清洗前通知</w:t>
      </w:r>
      <w:r>
        <w:rPr>
          <w:rStyle w:val="231"/>
          <w:rFonts w:hint="eastAsia"/>
          <w:sz w:val="24"/>
          <w:szCs w:val="24"/>
          <w:lang w:val="en-US" w:eastAsia="zh-CN"/>
        </w:rPr>
        <w:t>甲方</w:t>
      </w:r>
      <w:r>
        <w:rPr>
          <w:rStyle w:val="231"/>
          <w:rFonts w:hint="eastAsia"/>
          <w:sz w:val="24"/>
          <w:szCs w:val="24"/>
        </w:rPr>
        <w:t>前来考察。</w:t>
      </w:r>
    </w:p>
    <w:p>
      <w:pPr>
        <w:numPr>
          <w:ilvl w:val="-1"/>
          <w:numId w:val="0"/>
        </w:numPr>
        <w:spacing w:line="360" w:lineRule="auto"/>
        <w:ind w:left="426" w:firstLine="0"/>
        <w:rPr>
          <w:rStyle w:val="231"/>
          <w:sz w:val="24"/>
          <w:szCs w:val="24"/>
        </w:rPr>
      </w:pPr>
      <w:r>
        <w:rPr>
          <w:rStyle w:val="231"/>
          <w:rFonts w:hint="eastAsia"/>
          <w:sz w:val="24"/>
          <w:szCs w:val="24"/>
          <w:lang w:val="en-US" w:eastAsia="zh-CN"/>
        </w:rPr>
        <w:t>9.5</w:t>
      </w:r>
      <w:r>
        <w:rPr>
          <w:rStyle w:val="231"/>
          <w:sz w:val="24"/>
          <w:szCs w:val="24"/>
        </w:rPr>
        <w:t>清洗完成后，</w:t>
      </w:r>
      <w:r>
        <w:rPr>
          <w:rStyle w:val="231"/>
          <w:rFonts w:hint="eastAsia"/>
          <w:sz w:val="24"/>
          <w:szCs w:val="24"/>
          <w:lang w:eastAsia="zh-CN"/>
        </w:rPr>
        <w:t>乙方</w:t>
      </w:r>
      <w:r>
        <w:rPr>
          <w:rStyle w:val="231"/>
          <w:sz w:val="24"/>
          <w:szCs w:val="24"/>
        </w:rPr>
        <w:t>派专车将纤维膜</w:t>
      </w:r>
      <w:r>
        <w:rPr>
          <w:rStyle w:val="231"/>
          <w:rFonts w:hint="eastAsia"/>
          <w:sz w:val="24"/>
          <w:szCs w:val="24"/>
        </w:rPr>
        <w:t>反应器</w:t>
      </w:r>
      <w:r>
        <w:rPr>
          <w:rStyle w:val="231"/>
          <w:sz w:val="24"/>
          <w:szCs w:val="24"/>
        </w:rPr>
        <w:t>运送至</w:t>
      </w:r>
      <w:r>
        <w:rPr>
          <w:rStyle w:val="231"/>
          <w:rFonts w:hint="eastAsia"/>
          <w:sz w:val="24"/>
          <w:szCs w:val="24"/>
          <w:lang w:val="en-US" w:eastAsia="zh-CN"/>
        </w:rPr>
        <w:t>甲方</w:t>
      </w:r>
      <w:r>
        <w:rPr>
          <w:rStyle w:val="231"/>
          <w:sz w:val="24"/>
          <w:szCs w:val="24"/>
        </w:rPr>
        <w:t>现场，并派专业技术人员现场指导安装、调试。</w:t>
      </w:r>
    </w:p>
    <w:p>
      <w:pPr>
        <w:numPr>
          <w:ilvl w:val="-1"/>
          <w:numId w:val="0"/>
        </w:numPr>
        <w:spacing w:line="360" w:lineRule="auto"/>
        <w:ind w:left="426" w:firstLine="0"/>
        <w:rPr>
          <w:rStyle w:val="231"/>
          <w:sz w:val="24"/>
          <w:szCs w:val="24"/>
        </w:rPr>
      </w:pPr>
      <w:r>
        <w:rPr>
          <w:rStyle w:val="231"/>
          <w:rFonts w:hint="eastAsia"/>
          <w:sz w:val="24"/>
          <w:szCs w:val="24"/>
          <w:lang w:val="en-US" w:eastAsia="zh-CN"/>
        </w:rPr>
        <w:t>9.6甲方</w:t>
      </w:r>
      <w:r>
        <w:rPr>
          <w:rStyle w:val="231"/>
          <w:rFonts w:hint="eastAsia"/>
          <w:sz w:val="24"/>
          <w:szCs w:val="24"/>
        </w:rPr>
        <w:t>负责厂内</w:t>
      </w:r>
      <w:r>
        <w:rPr>
          <w:rStyle w:val="231"/>
          <w:sz w:val="24"/>
          <w:szCs w:val="24"/>
        </w:rPr>
        <w:t>纤维膜</w:t>
      </w:r>
      <w:r>
        <w:rPr>
          <w:rStyle w:val="231"/>
          <w:rFonts w:hint="eastAsia"/>
          <w:sz w:val="24"/>
          <w:szCs w:val="24"/>
        </w:rPr>
        <w:t>反应器内拆卸、安装及装卸车，</w:t>
      </w:r>
      <w:r>
        <w:rPr>
          <w:rStyle w:val="231"/>
          <w:rFonts w:hint="eastAsia"/>
          <w:sz w:val="24"/>
          <w:szCs w:val="24"/>
          <w:lang w:val="en-US" w:eastAsia="zh-CN"/>
        </w:rPr>
        <w:t>乙方</w:t>
      </w:r>
      <w:r>
        <w:rPr>
          <w:rStyle w:val="231"/>
          <w:rFonts w:hint="eastAsia"/>
          <w:sz w:val="24"/>
          <w:szCs w:val="24"/>
        </w:rPr>
        <w:t>负责</w:t>
      </w:r>
      <w:r>
        <w:rPr>
          <w:rStyle w:val="231"/>
          <w:sz w:val="24"/>
          <w:szCs w:val="24"/>
        </w:rPr>
        <w:t>纤维膜</w:t>
      </w:r>
      <w:r>
        <w:rPr>
          <w:rStyle w:val="231"/>
          <w:rFonts w:hint="eastAsia"/>
          <w:sz w:val="24"/>
          <w:szCs w:val="24"/>
        </w:rPr>
        <w:t>反应器现场拆卸安装指导、调试和</w:t>
      </w:r>
      <w:r>
        <w:rPr>
          <w:rStyle w:val="231"/>
          <w:sz w:val="24"/>
          <w:szCs w:val="24"/>
        </w:rPr>
        <w:t>纤维膜</w:t>
      </w:r>
      <w:r>
        <w:rPr>
          <w:rStyle w:val="231"/>
          <w:rFonts w:hint="eastAsia"/>
          <w:sz w:val="24"/>
          <w:szCs w:val="24"/>
        </w:rPr>
        <w:t>反应器运输过程中、</w:t>
      </w:r>
      <w:r>
        <w:rPr>
          <w:rStyle w:val="231"/>
          <w:rFonts w:hint="eastAsia"/>
          <w:sz w:val="24"/>
          <w:szCs w:val="24"/>
          <w:lang w:val="en-US" w:eastAsia="zh-CN"/>
        </w:rPr>
        <w:t>乙方</w:t>
      </w:r>
      <w:r>
        <w:rPr>
          <w:rStyle w:val="231"/>
          <w:rFonts w:hint="eastAsia"/>
          <w:sz w:val="24"/>
          <w:szCs w:val="24"/>
        </w:rPr>
        <w:t>厂内的拆卸安装。</w:t>
      </w:r>
    </w:p>
    <w:p>
      <w:pPr>
        <w:numPr>
          <w:ilvl w:val="-1"/>
          <w:numId w:val="0"/>
        </w:numPr>
        <w:spacing w:line="360" w:lineRule="auto"/>
        <w:ind w:left="426" w:firstLine="0"/>
        <w:rPr>
          <w:rStyle w:val="231"/>
          <w:sz w:val="24"/>
          <w:szCs w:val="24"/>
        </w:rPr>
      </w:pPr>
      <w:r>
        <w:rPr>
          <w:rStyle w:val="231"/>
          <w:rFonts w:hint="eastAsia"/>
          <w:sz w:val="24"/>
          <w:szCs w:val="24"/>
          <w:lang w:val="en-US" w:eastAsia="zh-CN"/>
        </w:rPr>
        <w:t>9.7</w:t>
      </w:r>
      <w:r>
        <w:rPr>
          <w:rStyle w:val="231"/>
          <w:rFonts w:hint="eastAsia"/>
          <w:sz w:val="24"/>
          <w:szCs w:val="24"/>
          <w:lang w:eastAsia="zh-CN"/>
        </w:rPr>
        <w:t>乙方</w:t>
      </w:r>
      <w:r>
        <w:rPr>
          <w:rStyle w:val="231"/>
          <w:sz w:val="24"/>
          <w:szCs w:val="24"/>
        </w:rPr>
        <w:t>对本次清洗的售后服务、使用维护与技术咨询提供良好的保证，在接到</w:t>
      </w:r>
      <w:r>
        <w:rPr>
          <w:rStyle w:val="231"/>
          <w:rFonts w:hint="eastAsia"/>
          <w:sz w:val="24"/>
          <w:szCs w:val="24"/>
          <w:lang w:val="en-US" w:eastAsia="zh-CN"/>
        </w:rPr>
        <w:t>甲方</w:t>
      </w:r>
      <w:r>
        <w:rPr>
          <w:rStyle w:val="231"/>
          <w:sz w:val="24"/>
          <w:szCs w:val="24"/>
        </w:rPr>
        <w:t>电话8小时内，对</w:t>
      </w:r>
      <w:r>
        <w:rPr>
          <w:rStyle w:val="231"/>
          <w:rFonts w:hint="eastAsia"/>
          <w:sz w:val="24"/>
          <w:szCs w:val="24"/>
          <w:lang w:val="en-US" w:eastAsia="zh-CN"/>
        </w:rPr>
        <w:t>甲方</w:t>
      </w:r>
      <w:r>
        <w:rPr>
          <w:rStyle w:val="231"/>
          <w:sz w:val="24"/>
          <w:szCs w:val="24"/>
        </w:rPr>
        <w:t>提出的问题给予答复，直到解决问题。必要时应派技术人员在48小时内到用户现场解决。</w:t>
      </w:r>
    </w:p>
    <w:p>
      <w:pPr>
        <w:pStyle w:val="91"/>
        <w:numPr>
          <w:ilvl w:val="0"/>
          <w:numId w:val="0"/>
        </w:numPr>
        <w:spacing w:line="200" w:lineRule="exact"/>
        <w:rPr>
          <w:rFonts w:hint="eastAsia" w:ascii="宋体" w:hAnsi="宋体" w:eastAsia="宋体" w:cs="宋体"/>
          <w:b/>
          <w:sz w:val="24"/>
          <w:szCs w:val="24"/>
        </w:rPr>
      </w:pPr>
      <w:r>
        <w:rPr>
          <w:rFonts w:hint="eastAsia" w:ascii="宋体" w:hAnsi="宋体" w:eastAsia="宋体" w:cs="宋体"/>
          <w:b/>
          <w:sz w:val="24"/>
          <w:szCs w:val="24"/>
        </w:rPr>
        <w:t>十、验收标准：</w:t>
      </w:r>
    </w:p>
    <w:p>
      <w:pPr>
        <w:spacing w:line="400" w:lineRule="exact"/>
        <w:ind w:left="-53" w:leftChars="-24" w:firstLine="600" w:firstLineChars="250"/>
        <w:rPr>
          <w:sz w:val="24"/>
          <w:szCs w:val="24"/>
        </w:rPr>
      </w:pPr>
      <w:r>
        <w:rPr>
          <w:rFonts w:hint="eastAsia"/>
          <w:sz w:val="24"/>
          <w:szCs w:val="24"/>
        </w:rPr>
        <w:t>a、到厂验收</w:t>
      </w:r>
    </w:p>
    <w:p>
      <w:pPr>
        <w:pStyle w:val="91"/>
        <w:numPr>
          <w:ilvl w:val="0"/>
          <w:numId w:val="2"/>
        </w:numPr>
        <w:spacing w:line="600" w:lineRule="exact"/>
        <w:ind w:firstLineChars="0"/>
        <w:rPr>
          <w:rStyle w:val="231"/>
          <w:sz w:val="24"/>
          <w:szCs w:val="24"/>
        </w:rPr>
      </w:pPr>
      <w:r>
        <w:rPr>
          <w:rStyle w:val="231"/>
          <w:sz w:val="24"/>
          <w:szCs w:val="24"/>
        </w:rPr>
        <w:t>清洗所用的药剂不得对纤维膜</w:t>
      </w:r>
      <w:r>
        <w:rPr>
          <w:rStyle w:val="231"/>
          <w:rFonts w:hint="eastAsia"/>
          <w:sz w:val="24"/>
          <w:szCs w:val="24"/>
        </w:rPr>
        <w:t>反应器</w:t>
      </w:r>
      <w:r>
        <w:rPr>
          <w:rStyle w:val="231"/>
          <w:sz w:val="24"/>
          <w:szCs w:val="24"/>
        </w:rPr>
        <w:t>及其他相关设备造成损坏。</w:t>
      </w:r>
    </w:p>
    <w:p>
      <w:pPr>
        <w:spacing w:line="600" w:lineRule="exact"/>
        <w:ind w:firstLine="480" w:firstLineChars="200"/>
        <w:rPr>
          <w:rStyle w:val="231"/>
          <w:sz w:val="24"/>
          <w:szCs w:val="24"/>
        </w:rPr>
      </w:pPr>
      <w:r>
        <w:rPr>
          <w:rStyle w:val="231"/>
          <w:rFonts w:hint="eastAsia"/>
          <w:sz w:val="24"/>
          <w:szCs w:val="24"/>
        </w:rPr>
        <w:t>（2）</w:t>
      </w:r>
      <w:r>
        <w:rPr>
          <w:rStyle w:val="231"/>
          <w:sz w:val="24"/>
          <w:szCs w:val="24"/>
        </w:rPr>
        <w:t>采用乙方提供的清洗措施后，清洗的</w:t>
      </w:r>
      <w:r>
        <w:rPr>
          <w:rStyle w:val="231"/>
          <w:rFonts w:hint="eastAsia"/>
          <w:sz w:val="24"/>
          <w:szCs w:val="24"/>
        </w:rPr>
        <w:t>性能</w:t>
      </w:r>
      <w:r>
        <w:rPr>
          <w:rStyle w:val="231"/>
          <w:sz w:val="24"/>
          <w:szCs w:val="24"/>
        </w:rPr>
        <w:t>效果达</w:t>
      </w:r>
      <w:r>
        <w:rPr>
          <w:rStyle w:val="231"/>
          <w:rFonts w:ascii="Times New Roman" w:hAnsi="Times New Roman" w:cs="Times New Roman"/>
          <w:sz w:val="24"/>
          <w:szCs w:val="24"/>
        </w:rPr>
        <w:t>到见</w:t>
      </w:r>
      <w:r>
        <w:rPr>
          <w:rStyle w:val="231"/>
          <w:rFonts w:hint="eastAsia" w:ascii="Times New Roman" w:hAnsi="Times New Roman" w:cs="Times New Roman"/>
          <w:sz w:val="24"/>
          <w:szCs w:val="24"/>
          <w:lang w:eastAsia="zh-CN"/>
        </w:rPr>
        <w:t>附件一</w:t>
      </w:r>
      <w:r>
        <w:rPr>
          <w:rStyle w:val="231"/>
          <w:rFonts w:ascii="Times New Roman" w:hAnsi="Times New Roman" w:cs="Times New Roman"/>
          <w:sz w:val="24"/>
          <w:szCs w:val="24"/>
        </w:rPr>
        <w:t>、《13-R-401 402 403纤维膜反应器清洗及部分纤维丝更换发包说明》、</w:t>
      </w:r>
      <w:r>
        <w:rPr>
          <w:rStyle w:val="231"/>
          <w:rFonts w:hint="eastAsia" w:ascii="Times New Roman" w:hAnsi="Times New Roman" w:cs="Times New Roman"/>
          <w:sz w:val="24"/>
          <w:szCs w:val="24"/>
          <w:lang w:eastAsia="zh-CN"/>
        </w:rPr>
        <w:t>附件二</w:t>
      </w:r>
      <w:r>
        <w:rPr>
          <w:rStyle w:val="231"/>
          <w:rFonts w:ascii="Times New Roman" w:hAnsi="Times New Roman" w:cs="Times New Roman"/>
          <w:sz w:val="24"/>
          <w:szCs w:val="24"/>
        </w:rPr>
        <w:t>：《13-R-401 402 403纤维膜反应器清洗及部分纤维丝更换技术协议》。</w:t>
      </w:r>
      <w:r>
        <w:rPr>
          <w:rStyle w:val="231"/>
          <w:rFonts w:hint="eastAsia"/>
          <w:sz w:val="24"/>
          <w:szCs w:val="24"/>
        </w:rPr>
        <w:t>的验收标准</w:t>
      </w:r>
      <w:r>
        <w:rPr>
          <w:rStyle w:val="231"/>
          <w:sz w:val="24"/>
          <w:szCs w:val="24"/>
        </w:rPr>
        <w:t>。</w:t>
      </w:r>
    </w:p>
    <w:p>
      <w:pPr>
        <w:spacing w:line="400" w:lineRule="exact"/>
        <w:ind w:firstLine="600" w:firstLineChars="250"/>
        <w:rPr>
          <w:rStyle w:val="231"/>
          <w:sz w:val="24"/>
          <w:szCs w:val="24"/>
        </w:rPr>
      </w:pPr>
      <w:r>
        <w:rPr>
          <w:rStyle w:val="231"/>
          <w:rFonts w:hint="eastAsia"/>
          <w:sz w:val="24"/>
          <w:szCs w:val="24"/>
        </w:rPr>
        <w:t>（3）</w:t>
      </w:r>
      <w:r>
        <w:rPr>
          <w:rStyle w:val="231"/>
          <w:sz w:val="24"/>
          <w:szCs w:val="24"/>
        </w:rPr>
        <w:t>如果乙方提供的清洗服务后不能满足指标考核要求，则按商务合同有关条款进行赔偿。</w:t>
      </w:r>
    </w:p>
    <w:p>
      <w:pPr>
        <w:pStyle w:val="91"/>
        <w:numPr>
          <w:ilvl w:val="0"/>
          <w:numId w:val="3"/>
        </w:numPr>
        <w:spacing w:line="400" w:lineRule="exact"/>
        <w:ind w:firstLineChars="0"/>
        <w:rPr>
          <w:rStyle w:val="231"/>
          <w:sz w:val="24"/>
          <w:szCs w:val="24"/>
        </w:rPr>
      </w:pPr>
      <w:r>
        <w:rPr>
          <w:rStyle w:val="231"/>
          <w:rFonts w:hint="eastAsia"/>
          <w:sz w:val="24"/>
          <w:szCs w:val="24"/>
        </w:rPr>
        <w:t>清洗后纤维内芯重量需满足原设计要求，允许偏差在1±0.5%wt；</w:t>
      </w:r>
    </w:p>
    <w:p>
      <w:pPr>
        <w:pStyle w:val="91"/>
        <w:numPr>
          <w:ilvl w:val="0"/>
          <w:numId w:val="3"/>
        </w:numPr>
        <w:spacing w:line="400" w:lineRule="exact"/>
        <w:rPr>
          <w:rStyle w:val="231"/>
          <w:sz w:val="24"/>
          <w:szCs w:val="24"/>
        </w:rPr>
      </w:pPr>
      <w:r>
        <w:rPr>
          <w:rStyle w:val="231"/>
          <w:rFonts w:hint="eastAsia"/>
          <w:sz w:val="24"/>
          <w:szCs w:val="24"/>
        </w:rPr>
        <w:t>清洗后纤维内芯表面及纤维束内部通过目测观察除垢情况，若无残留垢（油垢、结晶污垢、铁锈污垢、FeSx污垢），则视觉清洁合格；</w:t>
      </w:r>
    </w:p>
    <w:p>
      <w:pPr>
        <w:spacing w:line="400" w:lineRule="exact"/>
        <w:ind w:firstLine="600" w:firstLineChars="250"/>
        <w:rPr>
          <w:rStyle w:val="231"/>
          <w:sz w:val="24"/>
          <w:szCs w:val="24"/>
        </w:rPr>
      </w:pPr>
      <w:r>
        <w:rPr>
          <w:rStyle w:val="231"/>
          <w:rFonts w:hint="eastAsia"/>
          <w:sz w:val="24"/>
          <w:szCs w:val="24"/>
        </w:rPr>
        <w:t>（6）清洗后纤维内芯重新装填，底部要求齐平、平整，允许高度偏差不超过±3cm。</w:t>
      </w:r>
    </w:p>
    <w:p>
      <w:pPr>
        <w:spacing w:line="400" w:lineRule="exact"/>
        <w:ind w:firstLine="600" w:firstLineChars="250"/>
        <w:rPr>
          <w:sz w:val="24"/>
          <w:szCs w:val="24"/>
        </w:rPr>
      </w:pPr>
      <w:r>
        <w:rPr>
          <w:rStyle w:val="231"/>
          <w:rFonts w:hint="eastAsia"/>
          <w:sz w:val="24"/>
          <w:szCs w:val="24"/>
        </w:rPr>
        <w:t>b、</w:t>
      </w:r>
      <w:r>
        <w:rPr>
          <w:rFonts w:hint="eastAsia"/>
          <w:sz w:val="24"/>
          <w:szCs w:val="24"/>
        </w:rPr>
        <w:t>性能验收</w:t>
      </w:r>
    </w:p>
    <w:p>
      <w:pPr>
        <w:spacing w:line="400" w:lineRule="exact"/>
        <w:ind w:firstLine="600" w:firstLineChars="250"/>
        <w:rPr>
          <w:rStyle w:val="231"/>
          <w:sz w:val="24"/>
          <w:szCs w:val="24"/>
        </w:rPr>
      </w:pPr>
      <w:r>
        <w:rPr>
          <w:rStyle w:val="231"/>
          <w:rFonts w:hint="eastAsia"/>
          <w:sz w:val="24"/>
          <w:szCs w:val="24"/>
        </w:rPr>
        <w:t>（1）在设计负荷下，要求</w:t>
      </w:r>
      <w:r>
        <w:rPr>
          <w:rStyle w:val="231"/>
          <w:sz w:val="24"/>
          <w:szCs w:val="24"/>
        </w:rPr>
        <w:t>清洗后保证</w:t>
      </w:r>
      <w:r>
        <w:rPr>
          <w:rStyle w:val="231"/>
          <w:rFonts w:hint="eastAsia"/>
          <w:sz w:val="24"/>
          <w:szCs w:val="24"/>
        </w:rPr>
        <w:t>单级</w:t>
      </w:r>
      <w:r>
        <w:rPr>
          <w:rStyle w:val="231"/>
          <w:sz w:val="24"/>
          <w:szCs w:val="24"/>
        </w:rPr>
        <w:t>纤维膜</w:t>
      </w:r>
      <w:r>
        <w:rPr>
          <w:rStyle w:val="231"/>
          <w:rFonts w:hint="eastAsia"/>
          <w:sz w:val="24"/>
          <w:szCs w:val="24"/>
        </w:rPr>
        <w:t>反应器</w:t>
      </w:r>
      <w:r>
        <w:rPr>
          <w:rStyle w:val="231"/>
          <w:sz w:val="24"/>
          <w:szCs w:val="24"/>
        </w:rPr>
        <w:t>一年内压降</w:t>
      </w:r>
      <w:r>
        <w:rPr>
          <w:rFonts w:hint="eastAsia" w:ascii="宋体" w:hAnsi="宋体" w:cs="宋体"/>
          <w:szCs w:val="21"/>
        </w:rPr>
        <w:t>≤</w:t>
      </w:r>
      <w:r>
        <w:rPr>
          <w:rStyle w:val="231"/>
          <w:sz w:val="24"/>
          <w:szCs w:val="24"/>
        </w:rPr>
        <w:t>0.05MPa</w:t>
      </w:r>
      <w:r>
        <w:rPr>
          <w:rStyle w:val="231"/>
          <w:rFonts w:hint="eastAsia"/>
          <w:sz w:val="24"/>
          <w:szCs w:val="24"/>
        </w:rPr>
        <w:t>；</w:t>
      </w:r>
    </w:p>
    <w:p>
      <w:pPr>
        <w:spacing w:line="400" w:lineRule="exact"/>
        <w:ind w:firstLine="600" w:firstLineChars="250"/>
        <w:rPr>
          <w:rStyle w:val="231"/>
          <w:sz w:val="24"/>
          <w:szCs w:val="24"/>
        </w:rPr>
      </w:pPr>
      <w:r>
        <w:rPr>
          <w:rStyle w:val="231"/>
          <w:rFonts w:hint="eastAsia"/>
          <w:sz w:val="24"/>
          <w:szCs w:val="24"/>
        </w:rPr>
        <w:t>（2）在设计负荷下，要求清洗后</w:t>
      </w:r>
      <w:r>
        <w:rPr>
          <w:rStyle w:val="231"/>
          <w:sz w:val="24"/>
          <w:szCs w:val="24"/>
        </w:rPr>
        <w:t>保证</w:t>
      </w:r>
      <w:r>
        <w:rPr>
          <w:rStyle w:val="231"/>
          <w:rFonts w:hint="eastAsia"/>
          <w:sz w:val="24"/>
          <w:szCs w:val="24"/>
        </w:rPr>
        <w:t>单级</w:t>
      </w:r>
      <w:r>
        <w:rPr>
          <w:rStyle w:val="231"/>
          <w:sz w:val="24"/>
          <w:szCs w:val="24"/>
        </w:rPr>
        <w:t>纤维膜</w:t>
      </w:r>
      <w:r>
        <w:rPr>
          <w:rStyle w:val="231"/>
          <w:rFonts w:hint="eastAsia"/>
          <w:sz w:val="24"/>
          <w:szCs w:val="24"/>
        </w:rPr>
        <w:t>反应器</w:t>
      </w:r>
      <w:r>
        <w:rPr>
          <w:rStyle w:val="231"/>
          <w:sz w:val="24"/>
          <w:szCs w:val="24"/>
        </w:rPr>
        <w:t>连续运行一个周期（4年）以上</w:t>
      </w:r>
      <w:r>
        <w:rPr>
          <w:rStyle w:val="231"/>
          <w:rFonts w:hint="eastAsia"/>
          <w:sz w:val="24"/>
          <w:szCs w:val="24"/>
        </w:rPr>
        <w:t>压降</w:t>
      </w:r>
      <w:r>
        <w:rPr>
          <w:rFonts w:hint="eastAsia" w:ascii="宋体" w:hAnsi="宋体" w:cs="宋体"/>
          <w:szCs w:val="21"/>
        </w:rPr>
        <w:t>≤</w:t>
      </w:r>
      <w:r>
        <w:rPr>
          <w:rStyle w:val="231"/>
          <w:sz w:val="24"/>
          <w:szCs w:val="24"/>
        </w:rPr>
        <w:t>0.1MPa；</w:t>
      </w:r>
    </w:p>
    <w:p>
      <w:pPr>
        <w:spacing w:line="400" w:lineRule="exact"/>
        <w:ind w:firstLine="600" w:firstLineChars="250"/>
        <w:rPr>
          <w:rStyle w:val="231"/>
          <w:sz w:val="24"/>
          <w:szCs w:val="24"/>
        </w:rPr>
      </w:pPr>
      <w:r>
        <w:rPr>
          <w:rStyle w:val="231"/>
          <w:rFonts w:hint="eastAsia"/>
          <w:sz w:val="24"/>
          <w:szCs w:val="24"/>
        </w:rPr>
        <w:t>（3）清洗后液化气产品指标满足下表要求；</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2618"/>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5000" w:type="pct"/>
            <w:gridSpan w:val="3"/>
            <w:tcBorders>
              <w:top w:val="nil"/>
              <w:left w:val="nil"/>
              <w:bottom w:val="single" w:color="auto" w:sz="4" w:space="0"/>
              <w:right w:val="nil"/>
            </w:tcBorders>
            <w:vAlign w:val="center"/>
          </w:tcPr>
          <w:p>
            <w:pPr>
              <w:adjustRightInd w:val="0"/>
              <w:snapToGrid w:val="0"/>
              <w:jc w:val="center"/>
              <w:rPr>
                <w:rStyle w:val="231"/>
                <w:sz w:val="24"/>
                <w:szCs w:val="24"/>
              </w:rPr>
            </w:pPr>
            <w:r>
              <w:rPr>
                <w:rStyle w:val="231"/>
                <w:sz w:val="24"/>
                <w:szCs w:val="24"/>
              </w:rPr>
              <w:t>表</w:t>
            </w:r>
            <w:r>
              <w:rPr>
                <w:rStyle w:val="231"/>
                <w:rFonts w:hint="eastAsia"/>
                <w:sz w:val="24"/>
                <w:szCs w:val="24"/>
              </w:rPr>
              <w:t>2</w:t>
            </w:r>
            <w:r>
              <w:rPr>
                <w:rStyle w:val="231"/>
                <w:sz w:val="24"/>
                <w:szCs w:val="24"/>
              </w:rPr>
              <w:t>. 产品质量技术指标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607" w:type="pct"/>
            <w:tcBorders>
              <w:top w:val="single" w:color="auto" w:sz="4" w:space="0"/>
            </w:tcBorders>
            <w:vAlign w:val="center"/>
          </w:tcPr>
          <w:p>
            <w:pPr>
              <w:adjustRightInd w:val="0"/>
              <w:snapToGrid w:val="0"/>
              <w:jc w:val="left"/>
              <w:rPr>
                <w:rStyle w:val="231"/>
                <w:sz w:val="24"/>
                <w:szCs w:val="24"/>
              </w:rPr>
            </w:pPr>
            <w:r>
              <w:rPr>
                <w:rStyle w:val="231"/>
                <w:sz w:val="24"/>
                <w:szCs w:val="24"/>
              </w:rPr>
              <w:t>项目</w:t>
            </w:r>
          </w:p>
        </w:tc>
        <w:tc>
          <w:tcPr>
            <w:tcW w:w="1493" w:type="pct"/>
            <w:tcBorders>
              <w:top w:val="single" w:color="auto" w:sz="4" w:space="0"/>
            </w:tcBorders>
            <w:vAlign w:val="center"/>
          </w:tcPr>
          <w:p>
            <w:pPr>
              <w:adjustRightInd w:val="0"/>
              <w:snapToGrid w:val="0"/>
              <w:jc w:val="left"/>
              <w:rPr>
                <w:rStyle w:val="231"/>
                <w:sz w:val="24"/>
                <w:szCs w:val="24"/>
              </w:rPr>
            </w:pPr>
            <w:r>
              <w:rPr>
                <w:rStyle w:val="231"/>
                <w:sz w:val="24"/>
                <w:szCs w:val="24"/>
              </w:rPr>
              <w:t>质量技术指标</w:t>
            </w:r>
          </w:p>
        </w:tc>
        <w:tc>
          <w:tcPr>
            <w:tcW w:w="1900" w:type="pct"/>
            <w:tcBorders>
              <w:top w:val="single" w:color="auto" w:sz="4" w:space="0"/>
            </w:tcBorders>
            <w:vAlign w:val="center"/>
          </w:tcPr>
          <w:p>
            <w:pPr>
              <w:adjustRightInd w:val="0"/>
              <w:snapToGrid w:val="0"/>
              <w:jc w:val="left"/>
              <w:rPr>
                <w:rStyle w:val="231"/>
                <w:sz w:val="24"/>
                <w:szCs w:val="24"/>
              </w:rPr>
            </w:pPr>
            <w:r>
              <w:rPr>
                <w:rStyle w:val="231"/>
                <w:rFonts w:hint="eastAsia"/>
                <w:sz w:val="24"/>
                <w:szCs w:val="24"/>
              </w:rPr>
              <w:t>分析</w:t>
            </w:r>
            <w:r>
              <w:rPr>
                <w:rStyle w:val="231"/>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07" w:type="pct"/>
            <w:vAlign w:val="center"/>
          </w:tcPr>
          <w:p>
            <w:pPr>
              <w:adjustRightInd w:val="0"/>
              <w:snapToGrid w:val="0"/>
              <w:jc w:val="left"/>
              <w:rPr>
                <w:rStyle w:val="231"/>
                <w:sz w:val="24"/>
                <w:szCs w:val="24"/>
              </w:rPr>
            </w:pPr>
            <w:r>
              <w:rPr>
                <w:rStyle w:val="231"/>
                <w:sz w:val="24"/>
                <w:szCs w:val="24"/>
              </w:rPr>
              <w:t>组成：C2及C2-，vol%</w:t>
            </w:r>
          </w:p>
        </w:tc>
        <w:tc>
          <w:tcPr>
            <w:tcW w:w="1493" w:type="pct"/>
            <w:tcBorders>
              <w:top w:val="single" w:color="auto" w:sz="4" w:space="0"/>
            </w:tcBorders>
            <w:vAlign w:val="center"/>
          </w:tcPr>
          <w:p>
            <w:pPr>
              <w:adjustRightInd w:val="0"/>
              <w:snapToGrid w:val="0"/>
              <w:jc w:val="center"/>
              <w:rPr>
                <w:rStyle w:val="231"/>
                <w:sz w:val="24"/>
                <w:szCs w:val="24"/>
              </w:rPr>
            </w:pPr>
            <w:r>
              <w:rPr>
                <w:rStyle w:val="231"/>
                <w:rFonts w:hint="eastAsia"/>
                <w:sz w:val="24"/>
                <w:szCs w:val="24"/>
              </w:rPr>
              <w:t>≤</w:t>
            </w:r>
            <w:r>
              <w:rPr>
                <w:rStyle w:val="231"/>
                <w:sz w:val="24"/>
                <w:szCs w:val="24"/>
              </w:rPr>
              <w:t>1</w:t>
            </w:r>
          </w:p>
        </w:tc>
        <w:tc>
          <w:tcPr>
            <w:tcW w:w="1900" w:type="pct"/>
            <w:tcBorders>
              <w:top w:val="single" w:color="auto" w:sz="4" w:space="0"/>
            </w:tcBorders>
            <w:vAlign w:val="center"/>
          </w:tcPr>
          <w:p>
            <w:pPr>
              <w:adjustRightInd w:val="0"/>
              <w:snapToGrid w:val="0"/>
              <w:jc w:val="left"/>
              <w:rPr>
                <w:rStyle w:val="231"/>
                <w:sz w:val="24"/>
                <w:szCs w:val="24"/>
              </w:rPr>
            </w:pPr>
            <w:r>
              <w:rPr>
                <w:rStyle w:val="23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07" w:type="pct"/>
            <w:vAlign w:val="center"/>
          </w:tcPr>
          <w:p>
            <w:pPr>
              <w:adjustRightInd w:val="0"/>
              <w:snapToGrid w:val="0"/>
              <w:jc w:val="left"/>
              <w:rPr>
                <w:rStyle w:val="231"/>
                <w:sz w:val="24"/>
                <w:szCs w:val="24"/>
              </w:rPr>
            </w:pPr>
            <w:r>
              <w:rPr>
                <w:rStyle w:val="231"/>
                <w:sz w:val="24"/>
                <w:szCs w:val="24"/>
              </w:rPr>
              <w:t>组成：C5及C5+，vol%</w:t>
            </w:r>
          </w:p>
        </w:tc>
        <w:tc>
          <w:tcPr>
            <w:tcW w:w="1493" w:type="pct"/>
            <w:tcBorders>
              <w:top w:val="single" w:color="auto" w:sz="4" w:space="0"/>
            </w:tcBorders>
            <w:vAlign w:val="center"/>
          </w:tcPr>
          <w:p>
            <w:pPr>
              <w:adjustRightInd w:val="0"/>
              <w:snapToGrid w:val="0"/>
              <w:jc w:val="center"/>
              <w:rPr>
                <w:rStyle w:val="231"/>
                <w:sz w:val="24"/>
                <w:szCs w:val="24"/>
              </w:rPr>
            </w:pPr>
            <w:r>
              <w:rPr>
                <w:rStyle w:val="231"/>
                <w:rFonts w:hint="eastAsia"/>
                <w:sz w:val="24"/>
                <w:szCs w:val="24"/>
              </w:rPr>
              <w:t>≤</w:t>
            </w:r>
            <w:r>
              <w:rPr>
                <w:rStyle w:val="231"/>
                <w:sz w:val="24"/>
                <w:szCs w:val="24"/>
              </w:rPr>
              <w:t>3</w:t>
            </w:r>
          </w:p>
        </w:tc>
        <w:tc>
          <w:tcPr>
            <w:tcW w:w="1900" w:type="pct"/>
            <w:tcBorders>
              <w:top w:val="single" w:color="auto" w:sz="4" w:space="0"/>
            </w:tcBorders>
            <w:vAlign w:val="center"/>
          </w:tcPr>
          <w:p>
            <w:pPr>
              <w:adjustRightInd w:val="0"/>
              <w:snapToGrid w:val="0"/>
              <w:jc w:val="left"/>
              <w:rPr>
                <w:rStyle w:val="231"/>
                <w:sz w:val="24"/>
                <w:szCs w:val="24"/>
              </w:rPr>
            </w:pPr>
            <w:r>
              <w:rPr>
                <w:rStyle w:val="23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07" w:type="pct"/>
            <w:vAlign w:val="center"/>
          </w:tcPr>
          <w:p>
            <w:pPr>
              <w:adjustRightInd w:val="0"/>
              <w:snapToGrid w:val="0"/>
              <w:jc w:val="left"/>
              <w:rPr>
                <w:rStyle w:val="231"/>
                <w:sz w:val="24"/>
                <w:szCs w:val="24"/>
              </w:rPr>
            </w:pPr>
            <w:r>
              <w:rPr>
                <w:rStyle w:val="231"/>
                <w:rFonts w:hint="eastAsia"/>
                <w:sz w:val="24"/>
                <w:szCs w:val="24"/>
              </w:rPr>
              <w:t>总硫，mg</w:t>
            </w:r>
            <w:r>
              <w:rPr>
                <w:rStyle w:val="231"/>
                <w:sz w:val="24"/>
                <w:szCs w:val="24"/>
              </w:rPr>
              <w:t>/Nm3</w:t>
            </w:r>
          </w:p>
        </w:tc>
        <w:tc>
          <w:tcPr>
            <w:tcW w:w="1493" w:type="pct"/>
            <w:tcBorders>
              <w:top w:val="single" w:color="auto" w:sz="4" w:space="0"/>
              <w:bottom w:val="single" w:color="auto" w:sz="4" w:space="0"/>
            </w:tcBorders>
            <w:vAlign w:val="center"/>
          </w:tcPr>
          <w:p>
            <w:pPr>
              <w:adjustRightInd w:val="0"/>
              <w:snapToGrid w:val="0"/>
              <w:jc w:val="center"/>
              <w:rPr>
                <w:rStyle w:val="231"/>
                <w:sz w:val="24"/>
                <w:szCs w:val="24"/>
              </w:rPr>
            </w:pPr>
            <w:r>
              <w:rPr>
                <w:rStyle w:val="231"/>
                <w:rFonts w:hint="eastAsia"/>
                <w:sz w:val="24"/>
                <w:szCs w:val="24"/>
              </w:rPr>
              <w:t>≤</w:t>
            </w:r>
            <w:r>
              <w:rPr>
                <w:rStyle w:val="231"/>
                <w:sz w:val="24"/>
                <w:szCs w:val="24"/>
              </w:rPr>
              <w:t>343</w:t>
            </w:r>
          </w:p>
        </w:tc>
        <w:tc>
          <w:tcPr>
            <w:tcW w:w="1900" w:type="pct"/>
            <w:tcBorders>
              <w:top w:val="single" w:color="auto" w:sz="4" w:space="0"/>
              <w:bottom w:val="single" w:color="auto" w:sz="4" w:space="0"/>
            </w:tcBorders>
            <w:vAlign w:val="center"/>
          </w:tcPr>
          <w:p>
            <w:pPr>
              <w:adjustRightInd w:val="0"/>
              <w:snapToGrid w:val="0"/>
              <w:jc w:val="left"/>
              <w:rPr>
                <w:rStyle w:val="231"/>
                <w:sz w:val="24"/>
                <w:szCs w:val="24"/>
              </w:rPr>
            </w:pPr>
            <w:r>
              <w:rPr>
                <w:rStyle w:val="23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07" w:type="pct"/>
            <w:vAlign w:val="center"/>
          </w:tcPr>
          <w:p>
            <w:pPr>
              <w:adjustRightInd w:val="0"/>
              <w:snapToGrid w:val="0"/>
              <w:jc w:val="left"/>
              <w:rPr>
                <w:rStyle w:val="231"/>
                <w:sz w:val="24"/>
                <w:szCs w:val="24"/>
              </w:rPr>
            </w:pPr>
            <w:r>
              <w:rPr>
                <w:rStyle w:val="231"/>
                <w:sz w:val="24"/>
                <w:szCs w:val="24"/>
              </w:rPr>
              <w:t>液化气</w:t>
            </w:r>
            <w:r>
              <w:rPr>
                <w:rStyle w:val="231"/>
                <w:rFonts w:hint="eastAsia"/>
                <w:sz w:val="24"/>
                <w:szCs w:val="24"/>
              </w:rPr>
              <w:t>铜片腐蚀，</w:t>
            </w:r>
          </w:p>
        </w:tc>
        <w:tc>
          <w:tcPr>
            <w:tcW w:w="1493" w:type="pct"/>
            <w:tcBorders>
              <w:top w:val="single" w:color="auto" w:sz="4" w:space="0"/>
              <w:bottom w:val="single" w:color="auto" w:sz="4" w:space="0"/>
            </w:tcBorders>
            <w:vAlign w:val="center"/>
          </w:tcPr>
          <w:p>
            <w:pPr>
              <w:adjustRightInd w:val="0"/>
              <w:snapToGrid w:val="0"/>
              <w:jc w:val="center"/>
              <w:rPr>
                <w:rStyle w:val="231"/>
                <w:sz w:val="24"/>
                <w:szCs w:val="24"/>
              </w:rPr>
            </w:pPr>
            <w:r>
              <w:rPr>
                <w:rStyle w:val="231"/>
                <w:rFonts w:hint="eastAsia"/>
                <w:sz w:val="24"/>
                <w:szCs w:val="24"/>
              </w:rPr>
              <w:t>≤</w:t>
            </w:r>
            <w:r>
              <w:rPr>
                <w:rStyle w:val="231"/>
                <w:sz w:val="24"/>
                <w:szCs w:val="24"/>
              </w:rPr>
              <w:t>1</w:t>
            </w:r>
            <w:r>
              <w:rPr>
                <w:rStyle w:val="231"/>
                <w:rFonts w:hint="eastAsia"/>
                <w:sz w:val="24"/>
                <w:szCs w:val="24"/>
              </w:rPr>
              <w:t>级</w:t>
            </w:r>
          </w:p>
        </w:tc>
        <w:tc>
          <w:tcPr>
            <w:tcW w:w="1900" w:type="pct"/>
            <w:tcBorders>
              <w:top w:val="single" w:color="auto" w:sz="4" w:space="0"/>
              <w:bottom w:val="single" w:color="auto" w:sz="4" w:space="0"/>
            </w:tcBorders>
            <w:vAlign w:val="center"/>
          </w:tcPr>
          <w:p>
            <w:pPr>
              <w:adjustRightInd w:val="0"/>
              <w:snapToGrid w:val="0"/>
              <w:jc w:val="left"/>
              <w:rPr>
                <w:rStyle w:val="231"/>
                <w:sz w:val="24"/>
                <w:szCs w:val="24"/>
              </w:rPr>
            </w:pPr>
            <w:r>
              <w:rPr>
                <w:rStyle w:val="23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pPr>
              <w:adjustRightInd w:val="0"/>
              <w:snapToGrid w:val="0"/>
              <w:jc w:val="left"/>
              <w:rPr>
                <w:rStyle w:val="231"/>
                <w:sz w:val="24"/>
                <w:szCs w:val="24"/>
              </w:rPr>
            </w:pPr>
            <w:r>
              <w:rPr>
                <w:rStyle w:val="231"/>
                <w:rFonts w:hint="eastAsia"/>
                <w:sz w:val="24"/>
                <w:szCs w:val="24"/>
              </w:rPr>
              <w:t>注：</w:t>
            </w:r>
          </w:p>
          <w:p>
            <w:pPr>
              <w:adjustRightInd w:val="0"/>
              <w:snapToGrid w:val="0"/>
              <w:jc w:val="left"/>
              <w:rPr>
                <w:rStyle w:val="231"/>
                <w:sz w:val="24"/>
                <w:szCs w:val="24"/>
              </w:rPr>
            </w:pPr>
            <w:r>
              <w:rPr>
                <w:rStyle w:val="231"/>
                <w:rFonts w:hint="eastAsia"/>
                <w:sz w:val="24"/>
                <w:szCs w:val="24"/>
              </w:rPr>
              <w:t>1.</w:t>
            </w:r>
            <w:r>
              <w:rPr>
                <w:rStyle w:val="231"/>
                <w:sz w:val="24"/>
                <w:szCs w:val="24"/>
              </w:rPr>
              <w:t xml:space="preserve"> 分析方法按照</w:t>
            </w:r>
            <w:r>
              <w:rPr>
                <w:rStyle w:val="231"/>
                <w:rFonts w:hint="eastAsia"/>
                <w:sz w:val="24"/>
                <w:szCs w:val="24"/>
              </w:rPr>
              <w:t>福建福海创石油化工有限公司相关规定</w:t>
            </w:r>
            <w:r>
              <w:rPr>
                <w:rStyle w:val="231"/>
                <w:sz w:val="24"/>
                <w:szCs w:val="24"/>
              </w:rPr>
              <w:t>执行。</w:t>
            </w:r>
          </w:p>
          <w:p>
            <w:pPr>
              <w:adjustRightInd w:val="0"/>
              <w:snapToGrid w:val="0"/>
              <w:jc w:val="left"/>
              <w:rPr>
                <w:szCs w:val="21"/>
              </w:rPr>
            </w:pPr>
          </w:p>
        </w:tc>
      </w:tr>
    </w:tbl>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十一、其他约定</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11.1 未经</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同意，</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不得随意更换项目经理、其他主要管理人员和组织架构，否则视为根本性违约，</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有权解除合同并追究违约责任。</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11.2未经</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许可，</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不得擅自分包或转包，也不得以挂靠方式由其他施工单位执行本合同。</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11.3</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应确保合法用工，应为其工作人员投法定工伤保险，所需费用由</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负责。如有发生意外、伤害等事情，概由</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负全部责任，与</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无关。</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11.4</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的办公场所、食宿、员工交通车等均自行解决。</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11.5履约过程中，</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应遵守政府的各项法令和规章，</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在作业过程中因违规被政府或行业主管单位罚款时，包括</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的连带罚款均应由</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承担。</w:t>
      </w:r>
    </w:p>
    <w:p>
      <w:pPr>
        <w:pStyle w:val="35"/>
        <w:ind w:left="600" w:hanging="600" w:hangingChars="250"/>
        <w:rPr>
          <w:rFonts w:hint="eastAsia" w:hAnsi="宋体" w:eastAsia="宋体"/>
          <w:snapToGrid w:val="0"/>
          <w:color w:val="auto"/>
          <w:sz w:val="24"/>
          <w:szCs w:val="24"/>
        </w:rPr>
      </w:pPr>
      <w:r>
        <w:rPr>
          <w:rFonts w:hint="eastAsia" w:cs="宋体" w:asciiTheme="majorEastAsia" w:hAnsiTheme="majorEastAsia" w:eastAsiaTheme="majorEastAsia"/>
          <w:sz w:val="24"/>
        </w:rPr>
        <w:t>11.6</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在作业过程中造成需要保护的地下管线、电缆及附近建（构）筑物损坏的，由</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自费负责修复。</w:t>
      </w:r>
    </w:p>
    <w:p>
      <w:pPr>
        <w:pStyle w:val="35"/>
        <w:spacing w:line="360" w:lineRule="auto"/>
        <w:ind w:left="600" w:hanging="600" w:hangingChars="250"/>
        <w:rPr>
          <w:rFonts w:hint="eastAsia" w:cs="宋体" w:asciiTheme="majorEastAsia" w:hAnsiTheme="majorEastAsia" w:eastAsiaTheme="majorEastAsia"/>
          <w:sz w:val="24"/>
        </w:rPr>
      </w:pPr>
      <w:r>
        <w:rPr>
          <w:rFonts w:hint="eastAsia" w:cs="宋体" w:asciiTheme="majorEastAsia" w:hAnsiTheme="majorEastAsia" w:eastAsiaTheme="majorEastAsia"/>
          <w:sz w:val="24"/>
        </w:rPr>
        <w:t>11.</w:t>
      </w:r>
      <w:r>
        <w:rPr>
          <w:rFonts w:hint="eastAsia" w:cs="宋体" w:asciiTheme="majorEastAsia" w:hAnsiTheme="majorEastAsia" w:eastAsiaTheme="majorEastAsia"/>
          <w:sz w:val="24"/>
          <w:lang w:val="en-US" w:eastAsia="zh-CN"/>
        </w:rPr>
        <w:t>7</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对</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直接或间接提供给</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或由</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基于合同进行服务而从</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获</w:t>
      </w:r>
    </w:p>
    <w:p>
      <w:pPr>
        <w:pStyle w:val="35"/>
        <w:spacing w:line="360" w:lineRule="auto"/>
        <w:ind w:left="600" w:hanging="600" w:hangingChars="250"/>
        <w:rPr>
          <w:rFonts w:hint="eastAsia" w:cs="宋体" w:asciiTheme="majorEastAsia" w:hAnsiTheme="majorEastAsia" w:eastAsiaTheme="majorEastAsia"/>
          <w:sz w:val="24"/>
        </w:rPr>
      </w:pPr>
      <w:r>
        <w:rPr>
          <w:rFonts w:hint="eastAsia" w:cs="宋体" w:asciiTheme="majorEastAsia" w:hAnsiTheme="majorEastAsia" w:eastAsiaTheme="majorEastAsia"/>
          <w:sz w:val="24"/>
        </w:rPr>
        <w:t>取的所有商议和技术信息资料等，均应作为保密资料。</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应对保密资料承担保</w:t>
      </w:r>
    </w:p>
    <w:p>
      <w:pPr>
        <w:pStyle w:val="35"/>
        <w:spacing w:line="360" w:lineRule="auto"/>
        <w:ind w:left="600" w:hanging="600" w:hangingChars="250"/>
        <w:rPr>
          <w:rFonts w:hint="eastAsia" w:cs="宋体" w:asciiTheme="majorEastAsia" w:hAnsiTheme="majorEastAsia" w:eastAsiaTheme="majorEastAsia"/>
          <w:sz w:val="24"/>
        </w:rPr>
      </w:pPr>
      <w:r>
        <w:rPr>
          <w:rFonts w:hint="eastAsia" w:cs="宋体" w:asciiTheme="majorEastAsia" w:hAnsiTheme="majorEastAsia" w:eastAsiaTheme="majorEastAsia"/>
          <w:sz w:val="24"/>
        </w:rPr>
        <w:t>密责任；未经</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事先书面批准，</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不得对外披露、使用于除履行本合同之外</w:t>
      </w:r>
    </w:p>
    <w:p>
      <w:pPr>
        <w:pStyle w:val="35"/>
        <w:spacing w:line="360" w:lineRule="auto"/>
        <w:ind w:left="600" w:hanging="600" w:hangingChars="250"/>
        <w:rPr>
          <w:rFonts w:hint="eastAsia" w:cs="宋体" w:asciiTheme="majorEastAsia" w:hAnsiTheme="majorEastAsia" w:eastAsiaTheme="majorEastAsia"/>
          <w:sz w:val="24"/>
        </w:rPr>
      </w:pPr>
      <w:r>
        <w:rPr>
          <w:rFonts w:hint="eastAsia" w:cs="宋体" w:asciiTheme="majorEastAsia" w:hAnsiTheme="majorEastAsia" w:eastAsiaTheme="majorEastAsia"/>
          <w:sz w:val="24"/>
        </w:rPr>
        <w:t>的目的。</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违反保密承诺的，</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有权要求</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支付违约金人民币5万元，并</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赔偿由此给</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造成的损失。</w:t>
      </w:r>
    </w:p>
    <w:p>
      <w:pPr>
        <w:pStyle w:val="35"/>
        <w:spacing w:line="360" w:lineRule="auto"/>
        <w:ind w:left="0" w:firstLine="0" w:firstLineChars="0"/>
        <w:rPr>
          <w:rFonts w:cs="宋体" w:asciiTheme="majorEastAsia" w:hAnsiTheme="majorEastAsia" w:eastAsiaTheme="majorEastAsia"/>
          <w:b/>
          <w:sz w:val="24"/>
        </w:rPr>
      </w:pPr>
      <w:r>
        <w:rPr>
          <w:rFonts w:hint="eastAsia" w:cs="宋体" w:asciiTheme="majorEastAsia" w:hAnsiTheme="majorEastAsia" w:eastAsiaTheme="majorEastAsia"/>
          <w:b/>
          <w:sz w:val="24"/>
        </w:rPr>
        <w:t>十二、违约责任</w:t>
      </w:r>
    </w:p>
    <w:p>
      <w:pPr>
        <w:pStyle w:val="35"/>
        <w:spacing w:line="500" w:lineRule="exact"/>
        <w:ind w:left="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12.1 履约过程中，乙方违反</w:t>
      </w:r>
      <w:r>
        <w:rPr>
          <w:rStyle w:val="231"/>
          <w:rFonts w:hint="eastAsia" w:ascii="Times New Roman" w:hAnsi="Times New Roman" w:cs="Times New Roman"/>
          <w:sz w:val="24"/>
          <w:szCs w:val="24"/>
          <w:lang w:eastAsia="zh-CN"/>
        </w:rPr>
        <w:t>附件一</w:t>
      </w:r>
      <w:r>
        <w:rPr>
          <w:rStyle w:val="231"/>
          <w:rFonts w:ascii="Times New Roman" w:hAnsi="Times New Roman" w:cs="Times New Roman"/>
          <w:sz w:val="24"/>
          <w:szCs w:val="24"/>
        </w:rPr>
        <w:t>、《13-R-401 402 403纤维膜反应器清洗及部分纤维丝更换发包说明》、</w:t>
      </w:r>
      <w:r>
        <w:rPr>
          <w:rStyle w:val="231"/>
          <w:rFonts w:hint="eastAsia" w:ascii="Times New Roman" w:hAnsi="Times New Roman" w:cs="Times New Roman"/>
          <w:sz w:val="24"/>
          <w:szCs w:val="24"/>
          <w:lang w:eastAsia="zh-CN"/>
        </w:rPr>
        <w:t>附件二</w:t>
      </w:r>
      <w:r>
        <w:rPr>
          <w:rStyle w:val="231"/>
          <w:rFonts w:ascii="Times New Roman" w:hAnsi="Times New Roman" w:cs="Times New Roman"/>
          <w:sz w:val="24"/>
          <w:szCs w:val="24"/>
        </w:rPr>
        <w:t>：《13-R-401 402 403纤维膜反应器清洗及部分纤维丝更换技术协议》</w:t>
      </w:r>
      <w:r>
        <w:rPr>
          <w:rFonts w:hint="eastAsia" w:cs="宋体" w:asciiTheme="majorEastAsia" w:hAnsiTheme="majorEastAsia" w:eastAsiaTheme="majorEastAsia"/>
          <w:sz w:val="24"/>
        </w:rPr>
        <w:t>规定的，甲方有权从结算款中扣除对乙方的罚款，如结算款不足以抵扣时，则从履约保证金中扣除。</w:t>
      </w:r>
      <w:r>
        <w:rPr>
          <w:rFonts w:hint="eastAsia" w:asciiTheme="majorEastAsia" w:hAnsiTheme="majorEastAsia" w:eastAsiaTheme="majorEastAsia"/>
          <w:sz w:val="24"/>
        </w:rPr>
        <w:t>附件1、《生产二团队制氢PSA 27-C-101ACEFGI吸附剂卸装外协劳务项目》</w:t>
      </w:r>
      <w:r>
        <w:rPr>
          <w:rFonts w:hint="eastAsia" w:cs="宋体" w:asciiTheme="majorEastAsia" w:hAnsiTheme="majorEastAsia" w:eastAsiaTheme="majorEastAsia"/>
          <w:sz w:val="24"/>
        </w:rPr>
        <w:t>与本合同十二条违约责任约定不一致的，按照对乙方较为严格的固定执行。</w:t>
      </w:r>
    </w:p>
    <w:p>
      <w:pPr>
        <w:pStyle w:val="35"/>
        <w:spacing w:line="360" w:lineRule="auto"/>
        <w:ind w:left="600" w:hanging="600" w:hangingChars="250"/>
        <w:rPr>
          <w:rFonts w:cs="宋体" w:asciiTheme="majorEastAsia" w:hAnsiTheme="majorEastAsia" w:eastAsiaTheme="majorEastAsia"/>
          <w:color w:val="FF0000"/>
          <w:sz w:val="24"/>
        </w:rPr>
      </w:pPr>
      <w:r>
        <w:rPr>
          <w:rFonts w:hint="eastAsia" w:cs="宋体" w:asciiTheme="majorEastAsia" w:hAnsiTheme="majorEastAsia" w:eastAsiaTheme="majorEastAsia"/>
          <w:sz w:val="24"/>
        </w:rPr>
        <w:t>12.2</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及其工作人员必须严格遵守</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的规章制度和安全操作规程，如因</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违规作业造成</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或第三方人身伤害或财产损失的，一切责任由</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负担。</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12.3 乙方出现人力不足或不能及时作业，影响甲方生产营运，每出现一次，乙方应向甲方支付违约金3000元；</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12.4 乙方未经甲方同意，擅自更换项目经理、其他主要管理人员或组织架构时：第一次，乙方应向甲方支付违约金5000元；第二次，甲方可解除合同。</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12.5有下列情形之一的，视为乙方根本性违约，</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可以解除合同，另行招商承揽。</w:t>
      </w:r>
    </w:p>
    <w:p>
      <w:pPr>
        <w:pStyle w:val="35"/>
        <w:spacing w:line="360" w:lineRule="auto"/>
        <w:ind w:left="840" w:hanging="840" w:hangingChars="350"/>
        <w:rPr>
          <w:rFonts w:cs="宋体" w:asciiTheme="majorEastAsia" w:hAnsiTheme="majorEastAsia" w:eastAsiaTheme="majorEastAsia"/>
          <w:sz w:val="24"/>
        </w:rPr>
      </w:pPr>
      <w:r>
        <w:rPr>
          <w:rFonts w:hint="eastAsia" w:cs="宋体" w:asciiTheme="majorEastAsia" w:hAnsiTheme="majorEastAsia" w:eastAsiaTheme="majorEastAsia"/>
          <w:sz w:val="24"/>
        </w:rPr>
        <w:t>12.5.1 乙方出现人力不足或不能及时作业，影响甲方生产营运，甲方提出改善通知达三次，但乙方未明显改善的。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12.5.2 乙方工作存在严重缺陷，不符合约定标准，经纠正后仍达不到标准的。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12.5.3 乙方无正当理由，自行停工、怠工且不服从甲方合理劝告或安排的。</w:t>
      </w:r>
    </w:p>
    <w:p>
      <w:pPr>
        <w:pStyle w:val="35"/>
        <w:spacing w:line="360" w:lineRule="auto"/>
        <w:ind w:left="840" w:hanging="840" w:hangingChars="350"/>
        <w:rPr>
          <w:rFonts w:cs="宋体" w:asciiTheme="majorEastAsia" w:hAnsiTheme="majorEastAsia" w:eastAsiaTheme="majorEastAsia"/>
          <w:sz w:val="24"/>
        </w:rPr>
      </w:pPr>
      <w:r>
        <w:rPr>
          <w:rFonts w:hint="eastAsia" w:cs="宋体" w:asciiTheme="majorEastAsia" w:hAnsiTheme="majorEastAsia" w:eastAsiaTheme="majorEastAsia"/>
          <w:sz w:val="24"/>
        </w:rPr>
        <w:t xml:space="preserve">12.5.4 乙方擅自分包、转包工程或者以挂靠方式由其他施工单位执行本合同的。 </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12.5.5 乙方发生安全事故不负责处理给甲方造成损失和不良影响的。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12.5.6 乙方拖欠民工工资的。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12.5.7 乙方无故违反其他约定事项的。</w:t>
      </w:r>
    </w:p>
    <w:p>
      <w:pPr>
        <w:pStyle w:val="35"/>
        <w:spacing w:line="360" w:lineRule="auto"/>
        <w:ind w:left="600" w:hanging="600" w:hangingChars="250"/>
        <w:rPr>
          <w:rFonts w:hint="eastAsia" w:cs="宋体" w:asciiTheme="majorEastAsia" w:hAnsiTheme="majorEastAsia" w:eastAsiaTheme="majorEastAsia"/>
          <w:sz w:val="24"/>
        </w:rPr>
      </w:pPr>
      <w:r>
        <w:rPr>
          <w:rFonts w:hint="eastAsia" w:cs="宋体" w:asciiTheme="majorEastAsia" w:hAnsiTheme="majorEastAsia" w:eastAsiaTheme="majorEastAsia"/>
          <w:sz w:val="24"/>
        </w:rPr>
        <w:t>12.6履约过程中，因乙方原因及法定原因等导致合同被甲方解除时，乙方必须按</w:t>
      </w:r>
    </w:p>
    <w:p>
      <w:pPr>
        <w:pStyle w:val="35"/>
        <w:spacing w:line="360" w:lineRule="auto"/>
        <w:ind w:left="600" w:hanging="600" w:hangingChars="250"/>
        <w:rPr>
          <w:rFonts w:hint="eastAsia" w:cs="宋体" w:asciiTheme="majorEastAsia" w:hAnsiTheme="majorEastAsia" w:eastAsiaTheme="majorEastAsia"/>
          <w:sz w:val="24"/>
        </w:rPr>
      </w:pPr>
      <w:r>
        <w:rPr>
          <w:rFonts w:hint="eastAsia" w:cs="宋体" w:asciiTheme="majorEastAsia" w:hAnsiTheme="majorEastAsia" w:eastAsiaTheme="majorEastAsia"/>
          <w:sz w:val="24"/>
        </w:rPr>
        <w:t>合同年度估算总价款的20%向甲方支付违约金。违约金不足以弥补损失的，乙方</w:t>
      </w:r>
    </w:p>
    <w:p>
      <w:pPr>
        <w:pStyle w:val="35"/>
        <w:spacing w:line="360" w:lineRule="auto"/>
        <w:ind w:left="600" w:hanging="600" w:hangingChars="250"/>
        <w:rPr>
          <w:rFonts w:hint="eastAsia" w:cs="宋体" w:asciiTheme="majorEastAsia" w:hAnsiTheme="majorEastAsia" w:eastAsiaTheme="majorEastAsia"/>
          <w:color w:val="000000"/>
          <w:sz w:val="24"/>
        </w:rPr>
      </w:pPr>
      <w:r>
        <w:rPr>
          <w:rFonts w:hint="eastAsia" w:cs="宋体" w:asciiTheme="majorEastAsia" w:hAnsiTheme="majorEastAsia" w:eastAsiaTheme="majorEastAsia"/>
          <w:sz w:val="24"/>
        </w:rPr>
        <w:t>还应另行赔偿损失。</w:t>
      </w:r>
      <w:r>
        <w:rPr>
          <w:rFonts w:hint="eastAsia" w:cs="宋体" w:asciiTheme="majorEastAsia" w:hAnsiTheme="majorEastAsia" w:eastAsiaTheme="majorEastAsia"/>
          <w:color w:val="000000"/>
          <w:sz w:val="24"/>
        </w:rPr>
        <w:t>甲方有权从履约保证金或任何应付而未付款项中直接扣减相</w:t>
      </w:r>
    </w:p>
    <w:p>
      <w:pPr>
        <w:pStyle w:val="35"/>
        <w:spacing w:line="360" w:lineRule="auto"/>
        <w:ind w:left="600" w:hanging="600" w:hangingChars="250"/>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应金额作为偿付款。当前述保证金或应付而未付款项不足以支付该偿付款时，乙</w:t>
      </w:r>
    </w:p>
    <w:p>
      <w:pPr>
        <w:pStyle w:val="35"/>
        <w:spacing w:line="360" w:lineRule="auto"/>
        <w:ind w:left="600" w:hanging="600" w:hangingChars="25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方应在收到甲方的赔偿要求后及时支付至应偿金额为止。</w:t>
      </w:r>
    </w:p>
    <w:p>
      <w:pPr>
        <w:pStyle w:val="35"/>
        <w:spacing w:line="360" w:lineRule="auto"/>
        <w:ind w:left="600" w:hanging="600" w:hangingChars="250"/>
        <w:rPr>
          <w:rFonts w:hint="eastAsia" w:cs="宋体" w:asciiTheme="majorEastAsia" w:hAnsiTheme="majorEastAsia" w:eastAsiaTheme="majorEastAsia"/>
          <w:sz w:val="24"/>
        </w:rPr>
      </w:pPr>
      <w:r>
        <w:rPr>
          <w:rFonts w:hint="eastAsia" w:cs="宋体" w:asciiTheme="majorEastAsia" w:hAnsiTheme="majorEastAsia" w:eastAsiaTheme="majorEastAsia"/>
          <w:sz w:val="24"/>
        </w:rPr>
        <w:t>12.7因乙方原因及法定原因等导致合同被甲方解除的，合同自乙方收到解除合同</w:t>
      </w:r>
    </w:p>
    <w:p>
      <w:pPr>
        <w:pStyle w:val="35"/>
        <w:spacing w:line="360" w:lineRule="auto"/>
        <w:ind w:left="600" w:hanging="600" w:hangingChars="250"/>
        <w:rPr>
          <w:rFonts w:hint="eastAsia" w:cs="宋体" w:asciiTheme="majorEastAsia" w:hAnsiTheme="majorEastAsia" w:eastAsiaTheme="majorEastAsia"/>
          <w:sz w:val="24"/>
        </w:rPr>
      </w:pPr>
      <w:r>
        <w:rPr>
          <w:rFonts w:hint="eastAsia" w:cs="宋体" w:asciiTheme="majorEastAsia" w:hAnsiTheme="majorEastAsia" w:eastAsiaTheme="majorEastAsia"/>
          <w:sz w:val="24"/>
        </w:rPr>
        <w:t>通知之日起解除。乙方对解除合同有异议的，应在异议有效期内向本合同约定的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人民法院提起诉讼，异议有效期为自接到解除通知之日起10个日历天。</w:t>
      </w:r>
    </w:p>
    <w:p>
      <w:pPr>
        <w:pStyle w:val="35"/>
        <w:spacing w:line="360" w:lineRule="auto"/>
        <w:ind w:left="600" w:hanging="600" w:hangingChars="250"/>
        <w:rPr>
          <w:rFonts w:hint="eastAsia" w:asciiTheme="majorEastAsia" w:hAnsiTheme="majorEastAsia" w:eastAsiaTheme="majorEastAsia"/>
          <w:sz w:val="24"/>
        </w:rPr>
      </w:pPr>
      <w:r>
        <w:rPr>
          <w:rFonts w:hint="eastAsia" w:cs="宋体" w:asciiTheme="majorEastAsia" w:hAnsiTheme="majorEastAsia" w:eastAsiaTheme="majorEastAsia"/>
          <w:sz w:val="24"/>
        </w:rPr>
        <w:t>12.8</w:t>
      </w:r>
      <w:r>
        <w:rPr>
          <w:rFonts w:hint="eastAsia" w:asciiTheme="majorEastAsia" w:hAnsiTheme="majorEastAsia" w:eastAsiaTheme="majorEastAsia"/>
          <w:sz w:val="24"/>
        </w:rPr>
        <w:t>如甲方逾期付款，应按全国银行间同业拆借中心公布的贷款市场报价利率向</w:t>
      </w:r>
    </w:p>
    <w:p>
      <w:pPr>
        <w:pStyle w:val="35"/>
        <w:spacing w:line="360" w:lineRule="auto"/>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乙方支付利息。</w:t>
      </w:r>
    </w:p>
    <w:p>
      <w:pPr>
        <w:pStyle w:val="35"/>
        <w:spacing w:line="360" w:lineRule="auto"/>
        <w:ind w:left="600" w:hanging="600" w:hangingChars="250"/>
        <w:rPr>
          <w:rFonts w:hint="eastAsia" w:asciiTheme="majorEastAsia" w:hAnsiTheme="majorEastAsia" w:eastAsiaTheme="majorEastAsia"/>
          <w:sz w:val="24"/>
        </w:rPr>
      </w:pPr>
      <w:r>
        <w:rPr>
          <w:rFonts w:hint="eastAsia" w:asciiTheme="majorEastAsia" w:hAnsiTheme="majorEastAsia" w:eastAsiaTheme="majorEastAsia"/>
          <w:sz w:val="24"/>
        </w:rPr>
        <w:t>12.9 甲方已就本合同项下涉及乙方重大利害关系的条款向乙方作出详细说明，乙</w:t>
      </w:r>
    </w:p>
    <w:p>
      <w:pPr>
        <w:pStyle w:val="35"/>
        <w:spacing w:line="360" w:lineRule="auto"/>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方充分理解上述条款含义，并自愿签订本合同。</w:t>
      </w:r>
    </w:p>
    <w:p>
      <w:pPr>
        <w:adjustRightInd/>
        <w:spacing w:line="360" w:lineRule="auto"/>
        <w:rPr>
          <w:rFonts w:ascii="宋体" w:hAnsi="宋体"/>
          <w:b/>
          <w:sz w:val="24"/>
          <w:szCs w:val="24"/>
        </w:rPr>
      </w:pPr>
      <w:r>
        <w:rPr>
          <w:rFonts w:hint="eastAsia" w:ascii="宋体" w:hAnsi="宋体" w:cs="宋体"/>
          <w:b/>
          <w:sz w:val="24"/>
          <w:szCs w:val="24"/>
        </w:rPr>
        <w:t>十三、</w:t>
      </w:r>
      <w:r>
        <w:rPr>
          <w:rFonts w:hint="eastAsia" w:ascii="宋体" w:hAnsi="宋体"/>
          <w:b/>
          <w:sz w:val="24"/>
          <w:szCs w:val="24"/>
        </w:rPr>
        <w:t>通知</w:t>
      </w:r>
    </w:p>
    <w:p>
      <w:pPr>
        <w:adjustRightInd/>
        <w:spacing w:line="400" w:lineRule="exact"/>
        <w:ind w:left="360" w:hanging="360" w:hangingChars="150"/>
        <w:rPr>
          <w:rFonts w:hint="eastAsia" w:ascii="宋体" w:hAnsi="宋体"/>
          <w:sz w:val="24"/>
          <w:szCs w:val="24"/>
        </w:rPr>
      </w:pPr>
      <w:r>
        <w:rPr>
          <w:rFonts w:hint="eastAsia" w:ascii="宋体" w:hAnsi="宋体"/>
          <w:sz w:val="24"/>
          <w:szCs w:val="24"/>
        </w:rPr>
        <w:t>13.1双方重要文件往来应当以书面形式（含电子邮件等）进行。如以特快专递方</w:t>
      </w:r>
    </w:p>
    <w:p>
      <w:pPr>
        <w:adjustRightInd/>
        <w:spacing w:line="400" w:lineRule="exact"/>
        <w:ind w:left="360" w:hanging="360" w:hangingChars="150"/>
        <w:rPr>
          <w:rFonts w:hint="eastAsia" w:ascii="宋体" w:hAnsi="宋体"/>
          <w:sz w:val="24"/>
          <w:szCs w:val="24"/>
        </w:rPr>
      </w:pPr>
      <w:r>
        <w:rPr>
          <w:rFonts w:hint="eastAsia" w:ascii="宋体" w:hAnsi="宋体"/>
          <w:sz w:val="24"/>
          <w:szCs w:val="24"/>
        </w:rPr>
        <w:t>式送达至本合同下列地址，则：双方地址在同一个地市级行政区域内的，自特快</w:t>
      </w:r>
    </w:p>
    <w:p>
      <w:pPr>
        <w:adjustRightInd/>
        <w:spacing w:line="400" w:lineRule="exact"/>
        <w:ind w:left="360" w:hanging="360" w:hangingChars="150"/>
        <w:rPr>
          <w:rFonts w:hint="eastAsia" w:ascii="宋体" w:hAnsi="宋体"/>
          <w:sz w:val="24"/>
          <w:szCs w:val="24"/>
        </w:rPr>
      </w:pPr>
      <w:r>
        <w:rPr>
          <w:rFonts w:hint="eastAsia" w:ascii="宋体" w:hAnsi="宋体"/>
          <w:sz w:val="24"/>
          <w:szCs w:val="24"/>
        </w:rPr>
        <w:t>专递寄出之日起算第</w:t>
      </w:r>
      <w:r>
        <w:rPr>
          <w:rFonts w:ascii="宋体" w:hAnsi="宋体"/>
          <w:sz w:val="24"/>
          <w:szCs w:val="24"/>
          <w:u w:val="single"/>
        </w:rPr>
        <w:t>3</w:t>
      </w:r>
      <w:r>
        <w:rPr>
          <w:rFonts w:hint="eastAsia" w:ascii="宋体" w:hAnsi="宋体"/>
          <w:sz w:val="24"/>
          <w:szCs w:val="24"/>
        </w:rPr>
        <w:t>日即视为已有效送达（有证据证明对方已经提前签收除</w:t>
      </w:r>
    </w:p>
    <w:p>
      <w:pPr>
        <w:adjustRightInd/>
        <w:spacing w:line="400" w:lineRule="exact"/>
        <w:ind w:left="360" w:hanging="360" w:hangingChars="150"/>
        <w:rPr>
          <w:rFonts w:hint="eastAsia" w:ascii="宋体" w:hAnsi="宋体"/>
          <w:sz w:val="24"/>
          <w:szCs w:val="24"/>
        </w:rPr>
      </w:pPr>
      <w:r>
        <w:rPr>
          <w:rFonts w:hint="eastAsia" w:ascii="宋体" w:hAnsi="宋体"/>
          <w:sz w:val="24"/>
          <w:szCs w:val="24"/>
        </w:rPr>
        <w:t>外）；双方地址不在同一个地市级行政区域内的，自特快专递寄出之日起算第</w:t>
      </w:r>
      <w:r>
        <w:rPr>
          <w:rFonts w:ascii="宋体" w:hAnsi="宋体"/>
          <w:sz w:val="24"/>
          <w:szCs w:val="24"/>
          <w:u w:val="single"/>
        </w:rPr>
        <w:t>6</w:t>
      </w:r>
      <w:r>
        <w:rPr>
          <w:rFonts w:hint="eastAsia" w:ascii="宋体" w:hAnsi="宋体"/>
          <w:sz w:val="24"/>
          <w:szCs w:val="24"/>
        </w:rPr>
        <w:t>日</w:t>
      </w:r>
    </w:p>
    <w:p>
      <w:pPr>
        <w:adjustRightInd/>
        <w:spacing w:line="400" w:lineRule="exact"/>
        <w:ind w:left="360" w:hanging="360" w:hangingChars="150"/>
        <w:rPr>
          <w:rFonts w:hint="eastAsia" w:ascii="宋体" w:hAnsi="宋体"/>
          <w:sz w:val="24"/>
          <w:szCs w:val="24"/>
        </w:rPr>
      </w:pPr>
      <w:r>
        <w:rPr>
          <w:rFonts w:hint="eastAsia" w:ascii="宋体" w:hAnsi="宋体"/>
          <w:sz w:val="24"/>
          <w:szCs w:val="24"/>
        </w:rPr>
        <w:t>即视为已有效送达（有证据证明对方已经提前签收除外）；双方应主动做好信函</w:t>
      </w:r>
    </w:p>
    <w:p>
      <w:pPr>
        <w:adjustRightInd/>
        <w:spacing w:line="400" w:lineRule="exact"/>
        <w:ind w:left="360" w:hanging="360" w:hangingChars="150"/>
        <w:rPr>
          <w:rFonts w:hint="eastAsia" w:ascii="宋体" w:hAnsi="宋体"/>
          <w:sz w:val="24"/>
          <w:szCs w:val="24"/>
        </w:rPr>
      </w:pPr>
      <w:r>
        <w:rPr>
          <w:rFonts w:hint="eastAsia" w:ascii="宋体" w:hAnsi="宋体"/>
          <w:sz w:val="24"/>
          <w:szCs w:val="24"/>
        </w:rPr>
        <w:t>接收工作，无论信函是否被拒收、无人签收、他人签收等，均不影响有效送达的</w:t>
      </w:r>
    </w:p>
    <w:p>
      <w:pPr>
        <w:adjustRightInd/>
        <w:spacing w:line="400" w:lineRule="exact"/>
        <w:ind w:left="360" w:hanging="360" w:hangingChars="150"/>
        <w:rPr>
          <w:rFonts w:hint="eastAsia" w:ascii="宋体" w:hAnsi="宋体"/>
          <w:sz w:val="24"/>
          <w:szCs w:val="24"/>
        </w:rPr>
      </w:pPr>
      <w:r>
        <w:rPr>
          <w:rFonts w:hint="eastAsia" w:ascii="宋体" w:hAnsi="宋体"/>
          <w:sz w:val="24"/>
          <w:szCs w:val="24"/>
        </w:rPr>
        <w:t>认定。如送达地址变更，变更方应第一时间通知另一方，否则，通知方按对方变</w:t>
      </w:r>
    </w:p>
    <w:p>
      <w:pPr>
        <w:adjustRightInd/>
        <w:spacing w:line="400" w:lineRule="exact"/>
        <w:ind w:left="360" w:hanging="360" w:hangingChars="150"/>
        <w:rPr>
          <w:rFonts w:ascii="宋体" w:hAnsi="宋体"/>
          <w:sz w:val="24"/>
          <w:szCs w:val="24"/>
        </w:rPr>
      </w:pPr>
      <w:r>
        <w:rPr>
          <w:rFonts w:hint="eastAsia" w:ascii="宋体" w:hAnsi="宋体"/>
          <w:sz w:val="24"/>
          <w:szCs w:val="24"/>
        </w:rPr>
        <w:t>更前地址寄出的，仍然视为有效送达，地址变更方对此无异议。</w:t>
      </w:r>
    </w:p>
    <w:p>
      <w:pPr>
        <w:adjustRightInd/>
        <w:spacing w:line="400" w:lineRule="exact"/>
        <w:rPr>
          <w:rFonts w:ascii="宋体" w:hAnsi="宋体"/>
          <w:sz w:val="24"/>
          <w:szCs w:val="24"/>
        </w:rPr>
      </w:pPr>
      <w:r>
        <w:rPr>
          <w:rFonts w:hint="eastAsia" w:ascii="宋体" w:hAnsi="宋体"/>
          <w:sz w:val="24"/>
          <w:szCs w:val="24"/>
        </w:rPr>
        <w:t>13.2乙方联系方式</w:t>
      </w:r>
    </w:p>
    <w:p>
      <w:pPr>
        <w:tabs>
          <w:tab w:val="left" w:pos="1320"/>
          <w:tab w:val="left" w:pos="1560"/>
        </w:tabs>
        <w:spacing w:line="400" w:lineRule="exact"/>
        <w:ind w:firstLine="480" w:firstLineChars="200"/>
        <w:rPr>
          <w:rFonts w:hint="eastAsia"/>
          <w:color w:val="000000"/>
          <w:sz w:val="24"/>
        </w:rPr>
      </w:pPr>
      <w:r>
        <w:rPr>
          <w:rFonts w:hint="eastAsia"/>
          <w:color w:val="000000"/>
          <w:sz w:val="24"/>
        </w:rPr>
        <w:t>地    址：</w:t>
      </w:r>
    </w:p>
    <w:p>
      <w:pPr>
        <w:tabs>
          <w:tab w:val="left" w:pos="1320"/>
          <w:tab w:val="left" w:pos="1560"/>
        </w:tabs>
        <w:spacing w:line="400" w:lineRule="exact"/>
        <w:ind w:firstLine="480" w:firstLineChars="200"/>
        <w:rPr>
          <w:u w:val="single"/>
        </w:rPr>
      </w:pPr>
      <w:r>
        <w:rPr>
          <w:rFonts w:hint="eastAsia"/>
          <w:color w:val="000000"/>
          <w:sz w:val="24"/>
        </w:rPr>
        <w:t>联 系 人：</w:t>
      </w:r>
    </w:p>
    <w:p>
      <w:pPr>
        <w:tabs>
          <w:tab w:val="left" w:pos="1320"/>
          <w:tab w:val="left" w:pos="1560"/>
        </w:tabs>
        <w:spacing w:line="400" w:lineRule="exact"/>
        <w:ind w:firstLine="480" w:firstLineChars="200"/>
        <w:rPr>
          <w:sz w:val="24"/>
        </w:rPr>
      </w:pPr>
      <w:r>
        <w:rPr>
          <w:rFonts w:hint="eastAsia"/>
          <w:sz w:val="24"/>
        </w:rPr>
        <w:t>联系电话：</w:t>
      </w:r>
    </w:p>
    <w:p>
      <w:pPr>
        <w:pStyle w:val="35"/>
        <w:spacing w:line="380" w:lineRule="exact"/>
        <w:ind w:left="0" w:firstLine="0" w:firstLineChars="0"/>
        <w:rPr>
          <w:rFonts w:cs="宋体" w:asciiTheme="majorEastAsia" w:hAnsiTheme="majorEastAsia" w:eastAsiaTheme="majorEastAsia"/>
          <w:b/>
          <w:sz w:val="24"/>
        </w:rPr>
      </w:pPr>
      <w:r>
        <w:rPr>
          <w:rFonts w:hint="eastAsia" w:cs="宋体" w:asciiTheme="majorEastAsia" w:hAnsiTheme="majorEastAsia" w:eastAsiaTheme="majorEastAsia"/>
          <w:b/>
          <w:sz w:val="24"/>
        </w:rPr>
        <w:t>十四、争议解决方式</w:t>
      </w:r>
    </w:p>
    <w:p>
      <w:pPr>
        <w:pStyle w:val="35"/>
        <w:spacing w:line="380" w:lineRule="exact"/>
        <w:ind w:left="0" w:firstLine="0" w:firstLineChars="0"/>
        <w:rPr>
          <w:rFonts w:cs="宋体" w:asciiTheme="majorEastAsia" w:hAnsiTheme="majorEastAsia" w:eastAsiaTheme="majorEastAsia"/>
          <w:sz w:val="24"/>
        </w:rPr>
      </w:pPr>
      <w:r>
        <w:rPr>
          <w:rFonts w:hint="eastAsia" w:cs="宋体" w:asciiTheme="majorEastAsia" w:hAnsiTheme="majorEastAsia" w:eastAsiaTheme="majorEastAsia"/>
          <w:sz w:val="24"/>
        </w:rPr>
        <w:t xml:space="preserve">    未尽事宜，甲乙双方协商解决。协商不成时，双方同意由甲方所在地人民法院管辖。</w:t>
      </w:r>
    </w:p>
    <w:p>
      <w:pPr>
        <w:pStyle w:val="35"/>
        <w:spacing w:line="380" w:lineRule="exact"/>
        <w:ind w:hangingChars="83"/>
        <w:rPr>
          <w:rFonts w:cs="宋体" w:asciiTheme="majorEastAsia" w:hAnsiTheme="majorEastAsia" w:eastAsiaTheme="majorEastAsia"/>
          <w:b/>
          <w:sz w:val="24"/>
        </w:rPr>
      </w:pPr>
      <w:r>
        <w:rPr>
          <w:rFonts w:hint="eastAsia" w:cs="宋体" w:asciiTheme="majorEastAsia" w:hAnsiTheme="majorEastAsia" w:eastAsiaTheme="majorEastAsia"/>
          <w:b/>
          <w:sz w:val="24"/>
        </w:rPr>
        <w:t>十五、合同生效、终止及份数</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15.1 本合同经双方盖章后生效。</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15.2 甲乙双方履行完全部合同义务，无任何遗留问题，合同即终止。</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15.3 本合同一式</w:t>
      </w:r>
      <w:r>
        <w:rPr>
          <w:rFonts w:hint="eastAsia" w:cs="宋体" w:asciiTheme="majorEastAsia" w:hAnsiTheme="majorEastAsia" w:eastAsiaTheme="majorEastAsia"/>
          <w:sz w:val="24"/>
          <w:lang w:val="en-US" w:eastAsia="zh-CN"/>
        </w:rPr>
        <w:t>肆</w:t>
      </w:r>
      <w:r>
        <w:rPr>
          <w:rFonts w:hint="eastAsia" w:cs="宋体" w:asciiTheme="majorEastAsia" w:hAnsiTheme="majorEastAsia" w:eastAsiaTheme="majorEastAsia"/>
          <w:sz w:val="24"/>
        </w:rPr>
        <w:t>份，具有同等法律效力。</w:t>
      </w:r>
      <w:r>
        <w:rPr>
          <w:rFonts w:hint="eastAsia" w:cs="宋体" w:asciiTheme="majorEastAsia" w:hAnsiTheme="majorEastAsia" w:eastAsiaTheme="majorEastAsia"/>
          <w:sz w:val="24"/>
          <w:lang w:eastAsia="zh-CN"/>
        </w:rPr>
        <w:t>甲方</w:t>
      </w:r>
      <w:r>
        <w:rPr>
          <w:rFonts w:hint="eastAsia" w:cs="宋体" w:asciiTheme="majorEastAsia" w:hAnsiTheme="majorEastAsia" w:eastAsiaTheme="majorEastAsia"/>
          <w:sz w:val="24"/>
        </w:rPr>
        <w:t>持</w:t>
      </w:r>
      <w:r>
        <w:rPr>
          <w:rFonts w:hint="eastAsia" w:cs="宋体" w:asciiTheme="majorEastAsia" w:hAnsiTheme="majorEastAsia" w:eastAsiaTheme="majorEastAsia"/>
          <w:sz w:val="24"/>
          <w:lang w:val="en-US" w:eastAsia="zh-CN"/>
        </w:rPr>
        <w:t>叁</w:t>
      </w:r>
      <w:r>
        <w:rPr>
          <w:rFonts w:hint="eastAsia" w:cs="宋体" w:asciiTheme="majorEastAsia" w:hAnsiTheme="majorEastAsia" w:eastAsiaTheme="majorEastAsia"/>
          <w:sz w:val="24"/>
        </w:rPr>
        <w:t>份，</w:t>
      </w:r>
      <w:r>
        <w:rPr>
          <w:rFonts w:hint="eastAsia" w:cs="宋体" w:asciiTheme="majorEastAsia" w:hAnsiTheme="majorEastAsia" w:eastAsiaTheme="majorEastAsia"/>
          <w:sz w:val="24"/>
          <w:lang w:eastAsia="zh-CN"/>
        </w:rPr>
        <w:t>乙方</w:t>
      </w:r>
      <w:r>
        <w:rPr>
          <w:rFonts w:hint="eastAsia" w:cs="宋体" w:asciiTheme="majorEastAsia" w:hAnsiTheme="majorEastAsia" w:eastAsiaTheme="majorEastAsia"/>
          <w:sz w:val="24"/>
        </w:rPr>
        <w:t>持壹份。</w:t>
      </w:r>
    </w:p>
    <w:p>
      <w:pPr>
        <w:pStyle w:val="2"/>
        <w:rPr>
          <w:rFonts w:hint="eastAsia" w:ascii="宋体" w:hAnsi="宋体"/>
          <w:b/>
          <w:spacing w:val="120"/>
          <w:sz w:val="24"/>
        </w:rPr>
      </w:pPr>
    </w:p>
    <w:p>
      <w:pPr>
        <w:pStyle w:val="2"/>
        <w:rPr>
          <w:rFonts w:hint="eastAsia" w:ascii="宋体" w:hAnsi="宋体"/>
          <w:b/>
          <w:spacing w:val="120"/>
          <w:sz w:val="24"/>
        </w:rPr>
      </w:pPr>
    </w:p>
    <w:p>
      <w:pPr>
        <w:pStyle w:val="2"/>
        <w:rPr>
          <w:rFonts w:hint="eastAsia" w:ascii="宋体" w:hAnsi="宋体"/>
          <w:b/>
          <w:spacing w:val="120"/>
          <w:sz w:val="24"/>
        </w:rPr>
      </w:pPr>
    </w:p>
    <w:tbl>
      <w:tblPr>
        <w:tblStyle w:val="50"/>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rFonts w:hint="eastAsia"/>
                <w:sz w:val="24"/>
                <w:lang w:eastAsia="zh-CN"/>
              </w:rPr>
            </w:pPr>
            <w:r>
              <w:rPr>
                <w:rFonts w:hint="eastAsia"/>
                <w:sz w:val="24"/>
                <w:lang w:eastAsia="zh-CN"/>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r>
              <w:rPr>
                <w:rFonts w:hint="eastAsia"/>
                <w:sz w:val="24"/>
                <w:lang w:eastAsia="zh-CN"/>
              </w:rPr>
              <w:t>徐明兴</w:t>
            </w:r>
          </w:p>
        </w:tc>
        <w:tc>
          <w:tcPr>
            <w:tcW w:w="4821" w:type="dxa"/>
            <w:vAlign w:val="center"/>
          </w:tcPr>
          <w:p>
            <w:pPr>
              <w:spacing w:line="360" w:lineRule="auto"/>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电话：0596-6311078</w:t>
            </w:r>
          </w:p>
        </w:tc>
        <w:tc>
          <w:tcPr>
            <w:tcW w:w="4821" w:type="dxa"/>
            <w:vAlign w:val="center"/>
          </w:tcPr>
          <w:p>
            <w:pPr>
              <w:spacing w:line="360" w:lineRule="auto"/>
              <w:rPr>
                <w:rFonts w:hint="eastAsia"/>
                <w:sz w:val="24"/>
                <w:lang w:eastAsia="zh-CN"/>
              </w:rPr>
            </w:pPr>
            <w:r>
              <w:rPr>
                <w:rFonts w:hint="eastAsia"/>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rFonts w:hint="eastAsia"/>
                <w:sz w:val="24"/>
                <w:lang w:eastAsia="zh-CN"/>
              </w:rPr>
            </w:pPr>
            <w:r>
              <w:rPr>
                <w:rFonts w:hint="eastAsia"/>
                <w:sz w:val="24"/>
                <w:lang w:eastAsia="zh-CN"/>
              </w:rPr>
              <w:t>账号：</w:t>
            </w:r>
          </w:p>
        </w:tc>
      </w:tr>
    </w:tbl>
    <w:p>
      <w:pPr>
        <w:pStyle w:val="2"/>
      </w:pPr>
    </w:p>
    <w:p>
      <w:pPr>
        <w:spacing w:line="300" w:lineRule="exact"/>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pStyle w:val="2"/>
        <w:rPr>
          <w:sz w:val="32"/>
          <w:szCs w:val="32"/>
          <w:lang w:eastAsia="zh-CN"/>
        </w:rPr>
      </w:pPr>
    </w:p>
    <w:p>
      <w:pPr>
        <w:spacing w:line="420" w:lineRule="exact"/>
        <w:jc w:val="both"/>
        <w:rPr>
          <w:b/>
          <w:bCs/>
          <w:color w:val="000000"/>
          <w:sz w:val="32"/>
          <w:szCs w:val="32"/>
          <w:lang w:eastAsia="zh-CN"/>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ascii="微软雅黑" w:eastAsia="微软雅黑"/>
          <w:b/>
          <w:sz w:val="52"/>
          <w:szCs w:val="22"/>
          <w:u w:val="single"/>
          <w:lang w:eastAsia="zh-CN"/>
        </w:rPr>
        <w:t>生产生产一团队纤维膜反应器清洗及部分纤维丝更换项目</w:t>
      </w: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4"/>
        <w:spacing w:beforeLines="0" w:afterLines="0" w:line="240" w:lineRule="auto"/>
        <w:ind w:firstLine="618" w:firstLineChars="221"/>
        <w:rPr>
          <w:rFonts w:cs="Times New Roman"/>
          <w:bCs w:val="0"/>
          <w:color w:val="C00000"/>
          <w:lang w:eastAsia="zh-CN"/>
        </w:rPr>
      </w:pP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rFonts w:hint="eastAsia" w:eastAsia="宋体"/>
                <w:sz w:val="24"/>
                <w:lang w:val="en-US" w:eastAsia="zh-CN"/>
              </w:rPr>
            </w:pPr>
            <w:r>
              <w:rPr>
                <w:rFonts w:hint="eastAsia"/>
                <w:sz w:val="24"/>
                <w:lang w:eastAsia="zh-CN"/>
              </w:rPr>
              <w:t>商务</w:t>
            </w:r>
            <w:r>
              <w:rPr>
                <w:rFonts w:hint="eastAsia"/>
                <w:sz w:val="24"/>
              </w:rPr>
              <w:t>报价</w:t>
            </w:r>
            <w:r>
              <w:rPr>
                <w:rFonts w:hint="eastAsia"/>
                <w:sz w:val="24"/>
                <w:lang w:eastAsia="zh-CN"/>
              </w:rPr>
              <w:t>函</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pStyle w:val="3"/>
        <w:rPr>
          <w:lang w:eastAsia="zh-CN"/>
        </w:rPr>
      </w:pPr>
    </w:p>
    <w:p>
      <w:pPr>
        <w:spacing w:line="500" w:lineRule="exact"/>
        <w:jc w:val="both"/>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4"/>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3"/>
        <w:rPr>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pPr>
    </w:p>
    <w:p>
      <w:pPr>
        <w:spacing w:line="360" w:lineRule="auto"/>
        <w:ind w:left="220" w:leftChars="100" w:firstLine="0" w:firstLineChars="0"/>
        <w:jc w:val="center"/>
        <w:rPr>
          <w:rFonts w:ascii="Times New Roman" w:hAnsi="Times New Roman" w:cs="Times New Roman"/>
          <w:sz w:val="28"/>
          <w:szCs w:val="28"/>
          <w:lang w:eastAsia="zh-CN"/>
        </w:rPr>
      </w:pPr>
      <w:r>
        <w:rPr>
          <w:rFonts w:hint="eastAsia" w:ascii="Times New Roman" w:hAnsi="Times New Roman" w:cs="Times New Roman"/>
          <w:b/>
          <w:sz w:val="36"/>
          <w:szCs w:val="36"/>
          <w:lang w:eastAsia="zh-CN"/>
        </w:rPr>
        <w:t xml:space="preserve">      </w:t>
      </w:r>
      <w:r>
        <w:rPr>
          <w:rFonts w:ascii="Times New Roman" w:hAnsi="Times New Roman" w:cs="Times New Roman"/>
          <w:b/>
          <w:sz w:val="36"/>
          <w:szCs w:val="36"/>
          <w:lang w:eastAsia="zh-CN"/>
        </w:rPr>
        <w:t>商务报价函</w:t>
      </w:r>
    </w:p>
    <w:p>
      <w:pPr>
        <w:spacing w:line="360" w:lineRule="auto"/>
        <w:ind w:left="220" w:leftChars="100" w:firstLine="0" w:firstLineChars="0"/>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pStyle w:val="35"/>
        <w:spacing w:line="380" w:lineRule="exact"/>
        <w:ind w:left="0" w:leftChars="0" w:firstLine="560" w:firstLineChars="200"/>
        <w:rPr>
          <w:rFonts w:ascii="Times New Roman" w:hAnsi="Times New Roman" w:eastAsia="宋体"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hint="default" w:ascii="Times New Roman" w:hAnsi="Times New Roman" w:eastAsia="宋体" w:cs="Times New Roman"/>
          <w:b w:val="0"/>
          <w:bCs w:val="0"/>
          <w:sz w:val="28"/>
          <w:szCs w:val="28"/>
          <w:lang w:val="en-US" w:eastAsia="zh-CN"/>
        </w:rPr>
        <w:t>生产</w:t>
      </w:r>
      <w:r>
        <w:rPr>
          <w:rFonts w:hint="eastAsia" w:ascii="Times New Roman" w:cs="Times New Roman"/>
          <w:b w:val="0"/>
          <w:bCs w:val="0"/>
          <w:sz w:val="28"/>
          <w:szCs w:val="28"/>
          <w:lang w:val="en-US" w:eastAsia="zh-CN"/>
        </w:rPr>
        <w:t>生产一团队纤维膜反应器清洗及部分纤维丝更换项目</w:t>
      </w:r>
      <w:r>
        <w:rPr>
          <w:rFonts w:ascii="Times New Roman" w:hAnsi="Times New Roman" w:eastAsia="宋体" w:cs="Times New Roman"/>
          <w:sz w:val="28"/>
          <w:szCs w:val="28"/>
          <w:lang w:eastAsia="zh-CN"/>
        </w:rPr>
        <w:t>比选文件的全部内容后，我方愿以以下报价，严格按照自主比选文件的要求，交付本项目并维修其中的任何缺陷。</w:t>
      </w:r>
    </w:p>
    <w:tbl>
      <w:tblPr>
        <w:tblStyle w:val="49"/>
        <w:tblW w:w="90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 w:type="dxa"/>
          <w:bottom w:w="0" w:type="dxa"/>
          <w:right w:w="11" w:type="dxa"/>
        </w:tblCellMar>
      </w:tblPr>
      <w:tblGrid>
        <w:gridCol w:w="529"/>
        <w:gridCol w:w="735"/>
        <w:gridCol w:w="1381"/>
        <w:gridCol w:w="605"/>
        <w:gridCol w:w="415"/>
        <w:gridCol w:w="646"/>
        <w:gridCol w:w="1201"/>
        <w:gridCol w:w="1315"/>
        <w:gridCol w:w="1158"/>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trHeight w:val="1448" w:hRule="atLeast"/>
          <w:tblHeader/>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序号</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位号</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名称/型号</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数量</w:t>
            </w:r>
          </w:p>
          <w:p>
            <w:pPr>
              <w:jc w:val="center"/>
              <w:rPr>
                <w:rStyle w:val="231"/>
                <w:szCs w:val="21"/>
              </w:rPr>
            </w:pPr>
            <w:r>
              <w:rPr>
                <w:rStyle w:val="231"/>
                <w:szCs w:val="21"/>
              </w:rPr>
              <w:t>（台）</w:t>
            </w:r>
          </w:p>
        </w:tc>
        <w:tc>
          <w:tcPr>
            <w:tcW w:w="4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设计温度</w:t>
            </w:r>
            <w:r>
              <w:rPr>
                <w:rStyle w:val="231"/>
                <w:rFonts w:ascii="宋体"/>
                <w:szCs w:val="21"/>
              </w:rPr>
              <w:t>℃</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设计压力MPaG</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设备规格</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主体材质</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Style w:val="231"/>
                <w:rFonts w:ascii="Times New Roman" w:hAnsi="Times New Roman" w:cs="Times New Roman"/>
                <w:szCs w:val="21"/>
              </w:rPr>
            </w:pPr>
            <w:r>
              <w:rPr>
                <w:rStyle w:val="231"/>
                <w:szCs w:val="21"/>
              </w:rPr>
              <w:t>含税单价</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Style w:val="231"/>
                <w:rFonts w:ascii="Times New Roman" w:hAnsi="Times New Roman" w:cs="Times New Roman"/>
                <w:szCs w:val="21"/>
              </w:rPr>
            </w:pPr>
            <w:r>
              <w:rPr>
                <w:rStyle w:val="231"/>
                <w:szCs w:val="21"/>
              </w:rPr>
              <w:t>含税价小计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25"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1</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 w:val="24"/>
                <w:szCs w:val="24"/>
              </w:rPr>
              <w:t>13-R-401</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rFonts w:hint="eastAsia"/>
                <w:sz w:val="24"/>
                <w:szCs w:val="24"/>
              </w:rPr>
              <w:t>一级脱硫醇反应器</w:t>
            </w:r>
            <w:r>
              <w:rPr>
                <w:rStyle w:val="231"/>
                <w:szCs w:val="21"/>
              </w:rPr>
              <w:t>/LSDR25D75</w:t>
            </w:r>
          </w:p>
        </w:tc>
        <w:tc>
          <w:tcPr>
            <w:tcW w:w="605" w:type="dxa"/>
            <w:vMerge w:val="restart"/>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rFonts w:hint="eastAsia"/>
                <w:szCs w:val="21"/>
              </w:rPr>
              <w:t>1</w:t>
            </w:r>
          </w:p>
        </w:tc>
        <w:tc>
          <w:tcPr>
            <w:tcW w:w="4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60</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2.8</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750 ID x 3750 TT</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筒体Q345R</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61"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内芯</w:t>
            </w:r>
          </w:p>
        </w:tc>
        <w:tc>
          <w:tcPr>
            <w:tcW w:w="605"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4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60</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内芯304不锈钢及表面复合材料</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25"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2</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 w:val="24"/>
                <w:szCs w:val="24"/>
              </w:rPr>
              <w:t>13-R-402</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rFonts w:hint="eastAsia"/>
                <w:sz w:val="24"/>
                <w:szCs w:val="24"/>
              </w:rPr>
              <w:t>二级脱硫醇反应器</w:t>
            </w:r>
            <w:r>
              <w:rPr>
                <w:rStyle w:val="231"/>
                <w:szCs w:val="21"/>
              </w:rPr>
              <w:t>/</w:t>
            </w:r>
            <w:r>
              <w:rPr>
                <w:szCs w:val="21"/>
              </w:rPr>
              <w:t xml:space="preserve"> </w:t>
            </w:r>
            <w:r>
              <w:rPr>
                <w:rStyle w:val="231"/>
                <w:szCs w:val="21"/>
              </w:rPr>
              <w:t>LSDR25D75</w:t>
            </w:r>
            <w:r>
              <w:rPr>
                <w:szCs w:val="21"/>
              </w:rPr>
              <w:t xml:space="preserve"> </w:t>
            </w:r>
          </w:p>
        </w:tc>
        <w:tc>
          <w:tcPr>
            <w:tcW w:w="605" w:type="dxa"/>
            <w:vMerge w:val="restart"/>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rFonts w:hint="eastAsia"/>
                <w:szCs w:val="21"/>
              </w:rPr>
              <w:t>1</w:t>
            </w:r>
          </w:p>
        </w:tc>
        <w:tc>
          <w:tcPr>
            <w:tcW w:w="4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60</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2.8</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750 ID x 3750 TT</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筒体Q345R</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61"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内芯</w:t>
            </w:r>
          </w:p>
        </w:tc>
        <w:tc>
          <w:tcPr>
            <w:tcW w:w="605"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4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60</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内芯304不锈钢及表面复合材料</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925"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rFonts w:hint="eastAsia"/>
                <w:szCs w:val="21"/>
              </w:rPr>
              <w:t>3</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 w:val="24"/>
                <w:szCs w:val="24"/>
              </w:rPr>
              <w:t>13-R-403</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rFonts w:hint="eastAsia"/>
                <w:sz w:val="24"/>
                <w:szCs w:val="24"/>
              </w:rPr>
              <w:t>液膜水洗接触器</w:t>
            </w:r>
            <w:r>
              <w:rPr>
                <w:rStyle w:val="231"/>
                <w:szCs w:val="21"/>
              </w:rPr>
              <w:t>/</w:t>
            </w:r>
            <w:r>
              <w:rPr>
                <w:szCs w:val="21"/>
              </w:rPr>
              <w:t xml:space="preserve"> </w:t>
            </w:r>
            <w:r>
              <w:rPr>
                <w:rStyle w:val="231"/>
                <w:szCs w:val="21"/>
              </w:rPr>
              <w:t>LSDR25D75</w:t>
            </w:r>
            <w:r>
              <w:rPr>
                <w:szCs w:val="21"/>
              </w:rPr>
              <w:t xml:space="preserve"> </w:t>
            </w:r>
          </w:p>
        </w:tc>
        <w:tc>
          <w:tcPr>
            <w:tcW w:w="605" w:type="dxa"/>
            <w:vMerge w:val="restart"/>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rFonts w:hint="eastAsia"/>
                <w:szCs w:val="21"/>
              </w:rPr>
              <w:t>1</w:t>
            </w:r>
          </w:p>
        </w:tc>
        <w:tc>
          <w:tcPr>
            <w:tcW w:w="4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60</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2.36</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750 ID x 3750 TT</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筒体Q345R</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1161"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内芯</w:t>
            </w:r>
          </w:p>
        </w:tc>
        <w:tc>
          <w:tcPr>
            <w:tcW w:w="605"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4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60</w:t>
            </w: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Style w:val="231"/>
                <w:szCs w:val="21"/>
              </w:rPr>
              <w:t>内芯304不锈钢及表面复合材料</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 w:type="dxa"/>
            <w:bottom w:w="0" w:type="dxa"/>
            <w:right w:w="11" w:type="dxa"/>
          </w:tblCellMar>
        </w:tblPrEx>
        <w:trPr>
          <w:cantSplit/>
          <w:trHeight w:val="803" w:hRule="atLeast"/>
          <w:jc w:val="center"/>
        </w:trPr>
        <w:tc>
          <w:tcPr>
            <w:tcW w:w="6827" w:type="dxa"/>
            <w:gridSpan w:val="8"/>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r>
              <w:rPr>
                <w:rFonts w:hint="eastAsia" w:ascii="Times New Roman"/>
                <w:color w:val="000000"/>
                <w:kern w:val="2"/>
                <w:sz w:val="24"/>
                <w:szCs w:val="24"/>
                <w:lang w:val="en-US" w:eastAsia="zh-CN"/>
              </w:rPr>
              <w:t>包干含税</w:t>
            </w:r>
            <w:r>
              <w:rPr>
                <w:rFonts w:hint="eastAsia" w:ascii="Times New Roman"/>
                <w:color w:val="000000"/>
                <w:kern w:val="2"/>
                <w:sz w:val="24"/>
                <w:szCs w:val="24"/>
                <w:lang w:eastAsia="zh-CN"/>
              </w:rPr>
              <w:t>总合计（人民币，元）</w:t>
            </w:r>
          </w:p>
        </w:tc>
        <w:tc>
          <w:tcPr>
            <w:tcW w:w="2266" w:type="dxa"/>
            <w:gridSpan w:val="2"/>
            <w:tcBorders>
              <w:top w:val="single" w:color="auto" w:sz="4" w:space="0"/>
              <w:left w:val="single" w:color="auto" w:sz="4" w:space="0"/>
              <w:bottom w:val="single" w:color="auto" w:sz="4" w:space="0"/>
              <w:right w:val="single" w:color="auto" w:sz="4" w:space="0"/>
            </w:tcBorders>
            <w:vAlign w:val="center"/>
          </w:tcPr>
          <w:p>
            <w:pPr>
              <w:jc w:val="center"/>
              <w:rPr>
                <w:rStyle w:val="231"/>
                <w:szCs w:val="21"/>
              </w:rPr>
            </w:pPr>
          </w:p>
        </w:tc>
      </w:tr>
    </w:tbl>
    <w:p>
      <w:pPr>
        <w:wordWrap w:val="0"/>
        <w:spacing w:line="460" w:lineRule="exact"/>
        <w:ind w:left="0" w:leftChars="0" w:firstLine="0" w:firstLineChars="0"/>
        <w:jc w:val="both"/>
        <w:rPr>
          <w:rFonts w:hint="eastAsia" w:ascii="Times New Roman" w:hAnsi="Times New Roman" w:cs="Times New Roman"/>
          <w:sz w:val="28"/>
          <w:lang w:val="en-US" w:eastAsia="zh-CN"/>
        </w:rPr>
      </w:pPr>
    </w:p>
    <w:p>
      <w:pPr>
        <w:pStyle w:val="2"/>
        <w:rPr>
          <w:rFonts w:hint="eastAsia"/>
          <w:sz w:val="28"/>
          <w:szCs w:val="28"/>
        </w:rPr>
      </w:pPr>
      <w:r>
        <w:rPr>
          <w:rFonts w:hint="eastAsia"/>
          <w:sz w:val="28"/>
          <w:szCs w:val="28"/>
        </w:rPr>
        <w:t>注： 1、价格为含税价，税率：</w:t>
      </w:r>
      <w:r>
        <w:rPr>
          <w:rFonts w:hint="eastAsia"/>
          <w:sz w:val="28"/>
          <w:szCs w:val="28"/>
          <w:u w:val="single"/>
        </w:rPr>
        <w:t xml:space="preserve">         % </w:t>
      </w:r>
      <w:r>
        <w:rPr>
          <w:rFonts w:hint="eastAsia"/>
          <w:sz w:val="28"/>
          <w:szCs w:val="28"/>
        </w:rPr>
        <w:t>；</w:t>
      </w:r>
    </w:p>
    <w:p>
      <w:pPr>
        <w:pStyle w:val="2"/>
        <w:ind w:firstLine="560" w:firstLineChars="200"/>
        <w:rPr>
          <w:rFonts w:hint="eastAsia"/>
          <w:spacing w:val="0"/>
          <w:sz w:val="28"/>
          <w:szCs w:val="28"/>
          <w:lang w:val="en-US" w:eastAsia="zh-CN"/>
        </w:rPr>
      </w:pPr>
      <w:r>
        <w:rPr>
          <w:rFonts w:hint="eastAsia"/>
          <w:sz w:val="28"/>
          <w:szCs w:val="28"/>
          <w:lang w:val="en-US" w:eastAsia="zh-CN"/>
        </w:rPr>
        <w:t>2、</w:t>
      </w:r>
      <w:r>
        <w:rPr>
          <w:rFonts w:hint="eastAsia"/>
          <w:sz w:val="28"/>
          <w:szCs w:val="28"/>
          <w:u w:val="none"/>
          <w:lang w:val="en-US" w:eastAsia="zh-CN"/>
        </w:rPr>
        <w:t xml:space="preserve"> </w:t>
      </w:r>
      <w:r>
        <w:rPr>
          <w:rFonts w:hint="eastAsia"/>
          <w:sz w:val="28"/>
          <w:szCs w:val="28"/>
          <w:lang w:eastAsia="zh-CN"/>
        </w:rPr>
        <w:t>付款方式：</w:t>
      </w:r>
      <w:r>
        <w:rPr>
          <w:rFonts w:hint="eastAsia" w:ascii="宋体" w:hAnsi="宋体" w:eastAsia="宋体" w:cs="宋体"/>
          <w:i w:val="0"/>
          <w:iCs w:val="0"/>
          <w:caps w:val="0"/>
          <w:spacing w:val="0"/>
          <w:sz w:val="28"/>
          <w:szCs w:val="28"/>
          <w:shd w:val="clear"/>
          <w:lang w:eastAsia="zh-CN"/>
        </w:rPr>
        <w:t>无预付款，参选保证金将直接转为履约保证金，</w:t>
      </w:r>
      <w:r>
        <w:rPr>
          <w:rFonts w:hint="eastAsia" w:cs="宋体"/>
          <w:i w:val="0"/>
          <w:iCs w:val="0"/>
          <w:caps w:val="0"/>
          <w:spacing w:val="0"/>
          <w:sz w:val="28"/>
          <w:szCs w:val="28"/>
          <w:shd w:val="clear"/>
          <w:lang w:val="en-US" w:eastAsia="zh-CN"/>
        </w:rPr>
        <w:t>本</w:t>
      </w:r>
      <w:r>
        <w:rPr>
          <w:rFonts w:hint="eastAsia" w:ascii="宋体" w:hAnsi="宋体" w:eastAsia="宋体" w:cs="宋体"/>
          <w:i w:val="0"/>
          <w:iCs w:val="0"/>
          <w:caps w:val="0"/>
          <w:spacing w:val="0"/>
          <w:sz w:val="28"/>
          <w:szCs w:val="28"/>
          <w:shd w:val="clear"/>
          <w:lang w:eastAsia="zh-CN"/>
        </w:rPr>
        <w:t>项目</w:t>
      </w:r>
      <w:r>
        <w:rPr>
          <w:rFonts w:hint="eastAsia" w:cs="宋体"/>
          <w:i w:val="0"/>
          <w:iCs w:val="0"/>
          <w:caps w:val="0"/>
          <w:spacing w:val="0"/>
          <w:sz w:val="28"/>
          <w:szCs w:val="28"/>
          <w:shd w:val="clear"/>
          <w:lang w:val="en-US" w:eastAsia="zh-CN"/>
        </w:rPr>
        <w:t>施工</w:t>
      </w:r>
      <w:r>
        <w:rPr>
          <w:rFonts w:hint="eastAsia" w:ascii="宋体" w:hAnsi="宋体" w:eastAsia="宋体" w:cs="宋体"/>
          <w:i w:val="0"/>
          <w:iCs w:val="0"/>
          <w:caps w:val="0"/>
          <w:spacing w:val="0"/>
          <w:sz w:val="28"/>
          <w:szCs w:val="28"/>
          <w:shd w:val="clear"/>
          <w:lang w:eastAsia="zh-CN"/>
        </w:rPr>
        <w:t>完成</w:t>
      </w:r>
      <w:r>
        <w:rPr>
          <w:rFonts w:hint="eastAsia" w:cs="宋体"/>
          <w:i w:val="0"/>
          <w:iCs w:val="0"/>
          <w:caps w:val="0"/>
          <w:spacing w:val="0"/>
          <w:sz w:val="28"/>
          <w:szCs w:val="28"/>
          <w:shd w:val="clear"/>
          <w:lang w:val="en-US" w:eastAsia="zh-CN"/>
        </w:rPr>
        <w:t>并</w:t>
      </w:r>
      <w:r>
        <w:rPr>
          <w:rFonts w:hint="eastAsia" w:ascii="宋体" w:hAnsi="宋体" w:eastAsia="宋体" w:cs="宋体"/>
          <w:i w:val="0"/>
          <w:iCs w:val="0"/>
          <w:caps w:val="0"/>
          <w:spacing w:val="0"/>
          <w:sz w:val="28"/>
          <w:szCs w:val="28"/>
          <w:shd w:val="clear"/>
          <w:lang w:eastAsia="zh-CN"/>
        </w:rPr>
        <w:t>验收合格后支付100%。</w:t>
      </w:r>
    </w:p>
    <w:p>
      <w:pPr>
        <w:spacing w:line="460" w:lineRule="exact"/>
        <w:ind w:left="0" w:leftChars="0" w:firstLine="0" w:firstLineChars="0"/>
        <w:jc w:val="both"/>
        <w:rPr>
          <w:rFonts w:ascii="Times New Roman" w:hAnsi="Times New Roman" w:cs="Times New Roman"/>
          <w:sz w:val="28"/>
          <w:lang w:eastAsia="zh-CN"/>
        </w:rPr>
      </w:pPr>
    </w:p>
    <w:p>
      <w:pPr>
        <w:spacing w:line="460" w:lineRule="exact"/>
        <w:ind w:left="0" w:leftChars="0" w:firstLine="3080" w:firstLineChars="1100"/>
        <w:jc w:val="both"/>
        <w:rPr>
          <w:rFonts w:ascii="Times New Roman" w:hAnsi="Times New Roman" w:cs="Times New Roman"/>
          <w:sz w:val="28"/>
          <w:lang w:eastAsia="zh-CN"/>
        </w:rPr>
      </w:pPr>
    </w:p>
    <w:p>
      <w:pPr>
        <w:spacing w:line="460" w:lineRule="exact"/>
        <w:ind w:left="0" w:leftChars="0" w:firstLine="3080" w:firstLineChars="1100"/>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val="en-US"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left="220" w:leftChars="100" w:firstLine="0" w:firstLineChars="0"/>
        <w:jc w:val="right"/>
        <w:rPr>
          <w:rFonts w:ascii="Times New Roman" w:hAnsi="Times New Roman" w:cs="Times New Roman"/>
          <w:sz w:val="28"/>
          <w:u w:val="single"/>
          <w:lang w:eastAsia="zh-CN"/>
        </w:rPr>
      </w:pPr>
    </w:p>
    <w:p>
      <w:pPr>
        <w:spacing w:line="460" w:lineRule="exact"/>
        <w:ind w:left="0" w:leftChars="0" w:firstLine="3080" w:firstLineChars="1100"/>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val="en-US"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left="220" w:leftChars="100" w:firstLine="0" w:firstLineChars="0"/>
        <w:jc w:val="right"/>
        <w:rPr>
          <w:rFonts w:ascii="Times New Roman" w:hAnsi="Times New Roman" w:cs="Times New Roman"/>
          <w:color w:val="00B050"/>
          <w:sz w:val="28"/>
          <w:lang w:eastAsia="zh-CN"/>
        </w:rPr>
      </w:pPr>
    </w:p>
    <w:p>
      <w:pPr>
        <w:spacing w:line="460" w:lineRule="exact"/>
        <w:ind w:left="220" w:leftChars="100" w:firstLine="0" w:firstLineChars="0"/>
        <w:jc w:val="right"/>
        <w:rPr>
          <w:rFonts w:ascii="Times New Roman" w:hAnsi="Times New Roman" w:cs="Times New Roman"/>
          <w:color w:val="4E6127"/>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val="en-US"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ind w:left="0" w:leftChars="0" w:firstLine="3080" w:firstLineChars="1100"/>
        <w:jc w:val="both"/>
        <w:rPr>
          <w:rFonts w:ascii="Times New Roman" w:hAnsi="Times New Roman" w:cs="Times New Roman"/>
          <w:sz w:val="28"/>
          <w:lang w:eastAsia="zh-CN"/>
        </w:rPr>
      </w:pPr>
    </w:p>
    <w:p>
      <w:pPr>
        <w:ind w:firstLine="3360" w:firstLineChars="1200"/>
        <w:rPr>
          <w:sz w:val="28"/>
          <w:szCs w:val="28"/>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w:t>
      </w:r>
      <w:r>
        <w:rPr>
          <w:rFonts w:hint="eastAsia" w:ascii="Times New Roman" w:hAnsi="Times New Roman" w:cs="Times New Roman"/>
          <w:sz w:val="28"/>
          <w:u w:val="single"/>
          <w:lang w:val="en-US" w:eastAsia="zh-CN"/>
        </w:rPr>
        <w:t xml:space="preserve">    </w:t>
      </w:r>
      <w:r>
        <w:rPr>
          <w:rFonts w:ascii="Times New Roman" w:hAnsi="Times New Roman" w:cs="Times New Roman"/>
          <w:sz w:val="28"/>
          <w:u w:val="single"/>
          <w:lang w:eastAsia="zh-CN"/>
        </w:rPr>
        <w:t xml:space="preserve">月  </w:t>
      </w:r>
      <w:r>
        <w:rPr>
          <w:rFonts w:hint="eastAsia" w:ascii="Times New Roman" w:hAnsi="Times New Roman" w:cs="Times New Roman"/>
          <w:sz w:val="28"/>
          <w:u w:val="single"/>
          <w:lang w:val="en-US" w:eastAsia="zh-CN"/>
        </w:rPr>
        <w:t xml:space="preserve">      </w:t>
      </w:r>
      <w:r>
        <w:rPr>
          <w:rFonts w:ascii="Times New Roman" w:hAnsi="Times New Roman" w:cs="Times New Roman"/>
          <w:sz w:val="28"/>
          <w:u w:val="single"/>
          <w:lang w:eastAsia="zh-CN"/>
        </w:rPr>
        <w:t xml:space="preserve"> 日</w:t>
      </w:r>
      <w:r>
        <w:rPr>
          <w:rFonts w:hint="eastAsia" w:ascii="Times New Roman" w:hAnsi="Times New Roman" w:cs="Times New Roman"/>
          <w:sz w:val="28"/>
          <w:u w:val="single"/>
          <w:lang w:val="en-US" w:eastAsia="zh-CN"/>
        </w:rPr>
        <w:t xml:space="preserve"> </w:t>
      </w:r>
    </w:p>
    <w:bookmarkEnd w:id="13"/>
    <w:p>
      <w:pPr>
        <w:pStyle w:val="2"/>
        <w:numPr>
          <w:ilvl w:val="0"/>
          <w:numId w:val="0"/>
        </w:numPr>
        <w:ind w:left="0" w:leftChars="0"/>
        <w:jc w:val="left"/>
        <w:rPr>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56</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45</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510AE"/>
    <w:multiLevelType w:val="multilevel"/>
    <w:tmpl w:val="048510AE"/>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798366E0"/>
    <w:multiLevelType w:val="multilevel"/>
    <w:tmpl w:val="798366E0"/>
    <w:lvl w:ilvl="0" w:tentative="0">
      <w:start w:val="4"/>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 w:name="KSO_WPS_MARK_KEY" w:val="4baf82a8-345d-46b1-97c2-dc7f26f95786"/>
  </w:docVars>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5AD3"/>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A21B3"/>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652C8"/>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23F7DE1"/>
    <w:rsid w:val="0367315B"/>
    <w:rsid w:val="03B3341D"/>
    <w:rsid w:val="061139E5"/>
    <w:rsid w:val="06F50B00"/>
    <w:rsid w:val="076E1278"/>
    <w:rsid w:val="081C4DA3"/>
    <w:rsid w:val="08D1141D"/>
    <w:rsid w:val="0B296DE2"/>
    <w:rsid w:val="0C8E1587"/>
    <w:rsid w:val="0FBD475A"/>
    <w:rsid w:val="10294AA3"/>
    <w:rsid w:val="10AC6E68"/>
    <w:rsid w:val="10E40CA0"/>
    <w:rsid w:val="10F038ED"/>
    <w:rsid w:val="11004161"/>
    <w:rsid w:val="125E3226"/>
    <w:rsid w:val="136130D9"/>
    <w:rsid w:val="13805E8A"/>
    <w:rsid w:val="14762538"/>
    <w:rsid w:val="152F3309"/>
    <w:rsid w:val="15800409"/>
    <w:rsid w:val="173600E6"/>
    <w:rsid w:val="18AD2B3E"/>
    <w:rsid w:val="18DD4F7E"/>
    <w:rsid w:val="195B58A2"/>
    <w:rsid w:val="1989465C"/>
    <w:rsid w:val="1CA924ED"/>
    <w:rsid w:val="1E085A14"/>
    <w:rsid w:val="1E6D60D9"/>
    <w:rsid w:val="1FF43DDB"/>
    <w:rsid w:val="20FA4185"/>
    <w:rsid w:val="2167018C"/>
    <w:rsid w:val="21933AA2"/>
    <w:rsid w:val="21E02F2A"/>
    <w:rsid w:val="236A09F6"/>
    <w:rsid w:val="24221FE3"/>
    <w:rsid w:val="25BF356F"/>
    <w:rsid w:val="25DB0C2D"/>
    <w:rsid w:val="269469E7"/>
    <w:rsid w:val="26DE54D9"/>
    <w:rsid w:val="26EF5299"/>
    <w:rsid w:val="27064A3F"/>
    <w:rsid w:val="27EE0826"/>
    <w:rsid w:val="295F0BD8"/>
    <w:rsid w:val="2998140D"/>
    <w:rsid w:val="29FC3B14"/>
    <w:rsid w:val="2A8D0A71"/>
    <w:rsid w:val="2B11792E"/>
    <w:rsid w:val="2B430052"/>
    <w:rsid w:val="2C7C6C0E"/>
    <w:rsid w:val="2F724BD0"/>
    <w:rsid w:val="3125082A"/>
    <w:rsid w:val="31C54755"/>
    <w:rsid w:val="3216608C"/>
    <w:rsid w:val="32D42014"/>
    <w:rsid w:val="32D87995"/>
    <w:rsid w:val="34CE14C6"/>
    <w:rsid w:val="34D84CEC"/>
    <w:rsid w:val="37AF5AB7"/>
    <w:rsid w:val="39F259DD"/>
    <w:rsid w:val="3B1C3371"/>
    <w:rsid w:val="3CC23198"/>
    <w:rsid w:val="3CF30BE8"/>
    <w:rsid w:val="3DDF4815"/>
    <w:rsid w:val="3EAE0563"/>
    <w:rsid w:val="3F027B25"/>
    <w:rsid w:val="3FE669E5"/>
    <w:rsid w:val="41DA10EB"/>
    <w:rsid w:val="462A54F2"/>
    <w:rsid w:val="472D168D"/>
    <w:rsid w:val="4A6A5207"/>
    <w:rsid w:val="4B104437"/>
    <w:rsid w:val="4C392DFB"/>
    <w:rsid w:val="4DA07D17"/>
    <w:rsid w:val="4ED66FBD"/>
    <w:rsid w:val="4FEE4BB6"/>
    <w:rsid w:val="50F63E28"/>
    <w:rsid w:val="513F747F"/>
    <w:rsid w:val="5221007F"/>
    <w:rsid w:val="522E47C5"/>
    <w:rsid w:val="528526DA"/>
    <w:rsid w:val="52926B5A"/>
    <w:rsid w:val="52F74B88"/>
    <w:rsid w:val="53516DB6"/>
    <w:rsid w:val="545C5E51"/>
    <w:rsid w:val="5486175B"/>
    <w:rsid w:val="54C676FE"/>
    <w:rsid w:val="57667D24"/>
    <w:rsid w:val="57CE5BC3"/>
    <w:rsid w:val="594815F8"/>
    <w:rsid w:val="59C5385A"/>
    <w:rsid w:val="5A2D3E44"/>
    <w:rsid w:val="5A3260D4"/>
    <w:rsid w:val="5AE1516A"/>
    <w:rsid w:val="5B6A3A79"/>
    <w:rsid w:val="5B90092F"/>
    <w:rsid w:val="5C1A5F7B"/>
    <w:rsid w:val="5D7A3273"/>
    <w:rsid w:val="5E2B4120"/>
    <w:rsid w:val="5EC64C11"/>
    <w:rsid w:val="5F9C62EA"/>
    <w:rsid w:val="61C07B63"/>
    <w:rsid w:val="628D3982"/>
    <w:rsid w:val="63974DB6"/>
    <w:rsid w:val="645771F8"/>
    <w:rsid w:val="66347868"/>
    <w:rsid w:val="66CC0AF0"/>
    <w:rsid w:val="693C3D94"/>
    <w:rsid w:val="69B67E52"/>
    <w:rsid w:val="6A54112D"/>
    <w:rsid w:val="6A701C86"/>
    <w:rsid w:val="6AA035AE"/>
    <w:rsid w:val="6BCB034D"/>
    <w:rsid w:val="6C0E1756"/>
    <w:rsid w:val="6D3B2A1F"/>
    <w:rsid w:val="6DC956E5"/>
    <w:rsid w:val="6E0F2E14"/>
    <w:rsid w:val="6F1E141D"/>
    <w:rsid w:val="6F5354F8"/>
    <w:rsid w:val="71DE66EF"/>
    <w:rsid w:val="727810B8"/>
    <w:rsid w:val="740A2BDE"/>
    <w:rsid w:val="751839E0"/>
    <w:rsid w:val="76274F93"/>
    <w:rsid w:val="79EB3F2F"/>
    <w:rsid w:val="79FD3C4B"/>
    <w:rsid w:val="7ACF65D8"/>
    <w:rsid w:val="7B11789E"/>
    <w:rsid w:val="7D03131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8"/>
    <w:qFormat/>
    <w:uiPriority w:val="0"/>
    <w:pPr>
      <w:ind w:left="538"/>
      <w:outlineLvl w:val="0"/>
    </w:pPr>
    <w:rPr>
      <w:b/>
      <w:bCs/>
      <w:sz w:val="28"/>
      <w:szCs w:val="28"/>
    </w:rPr>
  </w:style>
  <w:style w:type="paragraph" w:styleId="4">
    <w:name w:val="heading 2"/>
    <w:basedOn w:val="1"/>
    <w:next w:val="1"/>
    <w:link w:val="59"/>
    <w:qFormat/>
    <w:uiPriority w:val="0"/>
    <w:pPr>
      <w:ind w:left="629"/>
      <w:outlineLvl w:val="1"/>
    </w:pPr>
    <w:rPr>
      <w:b/>
      <w:bCs/>
      <w:sz w:val="24"/>
      <w:szCs w:val="24"/>
    </w:rPr>
  </w:style>
  <w:style w:type="paragraph" w:styleId="5">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69"/>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7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1"/>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2"/>
    <w:qFormat/>
    <w:uiPriority w:val="0"/>
    <w:rPr>
      <w:sz w:val="24"/>
      <w:szCs w:val="24"/>
    </w:rPr>
  </w:style>
  <w:style w:type="paragraph" w:styleId="21">
    <w:name w:val="Body Text Indent"/>
    <w:basedOn w:val="1"/>
    <w:link w:val="7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4"/>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8"/>
    <w:qFormat/>
    <w:uiPriority w:val="99"/>
    <w:pPr>
      <w:tabs>
        <w:tab w:val="center" w:pos="4153"/>
        <w:tab w:val="right" w:pos="8306"/>
      </w:tabs>
      <w:snapToGrid w:val="0"/>
    </w:pPr>
    <w:rPr>
      <w:sz w:val="18"/>
      <w:szCs w:val="18"/>
    </w:rPr>
  </w:style>
  <w:style w:type="paragraph" w:styleId="31">
    <w:name w:val="header"/>
    <w:basedOn w:val="1"/>
    <w:link w:val="7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80"/>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1"/>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5"/>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6"/>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7"/>
    <w:next w:val="17"/>
    <w:link w:val="87"/>
    <w:qFormat/>
    <w:uiPriority w:val="0"/>
    <w:pPr>
      <w:widowControl/>
    </w:pPr>
    <w:rPr>
      <w:b/>
      <w:bCs/>
      <w:sz w:val="24"/>
      <w:szCs w:val="24"/>
    </w:rPr>
  </w:style>
  <w:style w:type="paragraph" w:styleId="47">
    <w:name w:val="Body Text First Indent"/>
    <w:basedOn w:val="20"/>
    <w:link w:val="88"/>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paragraph" w:styleId="48">
    <w:name w:val="Body Text First Indent 2"/>
    <w:basedOn w:val="21"/>
    <w:next w:val="1"/>
    <w:qFormat/>
    <w:uiPriority w:val="0"/>
    <w:pPr>
      <w:ind w:firstLine="420" w:firstLineChars="200"/>
    </w:p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99"/>
    <w:rPr>
      <w:color w:val="800080"/>
      <w:u w:val="single"/>
    </w:rPr>
  </w:style>
  <w:style w:type="character" w:styleId="55">
    <w:name w:val="Emphasis"/>
    <w:basedOn w:val="51"/>
    <w:qFormat/>
    <w:uiPriority w:val="0"/>
  </w:style>
  <w:style w:type="character" w:styleId="56">
    <w:name w:val="Hyperlink"/>
    <w:basedOn w:val="51"/>
    <w:qFormat/>
    <w:uiPriority w:val="99"/>
    <w:rPr>
      <w:color w:val="0000FF" w:themeColor="hyperlink"/>
      <w:u w:val="single"/>
      <w14:textFill>
        <w14:solidFill>
          <w14:schemeClr w14:val="hlink"/>
        </w14:solidFill>
      </w14:textFill>
    </w:rPr>
  </w:style>
  <w:style w:type="character" w:styleId="57">
    <w:name w:val="annotation reference"/>
    <w:basedOn w:val="51"/>
    <w:qFormat/>
    <w:uiPriority w:val="0"/>
    <w:rPr>
      <w:sz w:val="21"/>
      <w:szCs w:val="21"/>
    </w:rPr>
  </w:style>
  <w:style w:type="character" w:customStyle="1" w:styleId="58">
    <w:name w:val="标题 1 Char"/>
    <w:basedOn w:val="51"/>
    <w:link w:val="3"/>
    <w:qFormat/>
    <w:uiPriority w:val="0"/>
    <w:rPr>
      <w:rFonts w:ascii="宋体" w:hAnsi="宋体" w:cs="宋体"/>
      <w:b/>
      <w:bCs/>
      <w:sz w:val="28"/>
      <w:szCs w:val="28"/>
      <w:lang w:eastAsia="en-US"/>
    </w:rPr>
  </w:style>
  <w:style w:type="character" w:customStyle="1" w:styleId="59">
    <w:name w:val="标题 2 Char"/>
    <w:basedOn w:val="51"/>
    <w:link w:val="4"/>
    <w:qFormat/>
    <w:uiPriority w:val="0"/>
    <w:rPr>
      <w:rFonts w:ascii="宋体" w:hAnsi="宋体" w:cs="宋体"/>
      <w:b/>
      <w:bCs/>
      <w:sz w:val="24"/>
      <w:szCs w:val="24"/>
      <w:lang w:eastAsia="en-US"/>
    </w:rPr>
  </w:style>
  <w:style w:type="character" w:customStyle="1" w:styleId="60">
    <w:name w:val="标题 3 Char"/>
    <w:basedOn w:val="51"/>
    <w:link w:val="5"/>
    <w:qFormat/>
    <w:uiPriority w:val="0"/>
    <w:rPr>
      <w:b/>
      <w:bCs/>
      <w:kern w:val="2"/>
      <w:sz w:val="32"/>
      <w:szCs w:val="32"/>
    </w:rPr>
  </w:style>
  <w:style w:type="character" w:customStyle="1" w:styleId="61">
    <w:name w:val="标题 4 Char"/>
    <w:basedOn w:val="51"/>
    <w:link w:val="6"/>
    <w:qFormat/>
    <w:uiPriority w:val="0"/>
    <w:rPr>
      <w:b/>
      <w:kern w:val="2"/>
      <w:sz w:val="24"/>
      <w:szCs w:val="24"/>
    </w:rPr>
  </w:style>
  <w:style w:type="character" w:customStyle="1" w:styleId="62">
    <w:name w:val="标题 5 Char"/>
    <w:basedOn w:val="51"/>
    <w:link w:val="7"/>
    <w:qFormat/>
    <w:uiPriority w:val="0"/>
    <w:rPr>
      <w:b/>
      <w:bCs/>
      <w:kern w:val="2"/>
      <w:sz w:val="28"/>
      <w:szCs w:val="28"/>
    </w:rPr>
  </w:style>
  <w:style w:type="character" w:customStyle="1" w:styleId="63">
    <w:name w:val="标题 6 Char"/>
    <w:basedOn w:val="51"/>
    <w:link w:val="8"/>
    <w:qFormat/>
    <w:uiPriority w:val="0"/>
    <w:rPr>
      <w:b/>
      <w:sz w:val="24"/>
    </w:rPr>
  </w:style>
  <w:style w:type="character" w:customStyle="1" w:styleId="64">
    <w:name w:val="正文缩进 Char"/>
    <w:basedOn w:val="51"/>
    <w:link w:val="10"/>
    <w:qFormat/>
    <w:uiPriority w:val="0"/>
    <w:rPr>
      <w:sz w:val="24"/>
    </w:rPr>
  </w:style>
  <w:style w:type="character" w:customStyle="1" w:styleId="65">
    <w:name w:val="标题 7 Char"/>
    <w:basedOn w:val="51"/>
    <w:link w:val="9"/>
    <w:qFormat/>
    <w:uiPriority w:val="0"/>
    <w:rPr>
      <w:b/>
      <w:kern w:val="2"/>
      <w:sz w:val="24"/>
    </w:rPr>
  </w:style>
  <w:style w:type="character" w:customStyle="1" w:styleId="66">
    <w:name w:val="标题 8 Char"/>
    <w:basedOn w:val="51"/>
    <w:link w:val="11"/>
    <w:qFormat/>
    <w:uiPriority w:val="0"/>
    <w:rPr>
      <w:rFonts w:ascii="Arial" w:hAnsi="Arial" w:eastAsia="黑体"/>
      <w:kern w:val="2"/>
      <w:sz w:val="24"/>
    </w:rPr>
  </w:style>
  <w:style w:type="character" w:customStyle="1" w:styleId="67">
    <w:name w:val="标题 9 Char"/>
    <w:basedOn w:val="51"/>
    <w:link w:val="12"/>
    <w:qFormat/>
    <w:uiPriority w:val="0"/>
    <w:rPr>
      <w:rFonts w:ascii="Arial" w:hAnsi="Arial" w:eastAsia="黑体"/>
      <w:kern w:val="2"/>
      <w:sz w:val="21"/>
    </w:rPr>
  </w:style>
  <w:style w:type="character" w:customStyle="1" w:styleId="68">
    <w:name w:val="文档结构图 Char"/>
    <w:basedOn w:val="51"/>
    <w:link w:val="16"/>
    <w:qFormat/>
    <w:uiPriority w:val="0"/>
    <w:rPr>
      <w:rFonts w:ascii="宋体"/>
      <w:sz w:val="28"/>
      <w:shd w:val="clear" w:color="auto" w:fill="000080"/>
    </w:rPr>
  </w:style>
  <w:style w:type="character" w:customStyle="1" w:styleId="69">
    <w:name w:val="批注文字 Char"/>
    <w:basedOn w:val="51"/>
    <w:link w:val="17"/>
    <w:qFormat/>
    <w:uiPriority w:val="0"/>
    <w:rPr>
      <w:kern w:val="2"/>
      <w:sz w:val="21"/>
    </w:rPr>
  </w:style>
  <w:style w:type="character" w:customStyle="1" w:styleId="70">
    <w:name w:val="正文文本 3 Char"/>
    <w:basedOn w:val="51"/>
    <w:link w:val="18"/>
    <w:qFormat/>
    <w:uiPriority w:val="0"/>
    <w:rPr>
      <w:color w:val="0000FF"/>
      <w:kern w:val="2"/>
      <w:sz w:val="24"/>
      <w:szCs w:val="24"/>
    </w:rPr>
  </w:style>
  <w:style w:type="character" w:customStyle="1" w:styleId="71">
    <w:name w:val="结束语 Char"/>
    <w:basedOn w:val="51"/>
    <w:link w:val="19"/>
    <w:qFormat/>
    <w:uiPriority w:val="99"/>
    <w:rPr>
      <w:b/>
      <w:kern w:val="2"/>
      <w:sz w:val="21"/>
    </w:rPr>
  </w:style>
  <w:style w:type="character" w:customStyle="1" w:styleId="72">
    <w:name w:val="正文文本 Char1"/>
    <w:basedOn w:val="51"/>
    <w:link w:val="20"/>
    <w:qFormat/>
    <w:uiPriority w:val="0"/>
    <w:rPr>
      <w:rFonts w:ascii="宋体" w:hAnsi="宋体" w:cs="宋体"/>
      <w:sz w:val="24"/>
      <w:szCs w:val="24"/>
      <w:lang w:eastAsia="en-US"/>
    </w:rPr>
  </w:style>
  <w:style w:type="character" w:customStyle="1" w:styleId="73">
    <w:name w:val="正文文本缩进 Char"/>
    <w:basedOn w:val="51"/>
    <w:link w:val="21"/>
    <w:qFormat/>
    <w:uiPriority w:val="0"/>
    <w:rPr>
      <w:i/>
      <w:iCs/>
      <w:kern w:val="2"/>
      <w:sz w:val="21"/>
    </w:rPr>
  </w:style>
  <w:style w:type="character" w:customStyle="1" w:styleId="74">
    <w:name w:val="纯文本 Char"/>
    <w:basedOn w:val="51"/>
    <w:link w:val="25"/>
    <w:qFormat/>
    <w:uiPriority w:val="99"/>
    <w:rPr>
      <w:rFonts w:ascii="宋体" w:hAnsi="Courier New" w:cs="Courier New"/>
      <w:sz w:val="22"/>
      <w:szCs w:val="21"/>
      <w:lang w:eastAsia="en-US"/>
    </w:rPr>
  </w:style>
  <w:style w:type="character" w:customStyle="1" w:styleId="75">
    <w:name w:val="日期 Char"/>
    <w:basedOn w:val="51"/>
    <w:link w:val="27"/>
    <w:qFormat/>
    <w:uiPriority w:val="0"/>
    <w:rPr>
      <w:kern w:val="2"/>
      <w:sz w:val="21"/>
      <w:szCs w:val="24"/>
    </w:rPr>
  </w:style>
  <w:style w:type="character" w:customStyle="1" w:styleId="76">
    <w:name w:val="正文文本缩进 2 Char"/>
    <w:basedOn w:val="51"/>
    <w:link w:val="28"/>
    <w:qFormat/>
    <w:uiPriority w:val="0"/>
    <w:rPr>
      <w:rFonts w:ascii="宋体" w:hAnsi="宋体"/>
      <w:iCs/>
      <w:kern w:val="2"/>
      <w:sz w:val="24"/>
      <w:szCs w:val="24"/>
    </w:rPr>
  </w:style>
  <w:style w:type="character" w:customStyle="1" w:styleId="77">
    <w:name w:val="批注框文本 Char"/>
    <w:basedOn w:val="51"/>
    <w:link w:val="29"/>
    <w:qFormat/>
    <w:uiPriority w:val="0"/>
    <w:rPr>
      <w:kern w:val="2"/>
      <w:sz w:val="18"/>
      <w:szCs w:val="18"/>
    </w:rPr>
  </w:style>
  <w:style w:type="character" w:customStyle="1" w:styleId="78">
    <w:name w:val="页脚 Char"/>
    <w:basedOn w:val="51"/>
    <w:link w:val="30"/>
    <w:qFormat/>
    <w:uiPriority w:val="99"/>
    <w:rPr>
      <w:rFonts w:ascii="宋体" w:hAnsi="宋体" w:cs="宋体"/>
      <w:sz w:val="18"/>
      <w:szCs w:val="18"/>
      <w:lang w:eastAsia="en-US"/>
    </w:rPr>
  </w:style>
  <w:style w:type="character" w:customStyle="1" w:styleId="79">
    <w:name w:val="页眉 Char"/>
    <w:basedOn w:val="51"/>
    <w:link w:val="31"/>
    <w:qFormat/>
    <w:uiPriority w:val="0"/>
    <w:rPr>
      <w:rFonts w:ascii="宋体" w:hAnsi="宋体" w:cs="宋体"/>
      <w:sz w:val="18"/>
      <w:szCs w:val="22"/>
      <w:lang w:eastAsia="en-US"/>
    </w:rPr>
  </w:style>
  <w:style w:type="character" w:customStyle="1" w:styleId="80">
    <w:name w:val="副标题 Char"/>
    <w:link w:val="34"/>
    <w:qFormat/>
    <w:uiPriority w:val="0"/>
    <w:rPr>
      <w:rFonts w:ascii="Cambria" w:hAnsi="Cambria"/>
      <w:b/>
      <w:bCs/>
      <w:kern w:val="28"/>
      <w:sz w:val="24"/>
      <w:szCs w:val="32"/>
    </w:rPr>
  </w:style>
  <w:style w:type="character" w:customStyle="1" w:styleId="81">
    <w:name w:val="正文文本缩进 3 Char"/>
    <w:basedOn w:val="51"/>
    <w:link w:val="37"/>
    <w:qFormat/>
    <w:uiPriority w:val="0"/>
    <w:rPr>
      <w:kern w:val="2"/>
      <w:sz w:val="28"/>
    </w:rPr>
  </w:style>
  <w:style w:type="character" w:customStyle="1" w:styleId="82">
    <w:name w:val="正文文本 2 Char"/>
    <w:basedOn w:val="51"/>
    <w:link w:val="40"/>
    <w:qFormat/>
    <w:uiPriority w:val="0"/>
    <w:rPr>
      <w:kern w:val="2"/>
      <w:sz w:val="21"/>
      <w:szCs w:val="24"/>
    </w:rPr>
  </w:style>
  <w:style w:type="character" w:customStyle="1" w:styleId="83">
    <w:name w:val="信息标题 Char"/>
    <w:basedOn w:val="51"/>
    <w:link w:val="41"/>
    <w:qFormat/>
    <w:uiPriority w:val="0"/>
    <w:rPr>
      <w:rFonts w:ascii="Arial" w:hAnsi="Arial" w:cs="Arial"/>
      <w:kern w:val="2"/>
      <w:sz w:val="24"/>
      <w:szCs w:val="24"/>
      <w:shd w:val="pct20" w:color="auto" w:fill="auto"/>
    </w:rPr>
  </w:style>
  <w:style w:type="character" w:customStyle="1" w:styleId="84">
    <w:name w:val="HTML 预设格式 Char"/>
    <w:basedOn w:val="51"/>
    <w:link w:val="42"/>
    <w:qFormat/>
    <w:uiPriority w:val="0"/>
    <w:rPr>
      <w:rFonts w:ascii="Arial Unicode MS" w:hAnsi="Arial Unicode MS" w:eastAsia="Courier New" w:cs="Courier New"/>
    </w:rPr>
  </w:style>
  <w:style w:type="character" w:customStyle="1" w:styleId="85">
    <w:name w:val="普通(网站) Char"/>
    <w:basedOn w:val="51"/>
    <w:link w:val="43"/>
    <w:qFormat/>
    <w:locked/>
    <w:uiPriority w:val="0"/>
    <w:rPr>
      <w:rFonts w:ascii="宋体" w:hAnsi="宋体" w:cs="宋体"/>
      <w:sz w:val="24"/>
      <w:szCs w:val="24"/>
    </w:rPr>
  </w:style>
  <w:style w:type="character" w:customStyle="1" w:styleId="86">
    <w:name w:val="标题 Char"/>
    <w:basedOn w:val="51"/>
    <w:link w:val="45"/>
    <w:qFormat/>
    <w:uiPriority w:val="0"/>
    <w:rPr>
      <w:rFonts w:ascii="Arial" w:hAnsi="Arial" w:cs="Arial"/>
      <w:b/>
      <w:bCs/>
      <w:sz w:val="44"/>
      <w:szCs w:val="32"/>
    </w:rPr>
  </w:style>
  <w:style w:type="character" w:customStyle="1" w:styleId="87">
    <w:name w:val="批注主题 Char"/>
    <w:basedOn w:val="69"/>
    <w:link w:val="46"/>
    <w:qFormat/>
    <w:uiPriority w:val="0"/>
    <w:rPr>
      <w:b/>
      <w:bCs/>
      <w:kern w:val="2"/>
      <w:sz w:val="24"/>
      <w:szCs w:val="24"/>
    </w:rPr>
  </w:style>
  <w:style w:type="character" w:customStyle="1" w:styleId="88">
    <w:name w:val="正文首行缩进 Char"/>
    <w:basedOn w:val="89"/>
    <w:link w:val="47"/>
    <w:qFormat/>
    <w:uiPriority w:val="0"/>
    <w:rPr>
      <w:rFonts w:eastAsia="宋体"/>
      <w:sz w:val="21"/>
      <w:szCs w:val="21"/>
      <w:lang w:val="en-US" w:eastAsia="zh-CN" w:bidi="ar-SA"/>
    </w:rPr>
  </w:style>
  <w:style w:type="character" w:customStyle="1" w:styleId="89">
    <w:name w:val="正文文本 Char"/>
    <w:basedOn w:val="51"/>
    <w:qFormat/>
    <w:uiPriority w:val="0"/>
    <w:rPr>
      <w:rFonts w:eastAsia="宋体"/>
      <w:sz w:val="24"/>
      <w:szCs w:val="24"/>
      <w:lang w:val="en-US" w:eastAsia="zh-CN" w:bidi="ar-SA"/>
    </w:rPr>
  </w:style>
  <w:style w:type="table" w:customStyle="1" w:styleId="90">
    <w:name w:val="Table Normal"/>
    <w:semiHidden/>
    <w:unhideWhenUsed/>
    <w:qFormat/>
    <w:uiPriority w:val="2"/>
    <w:tblPr>
      <w:tblCellMar>
        <w:top w:w="0" w:type="dxa"/>
        <w:left w:w="0" w:type="dxa"/>
        <w:bottom w:w="0" w:type="dxa"/>
        <w:right w:w="0" w:type="dxa"/>
      </w:tblCellMar>
    </w:tblPr>
  </w:style>
  <w:style w:type="paragraph" w:styleId="91">
    <w:name w:val="List Paragraph"/>
    <w:basedOn w:val="1"/>
    <w:link w:val="92"/>
    <w:qFormat/>
    <w:uiPriority w:val="34"/>
    <w:pPr>
      <w:spacing w:before="206"/>
      <w:ind w:left="959" w:hanging="361"/>
    </w:pPr>
  </w:style>
  <w:style w:type="character" w:customStyle="1" w:styleId="92">
    <w:name w:val="列出段落 Char"/>
    <w:link w:val="91"/>
    <w:qFormat/>
    <w:uiPriority w:val="0"/>
    <w:rPr>
      <w:rFonts w:ascii="宋体" w:hAnsi="宋体" w:cs="宋体"/>
      <w:sz w:val="22"/>
      <w:szCs w:val="22"/>
      <w:lang w:eastAsia="en-US"/>
    </w:rPr>
  </w:style>
  <w:style w:type="paragraph" w:customStyle="1" w:styleId="93">
    <w:name w:val="Table Paragraph"/>
    <w:basedOn w:val="1"/>
    <w:qFormat/>
    <w:uiPriority w:val="1"/>
  </w:style>
  <w:style w:type="paragraph" w:customStyle="1" w:styleId="9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7">
    <w:name w:val="xdrichtextbox2"/>
    <w:basedOn w:val="51"/>
    <w:qFormat/>
    <w:uiPriority w:val="0"/>
    <w:rPr>
      <w:color w:val="0000FF"/>
      <w:sz w:val="18"/>
      <w:szCs w:val="18"/>
      <w:u w:val="none"/>
      <w:bdr w:val="single" w:color="DCDCDC" w:sz="8" w:space="0"/>
      <w:shd w:val="clear" w:color="auto" w:fill="FFFFFF"/>
    </w:rPr>
  </w:style>
  <w:style w:type="character" w:customStyle="1" w:styleId="98">
    <w:name w:val="apple-converted-space"/>
    <w:basedOn w:val="51"/>
    <w:qFormat/>
    <w:uiPriority w:val="0"/>
  </w:style>
  <w:style w:type="character" w:customStyle="1" w:styleId="99">
    <w:name w:val="无间隔 Char"/>
    <w:basedOn w:val="51"/>
    <w:link w:val="100"/>
    <w:qFormat/>
    <w:uiPriority w:val="0"/>
    <w:rPr>
      <w:rFonts w:ascii="Calibri" w:hAnsi="Calibri"/>
      <w:sz w:val="22"/>
      <w:szCs w:val="22"/>
    </w:rPr>
  </w:style>
  <w:style w:type="paragraph" w:styleId="100">
    <w:name w:val="No Spacing"/>
    <w:link w:val="99"/>
    <w:qFormat/>
    <w:uiPriority w:val="0"/>
    <w:rPr>
      <w:rFonts w:ascii="Calibri" w:hAnsi="Calibri" w:eastAsia="宋体" w:cs="Times New Roman"/>
      <w:sz w:val="22"/>
      <w:szCs w:val="22"/>
      <w:lang w:val="en-US" w:eastAsia="zh-CN" w:bidi="ar-SA"/>
    </w:rPr>
  </w:style>
  <w:style w:type="character" w:customStyle="1" w:styleId="101">
    <w:name w:val="en1"/>
    <w:basedOn w:val="51"/>
    <w:qFormat/>
    <w:uiPriority w:val="0"/>
    <w:rPr>
      <w:b/>
      <w:bCs/>
      <w:color w:val="154C7F"/>
      <w:sz w:val="24"/>
      <w:szCs w:val="24"/>
    </w:rPr>
  </w:style>
  <w:style w:type="character" w:customStyle="1" w:styleId="102">
    <w:name w:val="font01"/>
    <w:basedOn w:val="51"/>
    <w:qFormat/>
    <w:uiPriority w:val="0"/>
    <w:rPr>
      <w:rFonts w:hint="eastAsia" w:ascii="宋体" w:hAnsi="宋体" w:eastAsia="宋体" w:cs="宋体"/>
      <w:color w:val="000000"/>
      <w:sz w:val="20"/>
      <w:szCs w:val="20"/>
      <w:u w:val="none"/>
    </w:rPr>
  </w:style>
  <w:style w:type="character" w:customStyle="1" w:styleId="103">
    <w:name w:val="font11"/>
    <w:basedOn w:val="51"/>
    <w:qFormat/>
    <w:uiPriority w:val="0"/>
    <w:rPr>
      <w:rFonts w:hint="default" w:ascii="Times New Roman" w:hAnsi="Times New Roman" w:cs="Times New Roman"/>
      <w:color w:val="000000"/>
      <w:sz w:val="20"/>
      <w:szCs w:val="20"/>
      <w:u w:val="none"/>
    </w:rPr>
  </w:style>
  <w:style w:type="character" w:customStyle="1" w:styleId="104">
    <w:name w:val="glossaryitem"/>
    <w:basedOn w:val="51"/>
    <w:qFormat/>
    <w:uiPriority w:val="0"/>
    <w:rPr>
      <w:u w:val="none"/>
    </w:rPr>
  </w:style>
  <w:style w:type="paragraph" w:customStyle="1" w:styleId="105">
    <w:name w:val="标题3(小3号)"/>
    <w:basedOn w:val="5"/>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2"/>
    <w:qFormat/>
    <w:uiPriority w:val="0"/>
    <w:rPr>
      <w:rFonts w:ascii="宋体" w:hAnsi="宋体" w:cs="宋体"/>
      <w:sz w:val="24"/>
      <w:szCs w:val="24"/>
      <w:lang w:eastAsia="en-US"/>
    </w:rPr>
  </w:style>
  <w:style w:type="character" w:customStyle="1" w:styleId="108">
    <w:name w:val="正文文本 3 Char1"/>
    <w:basedOn w:val="51"/>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51"/>
    <w:qFormat/>
    <w:uiPriority w:val="0"/>
    <w:rPr>
      <w:rFonts w:ascii="宋体" w:hAnsi="宋体" w:cs="宋体"/>
      <w:sz w:val="22"/>
      <w:szCs w:val="22"/>
      <w:lang w:eastAsia="en-US"/>
    </w:rPr>
  </w:style>
  <w:style w:type="character" w:customStyle="1" w:styleId="112">
    <w:name w:val="批注文字 Char1"/>
    <w:basedOn w:val="51"/>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51"/>
    <w:qFormat/>
    <w:uiPriority w:val="0"/>
    <w:rPr>
      <w:rFonts w:ascii="宋体" w:hAnsi="宋体" w:cs="宋体"/>
      <w:sz w:val="18"/>
      <w:szCs w:val="18"/>
      <w:lang w:eastAsia="en-US"/>
    </w:rPr>
  </w:style>
  <w:style w:type="character" w:customStyle="1" w:styleId="117">
    <w:name w:val="日期 Char1"/>
    <w:basedOn w:val="51"/>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51"/>
    <w:qFormat/>
    <w:uiPriority w:val="0"/>
    <w:rPr>
      <w:rFonts w:ascii="Courier New" w:hAnsi="Courier New" w:cs="Courier New"/>
      <w:lang w:eastAsia="en-US"/>
    </w:rPr>
  </w:style>
  <w:style w:type="character" w:customStyle="1" w:styleId="122">
    <w:name w:val="正文文本缩进 Char1"/>
    <w:basedOn w:val="51"/>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51"/>
    <w:qFormat/>
    <w:uiPriority w:val="0"/>
    <w:rPr>
      <w:rFonts w:ascii="宋体" w:hAnsi="宋体" w:cs="宋体"/>
      <w:sz w:val="22"/>
      <w:szCs w:val="22"/>
      <w:lang w:eastAsia="en-US"/>
    </w:rPr>
  </w:style>
  <w:style w:type="character" w:customStyle="1" w:styleId="130">
    <w:name w:val="标题 Char1"/>
    <w:basedOn w:val="51"/>
    <w:qFormat/>
    <w:uiPriority w:val="0"/>
    <w:rPr>
      <w:rFonts w:asciiTheme="majorHAnsi" w:hAnsiTheme="majorHAnsi" w:cstheme="majorBidi"/>
      <w:b/>
      <w:bCs/>
      <w:sz w:val="32"/>
      <w:szCs w:val="32"/>
      <w:lang w:eastAsia="en-US"/>
    </w:rPr>
  </w:style>
  <w:style w:type="character" w:customStyle="1" w:styleId="131">
    <w:name w:val="正文文本缩进 3 Char1"/>
    <w:basedOn w:val="51"/>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51"/>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51"/>
    <w:qFormat/>
    <w:uiPriority w:val="0"/>
  </w:style>
  <w:style w:type="character" w:customStyle="1" w:styleId="208">
    <w:name w:val="xdrichtextbox3"/>
    <w:basedOn w:val="51"/>
    <w:qFormat/>
    <w:uiPriority w:val="0"/>
    <w:rPr>
      <w:color w:val="auto"/>
      <w:u w:val="none"/>
      <w:bdr w:val="single" w:color="DCDCDC" w:sz="8" w:space="0"/>
      <w:shd w:val="clear" w:color="auto" w:fill="FFFFFF"/>
    </w:rPr>
  </w:style>
  <w:style w:type="paragraph" w:customStyle="1" w:styleId="209">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10">
    <w:name w:val="副标题 Char1"/>
    <w:basedOn w:val="51"/>
    <w:qFormat/>
    <w:uiPriority w:val="0"/>
    <w:rPr>
      <w:rFonts w:asciiTheme="majorHAnsi" w:hAnsiTheme="majorHAnsi" w:cstheme="majorBidi"/>
      <w:b/>
      <w:bCs/>
      <w:kern w:val="28"/>
      <w:sz w:val="32"/>
      <w:szCs w:val="32"/>
      <w:lang w:eastAsia="en-US"/>
    </w:rPr>
  </w:style>
  <w:style w:type="paragraph" w:customStyle="1" w:styleId="211">
    <w:name w:val="CM7"/>
    <w:basedOn w:val="95"/>
    <w:next w:val="95"/>
    <w:unhideWhenUsed/>
    <w:qFormat/>
    <w:uiPriority w:val="99"/>
    <w:pPr>
      <w:spacing w:after="320"/>
    </w:pPr>
  </w:style>
  <w:style w:type="paragraph" w:customStyle="1" w:styleId="212">
    <w:name w:val="WPS Plain"/>
    <w:qFormat/>
    <w:uiPriority w:val="0"/>
    <w:rPr>
      <w:rFonts w:ascii="Times New Roman" w:hAnsi="Times New Roman" w:eastAsia="宋体" w:cs="Times New Roman"/>
      <w:lang w:val="en-US" w:eastAsia="zh-CN" w:bidi="ar-SA"/>
    </w:rPr>
  </w:style>
  <w:style w:type="paragraph" w:customStyle="1" w:styleId="213">
    <w:name w:val="Bg"/>
    <w:basedOn w:val="1"/>
    <w:qFormat/>
    <w:uiPriority w:val="0"/>
    <w:pPr>
      <w:topLinePunct/>
      <w:snapToGrid w:val="0"/>
      <w:spacing w:before="60" w:after="60"/>
      <w:jc w:val="center"/>
    </w:pPr>
    <w:rPr>
      <w:kern w:val="2"/>
      <w:sz w:val="18"/>
    </w:rPr>
  </w:style>
  <w:style w:type="paragraph" w:customStyle="1" w:styleId="214">
    <w:name w:val="正文格式"/>
    <w:basedOn w:val="1"/>
    <w:qFormat/>
    <w:uiPriority w:val="0"/>
    <w:pPr>
      <w:topLinePunct/>
      <w:ind w:firstLine="420" w:firstLineChars="200"/>
    </w:pPr>
    <w:rPr>
      <w:kern w:val="2"/>
      <w:sz w:val="21"/>
    </w:rPr>
  </w:style>
  <w:style w:type="paragraph" w:customStyle="1" w:styleId="215">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6">
    <w:name w:val="特点 Char"/>
    <w:qFormat/>
    <w:locked/>
    <w:uiPriority w:val="0"/>
    <w:rPr>
      <w:rFonts w:eastAsia="宋体"/>
      <w:kern w:val="2"/>
      <w:sz w:val="21"/>
      <w:lang w:val="en-US" w:eastAsia="zh-CN" w:bidi="ar-SA"/>
    </w:rPr>
  </w:style>
  <w:style w:type="character" w:customStyle="1" w:styleId="217">
    <w:name w:val="纯文本 Char1"/>
    <w:qFormat/>
    <w:uiPriority w:val="0"/>
    <w:rPr>
      <w:rFonts w:ascii="宋体" w:hAnsi="Courier New" w:eastAsia="宋体" w:cs="Courier New"/>
      <w:kern w:val="0"/>
      <w:sz w:val="22"/>
      <w:szCs w:val="21"/>
      <w:lang w:eastAsia="en-US"/>
    </w:rPr>
  </w:style>
  <w:style w:type="paragraph" w:customStyle="1" w:styleId="21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20">
    <w:name w:val="Book Title"/>
    <w:basedOn w:val="51"/>
    <w:qFormat/>
    <w:uiPriority w:val="33"/>
    <w:rPr>
      <w:b/>
      <w:bCs/>
      <w:smallCaps/>
      <w:spacing w:val="5"/>
    </w:rPr>
  </w:style>
  <w:style w:type="paragraph" w:customStyle="1" w:styleId="221">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2">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3">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4">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5">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6">
    <w:name w:val="font21"/>
    <w:qFormat/>
    <w:uiPriority w:val="0"/>
    <w:rPr>
      <w:rFonts w:hint="eastAsia" w:ascii="宋体" w:hAnsi="宋体" w:eastAsia="宋体" w:cs="宋体"/>
      <w:color w:val="000000"/>
      <w:sz w:val="20"/>
      <w:szCs w:val="20"/>
      <w:u w:val="none"/>
    </w:rPr>
  </w:style>
  <w:style w:type="character" w:customStyle="1" w:styleId="227">
    <w:name w:val="普通文字 Char2"/>
    <w:basedOn w:val="51"/>
    <w:qFormat/>
    <w:uiPriority w:val="99"/>
    <w:rPr>
      <w:rFonts w:ascii="宋体" w:hAnsi="Courier New" w:cs="Courier New"/>
      <w:sz w:val="22"/>
      <w:szCs w:val="21"/>
      <w:lang w:eastAsia="en-US"/>
    </w:rPr>
  </w:style>
  <w:style w:type="paragraph" w:customStyle="1" w:styleId="228">
    <w:name w:val="样式"/>
    <w:qFormat/>
    <w:uiPriority w:val="0"/>
    <w:pPr>
      <w:widowControl w:val="0"/>
      <w:autoSpaceDE w:val="0"/>
      <w:autoSpaceDN w:val="0"/>
      <w:adjustRightInd w:val="0"/>
    </w:pPr>
    <w:rPr>
      <w:rFonts w:ascii="宋体" w:eastAsia="宋体" w:cs="宋体" w:hAnsiTheme="minorHAnsi"/>
      <w:sz w:val="24"/>
      <w:szCs w:val="24"/>
      <w:lang w:val="en-US" w:eastAsia="zh-CN" w:bidi="ar-SA"/>
    </w:rPr>
  </w:style>
  <w:style w:type="paragraph" w:customStyle="1" w:styleId="229">
    <w:name w:val="表的标题"/>
    <w:basedOn w:val="1"/>
    <w:next w:val="230"/>
    <w:qFormat/>
    <w:uiPriority w:val="0"/>
    <w:pPr>
      <w:adjustRightInd w:val="0"/>
      <w:snapToGrid w:val="0"/>
      <w:jc w:val="center"/>
    </w:pPr>
    <w:rPr>
      <w:rFonts w:ascii="Arial" w:hAnsi="Arial"/>
      <w:sz w:val="24"/>
      <w:szCs w:val="20"/>
    </w:rPr>
  </w:style>
  <w:style w:type="paragraph" w:customStyle="1" w:styleId="23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3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4B9FD-8EA2-48D1-B2E4-128E945954F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34</Pages>
  <Words>13124</Words>
  <Characters>14148</Characters>
  <Lines>277</Lines>
  <Paragraphs>78</Paragraphs>
  <TotalTime>8</TotalTime>
  <ScaleCrop>false</ScaleCrop>
  <LinksUpToDate>false</LinksUpToDate>
  <CharactersWithSpaces>14936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2023-05-17T08:00:35Z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61B176F126E849A2BD6ADF8BE56011B3</vt:lpwstr>
  </property>
</Properties>
</file>