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辐射剂量报警仪（1台）</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lang w:val="en-US" w:eastAsia="zh-CN"/>
        </w:rPr>
        <w:t>FHC-PTCG20230317002</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三</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辐射剂量报警仪（1台）</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FHC-PTCG20230317002</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辐射剂量报警仪（1台）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根据海关总署关于印发《海关核辐射监测工作规程》的通知（署监发【2018】234号文件），海关人员进入有辐射的监管场所时，工作人员均需佩带辐射剂量报警仪，我司煤炭进口时，煤炭属于有辐射的货物，海关工作人员必须开展核辐射监测工作，同时海关工作人员进入煤炭监管场所进行核辐射监测工作时至少两个人，目前我司仅配备一台辐射剂量报警仪（型号RG1000（参见附件图片）可符合海关工作要求，海关建议购买同一型号，同时生产日期尽量近期的，至少不要超过半年的），故急需至少再配备一台辐射剂量报警仪，以便满足后续进口煤炭的接卸及通关等相关工作。</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3</w:t>
      </w:r>
      <w:r>
        <w:rPr>
          <w:rFonts w:hint="eastAsia"/>
          <w:sz w:val="24"/>
          <w:szCs w:val="24"/>
          <w:lang w:eastAsia="zh-CN"/>
        </w:rPr>
        <w:t>000元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bookmarkStart w:id="9" w:name="_GoBack"/>
      <w:bookmarkEnd w:id="9"/>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val="en-US" w:eastAsia="zh-CN"/>
        </w:rPr>
        <w:t>zyhe</w:t>
      </w:r>
      <w:r>
        <w:rPr>
          <w:rStyle w:val="34"/>
          <w:rFonts w:hint="eastAsia" w:asciiTheme="majorEastAsia" w:hAnsiTheme="majorEastAsia" w:eastAsiaTheme="majorEastAsia"/>
          <w:sz w:val="24"/>
          <w:szCs w:val="24"/>
          <w:lang w:eastAsia="zh-CN"/>
        </w:rPr>
        <w:t>@f</w:t>
      </w:r>
      <w:r>
        <w:rPr>
          <w:rStyle w:val="34"/>
          <w:rFonts w:hint="eastAsia" w:asciiTheme="majorEastAsia" w:hAnsiTheme="majorEastAsia" w:eastAsiaTheme="majorEastAsia"/>
          <w:sz w:val="24"/>
          <w:szCs w:val="24"/>
          <w:lang w:val="en-US" w:eastAsia="zh-CN"/>
        </w:rPr>
        <w:t>j</w:t>
      </w:r>
      <w:r>
        <w:rPr>
          <w:rStyle w:val="34"/>
          <w:rFonts w:hint="eastAsia" w:asciiTheme="majorEastAsia" w:hAnsiTheme="majorEastAsia" w:eastAsiaTheme="majorEastAsia"/>
          <w:sz w:val="24"/>
          <w:szCs w:val="24"/>
          <w:lang w:eastAsia="zh-CN"/>
        </w:rPr>
        <w:t>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22</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辐射剂量报警仪（1台）</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hint="eastAsia"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1台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辐射剂量报警仪（1台）</w:t>
      </w:r>
      <w:r>
        <w:rPr>
          <w:rFonts w:hint="eastAsia" w:asciiTheme="majorEastAsia" w:hAnsiTheme="majorEastAsia" w:eastAsiaTheme="majorEastAsia"/>
          <w:snapToGrid w:val="0"/>
          <w:spacing w:val="8"/>
          <w:sz w:val="24"/>
          <w:szCs w:val="24"/>
          <w:u w:val="single"/>
          <w:lang w:eastAsia="zh-CN"/>
        </w:rPr>
        <w:t>采购</w:t>
      </w:r>
    </w:p>
    <w:p>
      <w:pPr>
        <w:pStyle w:val="4"/>
        <w:spacing w:line="360" w:lineRule="auto"/>
        <w:ind w:left="721" w:leftChars="218" w:hanging="241"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lang w:val="en-US" w:eastAsia="zh-CN"/>
        </w:rPr>
        <w:t>根据海关总署关于印发《海关核辐射监测工作规程》的通知（署监发【2018】234号文件），海关人员进入有辐射的监管场所时，工作人员均需佩带辐射剂量报警仪，我司煤炭进口时，煤炭属于有辐射的货物，海关工作人员必须开展核辐射监测工作，同时海关工作人员进入煤炭监管场所进行核辐射监测工作时至少两个人，目前我司仅配备一台辐射剂量报警仪（型号为RG1000（参见附件图片）可符合海关工作要求，海关建议购买同一型号，同时生产日期尽量近期的，至少不要超过半年的），故急需至少再配备一台辐射剂量报警仪，以便满足后续进口煤炭的接卸及通关等相关工作。</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z w:val="24"/>
          <w:szCs w:val="24"/>
          <w:lang w:val="en-US" w:eastAsia="zh-CN"/>
        </w:rPr>
        <w:t>本</w:t>
      </w:r>
      <w:r>
        <w:rPr>
          <w:rFonts w:hint="eastAsia" w:asciiTheme="majorEastAsia" w:hAnsiTheme="majorEastAsia" w:eastAsiaTheme="majorEastAsia"/>
          <w:sz w:val="24"/>
          <w:szCs w:val="24"/>
          <w:lang w:eastAsia="zh-CN"/>
        </w:rPr>
        <w:t>仪器须符合</w:t>
      </w:r>
      <w:r>
        <w:rPr>
          <w:rFonts w:hint="eastAsia" w:asciiTheme="majorEastAsia" w:hAnsiTheme="majorEastAsia" w:eastAsiaTheme="majorEastAsia" w:cstheme="minorEastAsia"/>
          <w:kern w:val="59"/>
          <w:sz w:val="24"/>
          <w:szCs w:val="24"/>
          <w:lang w:val="en-US" w:eastAsia="zh-CN"/>
        </w:rPr>
        <w:t>国家验收标准。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4"/>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陈加成</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电话：18959696678</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3</w:t>
      </w:r>
      <w:r>
        <w:rPr>
          <w:rFonts w:hint="eastAsia" w:asciiTheme="majorEastAsia" w:hAnsiTheme="majorEastAsia" w:eastAsiaTheme="majorEastAsia"/>
          <w:b/>
          <w:bCs w:val="0"/>
          <w:sz w:val="24"/>
          <w:szCs w:val="24"/>
          <w:lang w:eastAsia="zh-CN"/>
        </w:rPr>
        <w:t>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430489126"/>
      <w:bookmarkStart w:id="2" w:name="_Toc415567504"/>
      <w:bookmarkStart w:id="3" w:name="_Toc430488651"/>
      <w:bookmarkStart w:id="4" w:name="_Toc177186249"/>
      <w:bookmarkStart w:id="5" w:name="_Toc430422420"/>
      <w:bookmarkStart w:id="6" w:name="_Toc430492133"/>
      <w:bookmarkStart w:id="7" w:name="_Toc304357904"/>
      <w:bookmarkStart w:id="8" w:name="_Toc430488858"/>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3</w:t>
      </w:r>
      <w:r>
        <w:rPr>
          <w:rFonts w:hint="eastAsia"/>
          <w:b/>
          <w:bCs/>
          <w:lang w:eastAsia="zh-CN"/>
        </w:rPr>
        <w:t>0</w:t>
      </w:r>
      <w:r>
        <w:rPr>
          <w:rFonts w:hint="eastAsia"/>
          <w:b/>
          <w:lang w:eastAsia="zh-CN"/>
        </w:rPr>
        <w:t>00元（含税价）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w:t>
      </w:r>
      <w:r>
        <w:rPr>
          <w:rStyle w:val="28"/>
          <w:rFonts w:hint="eastAsia"/>
          <w:sz w:val="24"/>
          <w:szCs w:val="24"/>
          <w:lang w:val="en-US" w:eastAsia="zh-CN"/>
        </w:rPr>
        <w:t>翔鹭码头</w:t>
      </w:r>
      <w:r>
        <w:rPr>
          <w:rStyle w:val="28"/>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辐射剂量报警仪（1台）</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辐射剂量报警仪（1台）</w:t>
      </w:r>
      <w:r>
        <w:rPr>
          <w:rFonts w:hint="eastAsia"/>
          <w:b/>
          <w:sz w:val="28"/>
          <w:szCs w:val="28"/>
        </w:rPr>
        <w:t>采购合同</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eastAsia="zh-CN"/>
              </w:rPr>
              <w:t>翔鹭码头</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5"/>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1150"/>
        <w:gridCol w:w="1050"/>
        <w:gridCol w:w="825"/>
        <w:gridCol w:w="1313"/>
        <w:gridCol w:w="1000"/>
        <w:gridCol w:w="114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辐射剂量报警仪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RG1000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sz w:val="24"/>
          <w:u w:val="single"/>
          <w:lang w:eastAsia="zh-CN"/>
        </w:rPr>
      </w:pPr>
      <w:r>
        <w:rPr>
          <w:rFonts w:hint="eastAsia"/>
          <w:sz w:val="24"/>
        </w:rPr>
        <w:t>2.2交货地点：运送到</w:t>
      </w:r>
      <w:r>
        <w:rPr>
          <w:sz w:val="24"/>
          <w:u w:val="single"/>
        </w:rPr>
        <w:t xml:space="preserve">  </w:t>
      </w:r>
      <w:r>
        <w:rPr>
          <w:rFonts w:hint="eastAsia"/>
          <w:sz w:val="24"/>
          <w:u w:val="single"/>
          <w:lang w:val="en-US" w:eastAsia="zh-CN"/>
        </w:rPr>
        <w:t>福建漳州古雷经济开发区腾龙路86号翔鹭码头；收货单位：福建福海创石油化工有限公司(翔鹭码头）：李木全，158 8095 2839  （厂内）</w:t>
      </w:r>
      <w:r>
        <w:rPr>
          <w:rFonts w:hint="eastAsia"/>
          <w:sz w:val="24"/>
          <w:u w:val="single"/>
          <w:lang w:eastAsia="zh-CN"/>
        </w:rPr>
        <w:t xml:space="preserve">  。</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4"/>
        <w:widowControl w:val="0"/>
        <w:numPr>
          <w:ilvl w:val="0"/>
          <w:numId w:val="0"/>
        </w:numPr>
        <w:autoSpaceDE/>
        <w:autoSpaceDN/>
        <w:jc w:val="both"/>
      </w:pPr>
    </w:p>
    <w:p/>
    <w:p/>
    <w:p>
      <w:pPr>
        <w:pStyle w:val="24"/>
      </w:pPr>
    </w:p>
    <w:tbl>
      <w:tblPr>
        <w:tblStyle w:val="2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甲方：翔鹭码头投资管理（漳州）有限公司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联系地址：福建省漳州古雷经济开发区腾龙路86号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电话：0596-6310074</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开户银行：中国银行漳浦支行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账号：423467650735</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91350623098275001C</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2"/>
        <w:rPr>
          <w:b/>
          <w:sz w:val="28"/>
          <w:szCs w:val="28"/>
        </w:rPr>
      </w:pPr>
    </w:p>
    <w:p>
      <w:pPr>
        <w:pStyle w:val="2"/>
        <w:rPr>
          <w:rFonts w:hint="eastAsia"/>
          <w:b/>
          <w:sz w:val="28"/>
          <w:szCs w:val="28"/>
        </w:rPr>
      </w:pPr>
      <w:r>
        <w:rPr>
          <w:rFonts w:hint="eastAsia"/>
          <w:b/>
          <w:sz w:val="28"/>
          <w:szCs w:val="28"/>
        </w:rPr>
        <w:t>附件</w:t>
      </w:r>
      <w:r>
        <w:rPr>
          <w:rFonts w:hint="eastAsia"/>
          <w:b/>
          <w:sz w:val="28"/>
          <w:szCs w:val="28"/>
          <w:lang w:val="en-US" w:eastAsia="zh-CN"/>
        </w:rPr>
        <w:t>1</w:t>
      </w:r>
      <w:r>
        <w:rPr>
          <w:rFonts w:hint="eastAsia"/>
          <w:b/>
          <w:sz w:val="28"/>
          <w:szCs w:val="28"/>
        </w:rPr>
        <w:t>：</w:t>
      </w:r>
    </w:p>
    <w:p>
      <w:pPr>
        <w:pStyle w:val="2"/>
        <w:rPr>
          <w:rFonts w:hint="eastAsia"/>
          <w:b/>
          <w:sz w:val="28"/>
          <w:szCs w:val="28"/>
        </w:rPr>
      </w:pPr>
      <w:r>
        <w:rPr>
          <w:rFonts w:hint="eastAsia" w:hAnsi="宋体" w:cs="宋体" w:eastAsiaTheme="minorEastAsia"/>
          <w:kern w:val="2"/>
          <w:sz w:val="24"/>
          <w:szCs w:val="24"/>
          <w:lang w:eastAsia="zh-CN"/>
        </w:rPr>
        <w:drawing>
          <wp:inline distT="0" distB="0" distL="114300" distR="114300">
            <wp:extent cx="2178050" cy="3873500"/>
            <wp:effectExtent l="0" t="0" r="12700" b="12700"/>
            <wp:docPr id="3" name="图片 3" descr="现有辐射剂量报警仪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有辐射剂量报警仪图片"/>
                    <pic:cNvPicPr>
                      <a:picLocks noChangeAspect="1"/>
                    </pic:cNvPicPr>
                  </pic:nvPicPr>
                  <pic:blipFill>
                    <a:blip r:embed="rId6"/>
                    <a:stretch>
                      <a:fillRect/>
                    </a:stretch>
                  </pic:blipFill>
                  <pic:spPr>
                    <a:xfrm>
                      <a:off x="0" y="0"/>
                      <a:ext cx="2178050" cy="3873500"/>
                    </a:xfrm>
                    <a:prstGeom prst="rect">
                      <a:avLst/>
                    </a:prstGeom>
                  </pic:spPr>
                </pic:pic>
              </a:graphicData>
            </a:graphic>
          </wp:inline>
        </w:drawing>
      </w:r>
    </w:p>
    <w:p>
      <w:pPr>
        <w:pStyle w:val="2"/>
        <w:spacing w:line="360" w:lineRule="auto"/>
        <w:rPr>
          <w:rFonts w:hint="eastAsia" w:hAnsi="宋体" w:cs="宋体" w:eastAsiaTheme="minorEastAsia"/>
          <w:kern w:val="2"/>
          <w:sz w:val="24"/>
          <w:szCs w:val="24"/>
          <w:lang w:eastAsia="zh-CN"/>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辐射剂量报警仪采购项目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辐射剂量报警仪</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辐射剂量报警仪</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b/>
          <w:bCs/>
          <w:sz w:val="24"/>
          <w:szCs w:val="24"/>
          <w:u w:val="single"/>
          <w:lang w:val="en-US" w:eastAsia="zh-CN"/>
        </w:rPr>
        <w:t>辐射剂量报警仪</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/台，数量1台，共计人民币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5"/>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1150"/>
        <w:gridCol w:w="1050"/>
        <w:gridCol w:w="825"/>
        <w:gridCol w:w="1313"/>
        <w:gridCol w:w="1000"/>
        <w:gridCol w:w="114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辐射剂量报警仪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RG1000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4">
    <w:name w:val="Body Text First Indent 2"/>
    <w:basedOn w:val="11"/>
    <w:next w:val="1"/>
    <w:qFormat/>
    <w:uiPriority w:val="0"/>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TML Definition"/>
    <w:basedOn w:val="27"/>
    <w:qFormat/>
    <w:uiPriority w:val="0"/>
  </w:style>
  <w:style w:type="character" w:styleId="33">
    <w:name w:val="HTML Variable"/>
    <w:basedOn w:val="27"/>
    <w:qFormat/>
    <w:uiPriority w:val="0"/>
  </w:style>
  <w:style w:type="character" w:styleId="34">
    <w:name w:val="Hyperlink"/>
    <w:basedOn w:val="27"/>
    <w:qFormat/>
    <w:uiPriority w:val="99"/>
    <w:rPr>
      <w:color w:val="0000FF"/>
      <w:u w:val="single"/>
    </w:rPr>
  </w:style>
  <w:style w:type="character" w:styleId="35">
    <w:name w:val="HTML Code"/>
    <w:basedOn w:val="27"/>
    <w:qFormat/>
    <w:uiPriority w:val="0"/>
    <w:rPr>
      <w:rFonts w:ascii="Courier New" w:hAnsi="Courier New"/>
      <w:sz w:val="20"/>
    </w:rPr>
  </w:style>
  <w:style w:type="character" w:styleId="36">
    <w:name w:val="HTML Cite"/>
    <w:basedOn w:val="27"/>
    <w:qFormat/>
    <w:uiPriority w:val="0"/>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7"/>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7"/>
    <w:qFormat/>
    <w:uiPriority w:val="0"/>
    <w:rPr>
      <w:color w:val="0000FF"/>
      <w:sz w:val="18"/>
      <w:szCs w:val="18"/>
      <w:u w:val="none"/>
      <w:bdr w:val="single" w:color="DCDCDC" w:sz="8" w:space="0"/>
      <w:shd w:val="clear" w:color="auto" w:fill="FFFFFF"/>
    </w:rPr>
  </w:style>
  <w:style w:type="character" w:customStyle="1" w:styleId="45">
    <w:name w:val="批注框文本 Char"/>
    <w:basedOn w:val="27"/>
    <w:link w:val="16"/>
    <w:qFormat/>
    <w:uiPriority w:val="99"/>
    <w:rPr>
      <w:rFonts w:ascii="宋体" w:hAnsi="宋体" w:cs="宋体"/>
      <w:sz w:val="18"/>
      <w:szCs w:val="18"/>
      <w:lang w:eastAsia="en-US"/>
    </w:rPr>
  </w:style>
  <w:style w:type="character" w:customStyle="1" w:styleId="46">
    <w:name w:val="页脚 Char"/>
    <w:basedOn w:val="27"/>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7"/>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7"/>
    <w:link w:val="5"/>
    <w:qFormat/>
    <w:uiPriority w:val="0"/>
    <w:rPr>
      <w:rFonts w:ascii="宋体" w:hAnsi="宋体" w:cs="宋体"/>
      <w:b/>
      <w:bCs/>
      <w:sz w:val="32"/>
      <w:szCs w:val="32"/>
      <w:lang w:eastAsia="en-US"/>
    </w:rPr>
  </w:style>
  <w:style w:type="character" w:customStyle="1" w:styleId="51">
    <w:name w:val="批注文字 Char"/>
    <w:basedOn w:val="27"/>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7"/>
    <w:link w:val="22"/>
    <w:qFormat/>
    <w:uiPriority w:val="0"/>
    <w:rPr>
      <w:rFonts w:ascii="宋体" w:hAnsi="宋体" w:cs="宋体"/>
      <w:sz w:val="22"/>
      <w:szCs w:val="22"/>
      <w:lang w:eastAsia="en-US"/>
    </w:rPr>
  </w:style>
  <w:style w:type="character" w:customStyle="1" w:styleId="54">
    <w:name w:val="正文文本缩进 2 Char"/>
    <w:basedOn w:val="27"/>
    <w:link w:val="15"/>
    <w:qFormat/>
    <w:uiPriority w:val="0"/>
    <w:rPr>
      <w:rFonts w:ascii="宋体" w:hAnsi="宋体" w:cs="宋体"/>
      <w:sz w:val="22"/>
      <w:szCs w:val="22"/>
      <w:lang w:eastAsia="en-US"/>
    </w:rPr>
  </w:style>
  <w:style w:type="character" w:customStyle="1" w:styleId="55">
    <w:name w:val="纯文本 Char1"/>
    <w:basedOn w:val="27"/>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7"/>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7"/>
    <w:link w:val="10"/>
    <w:qFormat/>
    <w:uiPriority w:val="0"/>
    <w:rPr>
      <w:rFonts w:ascii="宋体" w:hAnsi="宋体" w:cs="宋体"/>
      <w:sz w:val="24"/>
      <w:szCs w:val="24"/>
      <w:lang w:eastAsia="en-US"/>
    </w:rPr>
  </w:style>
  <w:style w:type="character" w:customStyle="1" w:styleId="60">
    <w:name w:val="普通文字 Char2"/>
    <w:basedOn w:val="27"/>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7"/>
    <w:link w:val="2"/>
    <w:qFormat/>
    <w:locked/>
    <w:uiPriority w:val="0"/>
    <w:rPr>
      <w:rFonts w:ascii="宋体" w:hAnsi="Calibri"/>
      <w:sz w:val="34"/>
      <w:szCs w:val="22"/>
    </w:rPr>
  </w:style>
  <w:style w:type="character" w:customStyle="1" w:styleId="63">
    <w:name w:val="正文文本缩进 Char"/>
    <w:basedOn w:val="27"/>
    <w:link w:val="11"/>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7"/>
    <w:link w:val="6"/>
    <w:qFormat/>
    <w:uiPriority w:val="99"/>
    <w:rPr>
      <w:rFonts w:ascii="Arial" w:hAnsi="Arial" w:eastAsia="黑体"/>
      <w:b/>
      <w:bCs/>
      <w:kern w:val="2"/>
      <w:sz w:val="28"/>
      <w:szCs w:val="28"/>
    </w:rPr>
  </w:style>
  <w:style w:type="character" w:customStyle="1" w:styleId="66">
    <w:name w:val="文档结构图 Char"/>
    <w:basedOn w:val="27"/>
    <w:link w:val="8"/>
    <w:qFormat/>
    <w:uiPriority w:val="99"/>
    <w:rPr>
      <w:rFonts w:ascii="宋体"/>
      <w:kern w:val="2"/>
      <w:sz w:val="18"/>
      <w:szCs w:val="18"/>
    </w:rPr>
  </w:style>
  <w:style w:type="character" w:customStyle="1" w:styleId="67">
    <w:name w:val="副标题 Char"/>
    <w:basedOn w:val="27"/>
    <w:link w:val="20"/>
    <w:qFormat/>
    <w:uiPriority w:val="99"/>
    <w:rPr>
      <w:rFonts w:ascii="Cambria" w:hAnsi="Cambria"/>
      <w:b/>
      <w:bCs/>
      <w:kern w:val="28"/>
      <w:sz w:val="32"/>
      <w:szCs w:val="32"/>
    </w:rPr>
  </w:style>
  <w:style w:type="character" w:customStyle="1" w:styleId="68">
    <w:name w:val="标题 Char"/>
    <w:basedOn w:val="27"/>
    <w:link w:val="23"/>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7"/>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7"/>
    <w:qFormat/>
    <w:uiPriority w:val="0"/>
    <w:rPr>
      <w:color w:val="FFFFFF"/>
    </w:rPr>
  </w:style>
  <w:style w:type="character" w:customStyle="1" w:styleId="78">
    <w:name w:val="tmpztreemove_arrow"/>
    <w:basedOn w:val="27"/>
    <w:qFormat/>
    <w:uiPriority w:val="0"/>
  </w:style>
  <w:style w:type="character" w:customStyle="1" w:styleId="79">
    <w:name w:val="cy"/>
    <w:basedOn w:val="27"/>
    <w:uiPriority w:val="0"/>
  </w:style>
  <w:style w:type="character" w:customStyle="1" w:styleId="80">
    <w:name w:val="associateddata"/>
    <w:basedOn w:val="27"/>
    <w:uiPriority w:val="0"/>
    <w:rPr>
      <w:shd w:val="clear" w:fill="50A6F9"/>
    </w:rPr>
  </w:style>
  <w:style w:type="character" w:customStyle="1" w:styleId="81">
    <w:name w:val="choosename"/>
    <w:basedOn w:val="27"/>
    <w:uiPriority w:val="0"/>
  </w:style>
  <w:style w:type="character" w:customStyle="1" w:styleId="82">
    <w:name w:val="xdrichtextbox"/>
    <w:basedOn w:val="27"/>
    <w:qFormat/>
    <w:uiPriority w:val="0"/>
    <w:rPr>
      <w:color w:val="auto"/>
      <w:u w:val="none"/>
      <w:bdr w:val="single" w:color="DCDCDC" w:sz="8" w:space="0"/>
      <w:shd w:val="clear" w:fill="auto"/>
    </w:rPr>
  </w:style>
  <w:style w:type="character" w:customStyle="1" w:styleId="83">
    <w:name w:val="iconline2"/>
    <w:basedOn w:val="27"/>
    <w:uiPriority w:val="0"/>
  </w:style>
  <w:style w:type="character" w:customStyle="1" w:styleId="84">
    <w:name w:val="iconline21"/>
    <w:basedOn w:val="27"/>
    <w:qFormat/>
    <w:uiPriority w:val="0"/>
  </w:style>
  <w:style w:type="character" w:customStyle="1" w:styleId="85">
    <w:name w:val="design_class"/>
    <w:basedOn w:val="27"/>
    <w:uiPriority w:val="0"/>
  </w:style>
  <w:style w:type="character" w:customStyle="1" w:styleId="86">
    <w:name w:val="button"/>
    <w:basedOn w:val="27"/>
    <w:qFormat/>
    <w:uiPriority w:val="0"/>
  </w:style>
  <w:style w:type="character" w:customStyle="1" w:styleId="87">
    <w:name w:val="layui-layer-tabnow"/>
    <w:basedOn w:val="27"/>
    <w:uiPriority w:val="0"/>
    <w:rPr>
      <w:bdr w:val="single" w:color="CCCCCC" w:sz="6" w:space="0"/>
      <w:shd w:val="clear" w:fill="FFFFFF"/>
    </w:rPr>
  </w:style>
  <w:style w:type="character" w:customStyle="1" w:styleId="88">
    <w:name w:val="icontext1"/>
    <w:basedOn w:val="27"/>
    <w:qFormat/>
    <w:uiPriority w:val="0"/>
  </w:style>
  <w:style w:type="character" w:customStyle="1" w:styleId="89">
    <w:name w:val="icontext11"/>
    <w:basedOn w:val="27"/>
    <w:qFormat/>
    <w:uiPriority w:val="0"/>
  </w:style>
  <w:style w:type="character" w:customStyle="1" w:styleId="90">
    <w:name w:val="icontext12"/>
    <w:basedOn w:val="27"/>
    <w:qFormat/>
    <w:uiPriority w:val="0"/>
  </w:style>
  <w:style w:type="character" w:customStyle="1" w:styleId="91">
    <w:name w:val="after"/>
    <w:basedOn w:val="27"/>
    <w:qFormat/>
    <w:uiPriority w:val="0"/>
    <w:rPr>
      <w:sz w:val="0"/>
      <w:szCs w:val="0"/>
    </w:rPr>
  </w:style>
  <w:style w:type="character" w:customStyle="1" w:styleId="92">
    <w:name w:val="hilite6"/>
    <w:basedOn w:val="27"/>
    <w:uiPriority w:val="0"/>
    <w:rPr>
      <w:color w:val="FFFFFF"/>
      <w:shd w:val="clear" w:fill="666666"/>
    </w:rPr>
  </w:style>
  <w:style w:type="character" w:customStyle="1" w:styleId="93">
    <w:name w:val="active2"/>
    <w:basedOn w:val="27"/>
    <w:qFormat/>
    <w:uiPriority w:val="0"/>
    <w:rPr>
      <w:color w:val="00FF00"/>
      <w:shd w:val="clear" w:fill="111111"/>
    </w:rPr>
  </w:style>
  <w:style w:type="character" w:customStyle="1" w:styleId="94">
    <w:name w:val="active3"/>
    <w:basedOn w:val="27"/>
    <w:qFormat/>
    <w:uiPriority w:val="0"/>
    <w:rPr>
      <w:shd w:val="clear" w:fill="EC3535"/>
    </w:rPr>
  </w:style>
  <w:style w:type="character" w:customStyle="1" w:styleId="95">
    <w:name w:val="w32"/>
    <w:basedOn w:val="27"/>
    <w:qFormat/>
    <w:uiPriority w:val="0"/>
  </w:style>
  <w:style w:type="character" w:customStyle="1" w:styleId="96">
    <w:name w:val="biggerthanmax"/>
    <w:basedOn w:val="27"/>
    <w:qFormat/>
    <w:uiPriority w:val="0"/>
    <w:rPr>
      <w:shd w:val="clear" w:fill="FFFF00"/>
    </w:rPr>
  </w:style>
  <w:style w:type="character" w:customStyle="1" w:styleId="97">
    <w:name w:val="cdropright"/>
    <w:basedOn w:val="27"/>
    <w:qFormat/>
    <w:uiPriority w:val="0"/>
  </w:style>
  <w:style w:type="character" w:customStyle="1" w:styleId="98">
    <w:name w:val="pagechatarealistclose_box"/>
    <w:basedOn w:val="27"/>
    <w:qFormat/>
    <w:uiPriority w:val="0"/>
  </w:style>
  <w:style w:type="character" w:customStyle="1" w:styleId="99">
    <w:name w:val="pagechatarealistclose_box1"/>
    <w:basedOn w:val="27"/>
    <w:qFormat/>
    <w:uiPriority w:val="0"/>
  </w:style>
  <w:style w:type="character" w:customStyle="1" w:styleId="100">
    <w:name w:val="ico1654"/>
    <w:basedOn w:val="27"/>
    <w:qFormat/>
    <w:uiPriority w:val="0"/>
  </w:style>
  <w:style w:type="character" w:customStyle="1" w:styleId="101">
    <w:name w:val="ico1655"/>
    <w:basedOn w:val="27"/>
    <w:qFormat/>
    <w:uiPriority w:val="0"/>
  </w:style>
  <w:style w:type="character" w:customStyle="1" w:styleId="102">
    <w:name w:val="drapbtn"/>
    <w:basedOn w:val="27"/>
    <w:qFormat/>
    <w:uiPriority w:val="0"/>
  </w:style>
  <w:style w:type="character" w:customStyle="1" w:styleId="103">
    <w:name w:val="cdropleft"/>
    <w:basedOn w:val="27"/>
    <w:qFormat/>
    <w:uiPriority w:val="0"/>
  </w:style>
  <w:style w:type="character" w:customStyle="1" w:styleId="104">
    <w:name w:val="icontext2"/>
    <w:basedOn w:val="27"/>
    <w:qFormat/>
    <w:uiPriority w:val="0"/>
  </w:style>
  <w:style w:type="character" w:customStyle="1" w:styleId="105">
    <w:name w:val="icontext3"/>
    <w:basedOn w:val="27"/>
    <w:qFormat/>
    <w:uiPriority w:val="0"/>
  </w:style>
  <w:style w:type="character" w:customStyle="1" w:styleId="106">
    <w:name w:val="first-child"/>
    <w:basedOn w:val="27"/>
    <w:qFormat/>
    <w:uiPriority w:val="0"/>
  </w:style>
  <w:style w:type="character" w:customStyle="1" w:styleId="107">
    <w:name w:val="edit_class"/>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77</TotalTime>
  <ScaleCrop>false</ScaleCrop>
  <LinksUpToDate>false</LinksUpToDate>
  <CharactersWithSpaces>13148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2023-04-01T02:05:09Z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202A8A2AED6A4DC9BFB3D7C1F4E3344E_12</vt:lpwstr>
  </property>
</Properties>
</file>