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asciiTheme="minorEastAsia" w:hAnsiTheme="minorEastAsia" w:eastAsiaTheme="minorEastAsia"/>
          <w:b/>
          <w:sz w:val="36"/>
          <w:szCs w:val="36"/>
        </w:rPr>
      </w:pPr>
      <w:r>
        <w:rPr>
          <w:rFonts w:hint="eastAsia"/>
          <w:sz w:val="36"/>
          <w:szCs w:val="36"/>
        </w:rPr>
        <w:t>化学在线仪表定期检验维护项目合同</w:t>
      </w:r>
    </w:p>
    <w:p>
      <w:pPr>
        <w:spacing w:beforeLines="50" w:afterLines="50"/>
        <w:jc w:val="center"/>
        <w:rPr>
          <w:rFonts w:hint="eastAsi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合同编号：</w:t>
      </w:r>
    </w:p>
    <w:p>
      <w:pPr>
        <w:spacing w:beforeLines="50" w:afterLines="5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签订日期：</w:t>
      </w:r>
    </w:p>
    <w:p>
      <w:pPr>
        <w:spacing w:line="520" w:lineRule="exact"/>
        <w:rPr>
          <w:rFonts w:asciiTheme="minorEastAsia" w:hAnsiTheme="minorEastAsia" w:eastAsiaTheme="minorEastAsia"/>
          <w:b/>
          <w:szCs w:val="21"/>
        </w:rPr>
      </w:pPr>
      <w:r>
        <w:rPr>
          <w:rFonts w:hint="eastAsia" w:asciiTheme="minorEastAsia" w:hAnsiTheme="minorEastAsia" w:eastAsiaTheme="minorEastAsia"/>
          <w:b/>
          <w:szCs w:val="21"/>
        </w:rPr>
        <w:t>甲方：腾龙芳烃（漳州）有限公司</w:t>
      </w:r>
    </w:p>
    <w:p>
      <w:pPr>
        <w:spacing w:line="520" w:lineRule="exact"/>
        <w:rPr>
          <w:rFonts w:asciiTheme="minorEastAsia" w:hAnsiTheme="minorEastAsia" w:eastAsiaTheme="minorEastAsia"/>
          <w:b/>
          <w:szCs w:val="21"/>
        </w:rPr>
      </w:pPr>
      <w:r>
        <w:rPr>
          <w:rFonts w:hint="eastAsia" w:asciiTheme="minorEastAsia" w:hAnsiTheme="minorEastAsia" w:eastAsiaTheme="minorEastAsia"/>
          <w:b/>
          <w:szCs w:val="21"/>
        </w:rPr>
        <w:t>乙方：</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u w:val="single"/>
        </w:rPr>
      </w:pPr>
      <w:r>
        <w:rPr>
          <w:rFonts w:hint="eastAsia" w:asciiTheme="minorEastAsia" w:hAnsiTheme="minorEastAsia" w:eastAsiaTheme="minorEastAsia"/>
          <w:szCs w:val="21"/>
        </w:rPr>
        <w:t>甲乙双方根据《中华人民共和国</w:t>
      </w:r>
      <w:r>
        <w:rPr>
          <w:rFonts w:hint="eastAsia" w:asciiTheme="minorEastAsia" w:hAnsiTheme="minorEastAsia" w:eastAsiaTheme="minorEastAsia"/>
          <w:szCs w:val="21"/>
          <w:lang w:val="en-US" w:eastAsia="zh-CN"/>
        </w:rPr>
        <w:t>民法典</w:t>
      </w:r>
      <w:r>
        <w:rPr>
          <w:rFonts w:hint="eastAsia" w:asciiTheme="minorEastAsia" w:hAnsiTheme="minorEastAsia" w:eastAsiaTheme="minorEastAsia"/>
          <w:szCs w:val="21"/>
        </w:rPr>
        <w:t>》及其他相关法律法规，本着平等互利原则，经友好协商，达成如下协议，共同遵照执行。</w:t>
      </w:r>
    </w:p>
    <w:p>
      <w:pPr>
        <w:keepNext w:val="0"/>
        <w:keepLines w:val="0"/>
        <w:pageBreakBefore w:val="0"/>
        <w:widowControl w:val="0"/>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第一条 一般条款</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1、工程概况</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u w:val="single"/>
        </w:rPr>
      </w:pPr>
      <w:r>
        <w:rPr>
          <w:rFonts w:hint="eastAsia" w:asciiTheme="minorEastAsia" w:hAnsiTheme="minorEastAsia" w:eastAsiaTheme="minorEastAsia"/>
          <w:szCs w:val="21"/>
        </w:rPr>
        <w:t>1.1工程名称：</w:t>
      </w:r>
      <w:r>
        <w:rPr>
          <w:rFonts w:hint="eastAsia"/>
        </w:rPr>
        <w:t xml:space="preserve"> 化学在线仪表定期检验维护项目</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u w:val="single"/>
        </w:rPr>
      </w:pPr>
      <w:r>
        <w:rPr>
          <w:rFonts w:hint="eastAsia" w:asciiTheme="minorEastAsia" w:hAnsiTheme="minorEastAsia" w:eastAsiaTheme="minorEastAsia"/>
          <w:szCs w:val="21"/>
        </w:rPr>
        <w:t>1.2工程地址：甲方工厂</w:t>
      </w:r>
    </w:p>
    <w:p>
      <w:pPr>
        <w:keepNext w:val="0"/>
        <w:keepLines w:val="0"/>
        <w:pageBreakBefore w:val="0"/>
        <w:widowControl w:val="0"/>
        <w:tabs>
          <w:tab w:val="left" w:pos="7241"/>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u w:val="single"/>
        </w:rPr>
      </w:pPr>
      <w:r>
        <w:rPr>
          <w:rFonts w:hint="eastAsia" w:asciiTheme="minorEastAsia" w:hAnsiTheme="minorEastAsia" w:eastAsiaTheme="minorEastAsia"/>
          <w:szCs w:val="21"/>
        </w:rPr>
        <w:t>1.3维护期限：</w:t>
      </w:r>
      <w:r>
        <w:rPr>
          <w:rFonts w:hint="eastAsia" w:asciiTheme="minorEastAsia" w:hAnsiTheme="minorEastAsia" w:eastAsiaTheme="minorEastAsia"/>
          <w:szCs w:val="21"/>
          <w:lang w:val="en-US" w:eastAsia="zh-CN"/>
        </w:rPr>
        <w:t>2023年5月  至2024年5 月  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szCs w:val="21"/>
        </w:rPr>
      </w:pPr>
      <w:bookmarkStart w:id="2" w:name="_GoBack"/>
      <w:bookmarkEnd w:id="2"/>
      <w:r>
        <w:rPr>
          <w:rFonts w:hint="eastAsia" w:asciiTheme="minorEastAsia" w:hAnsiTheme="minorEastAsia" w:eastAsiaTheme="minorEastAsia"/>
          <w:szCs w:val="21"/>
        </w:rPr>
        <w:t>2、主要标准、规程及规范</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国家规定的现行的施工质量和验收标准，具体</w:t>
      </w:r>
      <w:r>
        <w:rPr>
          <w:rFonts w:hint="eastAsia" w:asciiTheme="minorEastAsia" w:hAnsiTheme="minorEastAsia" w:eastAsiaTheme="minorEastAsia"/>
          <w:szCs w:val="21"/>
          <w:lang w:val="en-US" w:eastAsia="zh-CN"/>
        </w:rPr>
        <w:t>详见附件2《技术协议》</w:t>
      </w:r>
    </w:p>
    <w:p>
      <w:pPr>
        <w:keepNext w:val="0"/>
        <w:keepLines w:val="0"/>
        <w:pageBreakBefore w:val="0"/>
        <w:widowControl w:val="0"/>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第二条   承包方式及结算办法：</w:t>
      </w:r>
    </w:p>
    <w:p>
      <w:pPr>
        <w:keepNext w:val="0"/>
        <w:keepLines w:val="0"/>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本合同乙方采用承包范围内工程包工、包维护清单中所注明备件、包质量、包工期、包安全文明施工、包施工风险的承包方式。具体内容见发包说明及技术协议</w:t>
      </w:r>
    </w:p>
    <w:p>
      <w:pPr>
        <w:keepNext w:val="0"/>
        <w:keepLines w:val="0"/>
        <w:pageBreakBefore w:val="0"/>
        <w:widowControl w:val="0"/>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第三条   合同价款及支付</w:t>
      </w:r>
    </w:p>
    <w:p>
      <w:pPr>
        <w:pStyle w:val="20"/>
        <w:keepNext w:val="0"/>
        <w:keepLines w:val="0"/>
        <w:pageBreakBefore w:val="0"/>
        <w:widowControl w:val="0"/>
        <w:numPr>
          <w:numId w:val="0"/>
        </w:numPr>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lang w:val="en-US" w:eastAsia="zh-CN"/>
        </w:rPr>
        <w:t>1、</w:t>
      </w:r>
      <w:r>
        <w:rPr>
          <w:rFonts w:hint="eastAsia" w:ascii="宋体" w:hAnsi="宋体"/>
          <w:szCs w:val="21"/>
        </w:rPr>
        <w:t>合同预估总价</w:t>
      </w:r>
    </w:p>
    <w:p>
      <w:pPr>
        <w:pStyle w:val="20"/>
        <w:keepNext w:val="0"/>
        <w:keepLines w:val="0"/>
        <w:pageBreakBefore w:val="0"/>
        <w:widowControl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szCs w:val="21"/>
          <w:lang w:eastAsia="zh-CN"/>
        </w:rPr>
      </w:pPr>
      <w:r>
        <w:rPr>
          <w:rFonts w:ascii="宋体" w:hAnsi="宋体"/>
          <w:szCs w:val="21"/>
        </w:rPr>
        <w:t>金额（大写）：</w:t>
      </w:r>
      <w:r>
        <w:rPr>
          <w:rFonts w:hint="eastAsia" w:ascii="宋体" w:hAnsi="宋体"/>
          <w:szCs w:val="21"/>
        </w:rPr>
        <w:t>人民币</w:t>
      </w:r>
      <w:r>
        <w:rPr>
          <w:rFonts w:hint="eastAsia" w:ascii="宋体" w:hAnsi="宋体"/>
          <w:szCs w:val="21"/>
          <w:u w:val="single"/>
          <w:lang w:val="en-US" w:eastAsia="zh-CN"/>
        </w:rPr>
        <w:t xml:space="preserve">        </w:t>
      </w:r>
      <w:r>
        <w:rPr>
          <w:rFonts w:hint="eastAsia" w:ascii="宋体" w:hAnsi="宋体"/>
          <w:szCs w:val="21"/>
        </w:rPr>
        <w:t xml:space="preserve">元整 </w:t>
      </w:r>
      <w:r>
        <w:rPr>
          <w:rFonts w:ascii="宋体" w:hAnsi="宋体"/>
          <w:szCs w:val="21"/>
        </w:rPr>
        <w:t>￥：</w:t>
      </w:r>
      <w:r>
        <w:rPr>
          <w:rFonts w:hint="eastAsia" w:ascii="宋体" w:hAnsi="宋体"/>
          <w:szCs w:val="21"/>
          <w:u w:val="single"/>
          <w:lang w:val="en-US" w:eastAsia="zh-CN"/>
        </w:rPr>
        <w:t xml:space="preserve">        </w:t>
      </w:r>
      <w:r>
        <w:rPr>
          <w:rFonts w:ascii="宋体" w:hAnsi="宋体"/>
          <w:szCs w:val="21"/>
        </w:rPr>
        <w:t>元</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宋体" w:hAnsi="宋体"/>
          <w:szCs w:val="21"/>
        </w:rPr>
      </w:pPr>
      <w:r>
        <w:rPr>
          <w:rFonts w:hint="eastAsia" w:ascii="宋体" w:hAnsi="宋体"/>
          <w:szCs w:val="21"/>
        </w:rPr>
        <w:t>合同单价为全费用价，它包含了工程的人工费、材料费、机械费、管理费及验费、利润、措施费、规费、税费以及材料卸车、水平垂直运输、二次搬（倒）运、试车配合等乙方履行本合同所需的全部费用，除非另有约定，甲方不再承担其他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szCs w:val="21"/>
        </w:rPr>
      </w:pPr>
      <w:r>
        <w:rPr>
          <w:rFonts w:hint="eastAsia" w:ascii="宋体" w:hAnsi="宋体"/>
          <w:szCs w:val="21"/>
          <w:lang w:val="en-US" w:eastAsia="zh-CN"/>
        </w:rPr>
        <w:t>2、</w:t>
      </w:r>
      <w:r>
        <w:rPr>
          <w:rFonts w:hint="eastAsia" w:ascii="宋体" w:hAnsi="宋体"/>
          <w:szCs w:val="21"/>
        </w:rPr>
        <w:t>支付方式：</w:t>
      </w:r>
      <w:bookmarkStart w:id="0" w:name="OLE_LINK2"/>
      <w:bookmarkStart w:id="1" w:name="OLE_LINK1"/>
      <w:r>
        <w:rPr>
          <w:rFonts w:hint="eastAsia" w:ascii="Arial" w:hAnsi="宋体" w:cs="Arial"/>
          <w:kern w:val="0"/>
          <w:szCs w:val="21"/>
        </w:rPr>
        <w:t>依据实际工作量每</w:t>
      </w:r>
      <w:r>
        <w:rPr>
          <w:rFonts w:hint="eastAsia" w:ascii="Arial" w:hAnsi="宋体" w:cs="Arial"/>
          <w:kern w:val="0"/>
          <w:szCs w:val="21"/>
          <w:lang w:val="en-US" w:eastAsia="zh-CN"/>
        </w:rPr>
        <w:t>季度</w:t>
      </w:r>
      <w:r>
        <w:rPr>
          <w:rFonts w:hint="eastAsia" w:ascii="Arial" w:hAnsi="宋体" w:cs="Arial"/>
          <w:kern w:val="0"/>
          <w:szCs w:val="21"/>
        </w:rPr>
        <w:t>结算一次，经甲方验收合格且提交付款金额对应</w:t>
      </w:r>
      <w:r>
        <w:rPr>
          <w:rFonts w:hint="eastAsia" w:ascii="Arial" w:hAnsi="宋体" w:cs="Arial"/>
          <w:kern w:val="0"/>
          <w:szCs w:val="21"/>
          <w:lang w:val="en-US" w:eastAsia="zh-CN"/>
        </w:rPr>
        <w:t>6%增值税专用</w:t>
      </w:r>
      <w:r>
        <w:rPr>
          <w:rFonts w:hint="eastAsia" w:ascii="Arial" w:hAnsi="宋体" w:cs="Arial"/>
          <w:kern w:val="0"/>
          <w:szCs w:val="21"/>
        </w:rPr>
        <w:t>发票后</w:t>
      </w:r>
      <w:r>
        <w:rPr>
          <w:rFonts w:hint="eastAsia" w:ascii="Arial" w:hAnsi="宋体" w:cs="Arial"/>
          <w:kern w:val="0"/>
          <w:szCs w:val="21"/>
          <w:lang w:val="en-US" w:eastAsia="zh-CN"/>
        </w:rPr>
        <w:t>60</w:t>
      </w:r>
      <w:r>
        <w:rPr>
          <w:rFonts w:hint="eastAsia" w:ascii="Arial" w:hAnsi="宋体" w:cs="Arial"/>
          <w:kern w:val="0"/>
          <w:szCs w:val="21"/>
        </w:rPr>
        <w:t>天内支付；</w:t>
      </w:r>
    </w:p>
    <w:bookmarkEnd w:id="0"/>
    <w:bookmarkEnd w:id="1"/>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第四条 双方责任</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1、甲方工作</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1.1甲方有权对进维护项目的质量、进度、安全等进行监督检查，协调维护项目中的有关事项，并对乙方维护项目进行全过程跟踪监督和管理。乙方履行协调义务或行使监督管理权利，均不代表甲方承诺对乙方的行为承担任何责任，更不因此构成对乙方所应承担的各项责任和义务的减轻或豁免。</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1.2施工用水、电暂由甲方提供。甲方为乙方的维护项目服务提供配合，如设备断电及保护。</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2、乙方工作</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2.1维护项目结束后乙方向甲方提供服务清单一式二份。</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2.2 严格按本合同约定及甲方要求的质量、进度进行安全文明维护。</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2.3必须服从甲方或甲方所委托的第三方的管理。</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2.4制定和优化质量保证体系，有效控制维护质量。</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2.5乙方负责维护所需设备、材料及检维修配件（包括领用甲方提供的配件，如有）的卸车和保管。</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2.6乙方负责维护服务期间施工场地的安全保卫工作。</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2.7乙方人员必须遵纪守法，乙方人员发生的违法、乱纪（盗窃、打架斗殴）事件，乙方承担由此造成法律责任和各种经济损失。</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2.9施工安全责任由乙方承担，发生各类安全事故，乙方应及时报告甲方，不得隐瞒。甲方有权根据有关规定组织、参与事故的调查处理。</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2.10 乙方工作人员进入施工现场实行进出场登记制度（登记身份证的全部信息），登记表由乙方项目负责人签字认可后提交甲方。</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2.11乙方必须保证施工质量及时间要求，经施工后如有质量问题应于24小时内应甲方要求到达甲方工程地点进行维护，确保生产的顺利进行。</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 xml:space="preserve">2.12  </w:t>
      </w:r>
      <w:r>
        <w:rPr>
          <w:rFonts w:hint="eastAsia" w:asciiTheme="minorEastAsia" w:hAnsiTheme="minorEastAsia" w:eastAsiaTheme="minorEastAsia"/>
          <w:szCs w:val="21"/>
        </w:rPr>
        <w:t>乙方在施工中不得损坏相关设备，如果损坏甲方设备应该负责修复或承担修复费用；造成甲方生产及其它损失的应对全部损失承担赔偿责任。</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2.13 乙</w:t>
      </w:r>
      <w:r>
        <w:t>方对于承揽的工作，应当严格保密，未经甲方事先书面同意，不得泄露给任何第三人，也不得留存任何技术资料及其复制品</w:t>
      </w:r>
      <w:r>
        <w:rPr>
          <w:rFonts w:hint="eastAsia"/>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3、乙方应遵守以下安全条件：</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w:t>
      </w:r>
      <w:r>
        <w:rPr>
          <w:rFonts w:hint="eastAsia" w:asciiTheme="minorEastAsia" w:hAnsiTheme="minorEastAsia" w:eastAsiaTheme="minorEastAsia"/>
          <w:szCs w:val="21"/>
        </w:rPr>
        <w:t>、应办临时出入证，进入现场应进行“三级”(即厂级、车间级、班组级)安全教育。</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3.2、应认真贯彻执行国家《安全生产法》、《安全生产条例》、《消防法》、《环境保护法》、《劳动法》和《职业卫生防治法》等法律法规，以及遵守“甲方”的各项安全管理制度。</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3.3、操作人员未经装置现场人员同意，不得随意动用装置现场的设备、管路、阀门。</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3.4、应严格执行动火证、动土证、入罐证、登高作业证、盲板抽堵证、临时施工用电票等，严禁违章作业。</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3.5、应按规定穿戴好劳动保护用品，进入维护现场须戴好安全帽，登高作业须佩带好安全带，禁止穿拖鞋。</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3.6、应严格遵守防火防爆等禁令和规定，不准携带火种等危险物品进入生产区，严禁在厂区内抽烟。</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3.7、严禁酒后上班，上班期间严禁饮酒、赌博。</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3.8、进入厂区的车辆应遵守厂内交通管理有关规定和各种安全制度，申报厂内临时通行证，按厂内行停车标志认真执行。</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3.9、装置现场配备消防器材不得挪作他用，并保持消防器材附近无障碍物。</w:t>
      </w:r>
    </w:p>
    <w:p>
      <w:pPr>
        <w:pStyle w:val="20"/>
        <w:keepNext w:val="0"/>
        <w:keepLines w:val="0"/>
        <w:pageBreakBefore w:val="0"/>
        <w:widowControl w:val="0"/>
        <w:numPr>
          <w:numId w:val="0"/>
        </w:numPr>
        <w:kinsoku/>
        <w:wordWrap/>
        <w:overflowPunct/>
        <w:topLinePunct w:val="0"/>
        <w:autoSpaceDE/>
        <w:autoSpaceDN/>
        <w:bidi w:val="0"/>
        <w:adjustRightInd/>
        <w:spacing w:line="360" w:lineRule="auto"/>
        <w:ind w:left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3.10、</w:t>
      </w:r>
      <w:r>
        <w:rPr>
          <w:rFonts w:hint="eastAsia" w:asciiTheme="minorEastAsia" w:hAnsiTheme="minorEastAsia" w:eastAsiaTheme="minorEastAsia"/>
          <w:szCs w:val="21"/>
        </w:rPr>
        <w:t>应主动接受安全教育、培训和考核，持证上岗。</w:t>
      </w:r>
    </w:p>
    <w:p>
      <w:pPr>
        <w:pStyle w:val="20"/>
        <w:keepNext w:val="0"/>
        <w:keepLines w:val="0"/>
        <w:pageBreakBefore w:val="0"/>
        <w:widowControl w:val="0"/>
        <w:numPr>
          <w:numId w:val="0"/>
        </w:numPr>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3.11、</w:t>
      </w:r>
      <w:r>
        <w:rPr>
          <w:rFonts w:hint="eastAsia" w:asciiTheme="minorEastAsia" w:hAnsiTheme="minorEastAsia" w:eastAsiaTheme="minorEastAsia"/>
          <w:szCs w:val="21"/>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pPr>
        <w:pStyle w:val="20"/>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3.12、乙方必须遵守甲方各项管理规定</w:t>
      </w:r>
      <w:r>
        <w:rPr>
          <w:rFonts w:hint="eastAsia" w:asciiTheme="minorEastAsia" w:hAnsiTheme="minorEastAsia" w:eastAsiaTheme="minorEastAsia"/>
          <w:szCs w:val="21"/>
        </w:rPr>
        <w:t>，甲方有权对工厂内发生的违反公司规章制度</w:t>
      </w:r>
      <w:r>
        <w:rPr>
          <w:rFonts w:hint="eastAsia" w:asciiTheme="minorEastAsia" w:hAnsiTheme="minorEastAsia" w:eastAsiaTheme="minorEastAsia"/>
          <w:szCs w:val="21"/>
          <w:lang w:val="en-US" w:eastAsia="zh-CN"/>
        </w:rPr>
        <w:t>的</w:t>
      </w:r>
      <w:r>
        <w:rPr>
          <w:rFonts w:hint="eastAsia" w:asciiTheme="minorEastAsia" w:hAnsiTheme="minorEastAsia" w:eastAsiaTheme="minorEastAsia"/>
          <w:szCs w:val="21"/>
        </w:rPr>
        <w:t>行为进行处罚</w:t>
      </w:r>
      <w:r>
        <w:rPr>
          <w:rFonts w:hint="eastAsia" w:asciiTheme="minorEastAsia" w:hAnsiTheme="minorEastAsia" w:eastAsiaTheme="minorEastAsia"/>
          <w:szCs w:val="21"/>
          <w:lang w:eastAsia="zh-CN"/>
        </w:rPr>
        <w:t>。</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第五条 服务质量与验收</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乙方严格按本合同约定提供维护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hint="eastAsia" w:asciiTheme="minorEastAsia" w:hAnsiTheme="minorEastAsia" w:eastAsiaTheme="minorEastAsia"/>
          <w:sz w:val="24"/>
        </w:rPr>
        <w:t>。</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2、维护质量达不到约定标准的部分，乙方应返工直至达到约定标准为止，乙方应承担因返工所发生的一切施工费用，包含配件费用和人工费用等。</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3、乙方应为甲方的检查、检验的提供便利条件。</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因乙方未按合同约定标准提供维护服务造成设备事故或设备无法正常使用的的，甲方有权视情节轻重对乙方进行扣罚，扣罚幅度由甲方掌握；扣罚的金额从支付给乙方的应付款项中扣除，应付款项不足扣除的，乙方仍需赔偿。</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第六条  保修</w:t>
      </w:r>
    </w:p>
    <w:p>
      <w:pPr>
        <w:keepNext w:val="0"/>
        <w:keepLines w:val="0"/>
        <w:pageBreakBefore w:val="0"/>
        <w:widowControl w:val="0"/>
        <w:tabs>
          <w:tab w:val="left" w:pos="2010"/>
        </w:tabs>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乙方就其维护服务保修期，维护服务保修期自设备正常运行后 12个月或该设备下次发生检修为止保修服务，以先到时间为准，因甲方提供备品配件问题造成检修质量问题不在乙方保修范围，仅对检修工艺造成质量问题进行保修。</w:t>
      </w:r>
    </w:p>
    <w:p>
      <w:pPr>
        <w:keepNext w:val="0"/>
        <w:keepLines w:val="0"/>
        <w:pageBreakBefore w:val="0"/>
        <w:widowControl w:val="0"/>
        <w:tabs>
          <w:tab w:val="left" w:pos="2010"/>
        </w:tabs>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乙方应在维护服务期内按照甲方要求提供免费保修服务，确保维护设备的正常运行。乙方拒绝提供保修服务的，每次应向甲方支付违约金</w:t>
      </w:r>
      <w:r>
        <w:rPr>
          <w:rFonts w:hint="eastAsia" w:asciiTheme="minorEastAsia" w:hAnsiTheme="minorEastAsia" w:eastAsiaTheme="minorEastAsia"/>
          <w:szCs w:val="21"/>
          <w:u w:val="single"/>
        </w:rPr>
        <w:t>1,000.00</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rPr>
        <w:t>元；甲方亦有权委托第三方提供维护服务，费用由乙方承担。</w:t>
      </w:r>
    </w:p>
    <w:p>
      <w:pPr>
        <w:keepNext w:val="0"/>
        <w:keepLines w:val="0"/>
        <w:pageBreakBefore w:val="0"/>
        <w:widowControl w:val="0"/>
        <w:tabs>
          <w:tab w:val="left" w:pos="2010"/>
        </w:tabs>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sz w:val="20"/>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乙方所更换的配件，更换后的配件质保期为维护验收合格后</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年，在质保期内损坏或性能不符要求时，乙方应在甲方指定期限内修复或更换，修复或更换之一切工料费用均由乙方负责。在配件质保期内，因乙方原因或产品本身原因导致配件更换时，则所更换部件质保期为自更换并验收合格之日起重新计算</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年。</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第七条 争议、违约和索赔</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1、争议：甲乙双方在履行合同过程中，发生争议和纠纷时，双方应友好协商解决，经协商无法解决时，应由甲方所在地法院解决。</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2、违约：任何一方未履行合同义务或履行合同义务不符合约定要求，应承担违约责任并向对方支付违约金，具体以下列约定为准。本条关于违约责任的约定，与合同其他条款关于违约责任的约定可同时适用。</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2.1 </w:t>
      </w:r>
      <w:r>
        <w:rPr>
          <w:rFonts w:hint="eastAsia" w:asciiTheme="minorEastAsia" w:hAnsiTheme="minorEastAsia" w:eastAsiaTheme="minorEastAsia"/>
          <w:szCs w:val="21"/>
        </w:rPr>
        <w:t>甲方未按照合同约定支付维护服务费的，按照银行同期同类贷款基准利率标准支付利息。</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2.2 </w:t>
      </w:r>
      <w:r>
        <w:rPr>
          <w:rFonts w:hint="eastAsia" w:asciiTheme="minorEastAsia" w:hAnsiTheme="minorEastAsia" w:eastAsiaTheme="minorEastAsia"/>
          <w:szCs w:val="21"/>
        </w:rPr>
        <w:t>乙方提供的维护服务达不到合同约定的质量标准，乙方应无偿返修或返工，并承担由此给甲方造成的损失。</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2.3 </w:t>
      </w:r>
      <w:r>
        <w:rPr>
          <w:rFonts w:hint="eastAsia" w:asciiTheme="minorEastAsia" w:hAnsiTheme="minorEastAsia" w:eastAsiaTheme="minorEastAsia"/>
          <w:szCs w:val="21"/>
        </w:rPr>
        <w:t>乙方违反施工规范、操作规范、技术要求等造成维护质量低劣及带来损失，甲方有权要求乙方整改，乙方不得拒绝接受甲方的整改通知。整改费用由乙方承担，并由乙方承担由此给甲方造成的损失。</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2.4 乙方未在甲方规定的工期期限内完成维护施工的，每逾期一日，甲方有权扣减该次检维护费用</w:t>
      </w:r>
      <w:r>
        <w:rPr>
          <w:rFonts w:hint="eastAsia" w:asciiTheme="minorEastAsia" w:hAnsiTheme="minorEastAsia" w:eastAsiaTheme="minorEastAsia"/>
          <w:color w:val="000000"/>
          <w:szCs w:val="21"/>
          <w:u w:val="single"/>
        </w:rPr>
        <w:t xml:space="preserve">  0.1  </w:t>
      </w:r>
      <w:r>
        <w:rPr>
          <w:rFonts w:hint="eastAsia" w:asciiTheme="minorEastAsia" w:hAnsiTheme="minorEastAsia" w:eastAsiaTheme="minorEastAsia"/>
          <w:szCs w:val="21"/>
        </w:rPr>
        <w:t xml:space="preserve"> %的违约金；逾期超过</w:t>
      </w:r>
      <w:r>
        <w:rPr>
          <w:rFonts w:hint="eastAsia" w:asciiTheme="minorEastAsia" w:hAnsiTheme="minorEastAsia" w:eastAsiaTheme="minorEastAsia"/>
          <w:color w:val="000000"/>
          <w:szCs w:val="21"/>
          <w:u w:val="single"/>
        </w:rPr>
        <w:t xml:space="preserve">  5  </w:t>
      </w:r>
      <w:r>
        <w:rPr>
          <w:rFonts w:hint="eastAsia" w:asciiTheme="minorEastAsia" w:hAnsiTheme="minorEastAsia" w:eastAsiaTheme="minorEastAsia"/>
          <w:szCs w:val="21"/>
        </w:rPr>
        <w:t>日的，甲方还有权解除本合同、拒绝结算，并要求乙方赔偿损失。</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2.5 </w:t>
      </w:r>
      <w:r>
        <w:rPr>
          <w:rFonts w:hint="eastAsia" w:asciiTheme="minorEastAsia" w:hAnsiTheme="minorEastAsia" w:eastAsiaTheme="minorEastAsia"/>
          <w:szCs w:val="21"/>
        </w:rPr>
        <w:t>乙方维护期间，因不可归责于甲方的原因造成甲方、乙方或第三方人身、财产损失的，乙方承担赔偿责任，不可抗力等法律另有规定的除外。</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2.6 </w:t>
      </w:r>
      <w:r>
        <w:rPr>
          <w:rFonts w:hint="eastAsia" w:asciiTheme="minorEastAsia" w:hAnsiTheme="minorEastAsia" w:eastAsiaTheme="minorEastAsia"/>
          <w:szCs w:val="21"/>
        </w:rPr>
        <w:t>乙方违反本合同约定，经甲方指出后未在甲方规定期限更正的，甲方视情况提前解除本合同并拒绝支付应付款项。</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2.7 </w:t>
      </w:r>
      <w:r>
        <w:rPr>
          <w:rFonts w:hint="eastAsia" w:asciiTheme="minorEastAsia" w:hAnsiTheme="minorEastAsia" w:eastAsiaTheme="minorEastAsia"/>
          <w:szCs w:val="21"/>
        </w:rPr>
        <w:t>乙方有下列情形之一者，甲方有权解除合同：</w:t>
      </w:r>
    </w:p>
    <w:p>
      <w:pPr>
        <w:keepNext w:val="0"/>
        <w:keepLines w:val="0"/>
        <w:pageBreakBefore w:val="0"/>
        <w:widowControl w:val="0"/>
        <w:numPr>
          <w:numId w:val="0"/>
        </w:numPr>
        <w:kinsoku/>
        <w:wordWrap/>
        <w:overflowPunct/>
        <w:topLinePunct w:val="0"/>
        <w:autoSpaceDE/>
        <w:autoSpaceDN/>
        <w:bidi w:val="0"/>
        <w:adjustRightInd/>
        <w:spacing w:line="360" w:lineRule="auto"/>
        <w:ind w:left="0" w:lef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乙方逾约定开工日期3天，或逾期完工超过3天，或甲方认为不能依限完工时。</w:t>
      </w:r>
    </w:p>
    <w:p>
      <w:pPr>
        <w:keepNext w:val="0"/>
        <w:keepLines w:val="0"/>
        <w:pageBreakBefore w:val="0"/>
        <w:widowControl w:val="0"/>
        <w:numPr>
          <w:numId w:val="0"/>
        </w:numPr>
        <w:kinsoku/>
        <w:wordWrap/>
        <w:overflowPunct/>
        <w:topLinePunct w:val="0"/>
        <w:autoSpaceDE/>
        <w:autoSpaceDN/>
        <w:bidi w:val="0"/>
        <w:adjustRightInd/>
        <w:spacing w:line="360" w:lineRule="auto"/>
        <w:ind w:left="0" w:lef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乙方违反合同约定义务或发生变故不能履行合同时。</w:t>
      </w:r>
    </w:p>
    <w:p>
      <w:pPr>
        <w:keepNext w:val="0"/>
        <w:keepLines w:val="0"/>
        <w:pageBreakBefore w:val="0"/>
        <w:widowControl w:val="0"/>
        <w:numPr>
          <w:numId w:val="0"/>
        </w:numPr>
        <w:kinsoku/>
        <w:wordWrap/>
        <w:overflowPunct/>
        <w:topLinePunct w:val="0"/>
        <w:autoSpaceDE/>
        <w:autoSpaceDN/>
        <w:bidi w:val="0"/>
        <w:adjustRightInd/>
        <w:spacing w:line="360" w:lineRule="auto"/>
        <w:ind w:left="0" w:lef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乙方之施工材料严重不符约定标准，经两次纠正后仍达不到标准时。</w:t>
      </w:r>
    </w:p>
    <w:p>
      <w:pPr>
        <w:keepNext w:val="0"/>
        <w:keepLines w:val="0"/>
        <w:pageBreakBefore w:val="0"/>
        <w:widowControl w:val="0"/>
        <w:numPr>
          <w:numId w:val="0"/>
        </w:numPr>
        <w:kinsoku/>
        <w:wordWrap/>
        <w:overflowPunct/>
        <w:topLinePunct w:val="0"/>
        <w:autoSpaceDE/>
        <w:autoSpaceDN/>
        <w:bidi w:val="0"/>
        <w:adjustRightInd/>
        <w:spacing w:line="360" w:lineRule="auto"/>
        <w:ind w:left="0" w:leftChars="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乙方无正当理由，自停工达48小时以上时。</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因上述原因导致合同解除时，乙方应按合同总价10%向甲方支付违约金，并承担甲方由此造成的一切损失。解除合同时，乙方应缴还甲方提供的一切资料，如经甲方要求，乙方应继续承担保密义务。</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第八条 通知</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第九条 合同份数及生效、失效：</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本合同经双方签订后生效。合同正本陆份，甲方执肆份，乙方执贰份。</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本合同未尽事宜，如需更改经双方协商后可另签补充协议。</w:t>
      </w:r>
    </w:p>
    <w:p>
      <w:pPr>
        <w:keepNext w:val="0"/>
        <w:keepLines w:val="0"/>
        <w:pageBreakBefore w:val="0"/>
        <w:widowControl w:val="0"/>
        <w:tabs>
          <w:tab w:val="left" w:pos="2010"/>
        </w:tabs>
        <w:kinsoku/>
        <w:wordWrap/>
        <w:overflowPunct/>
        <w:topLinePunct w:val="0"/>
        <w:autoSpaceDE/>
        <w:autoSpaceDN/>
        <w:bidi w:val="0"/>
        <w:adjustRightInd/>
        <w:spacing w:line="360" w:lineRule="auto"/>
        <w:textAlignment w:val="auto"/>
        <w:rPr>
          <w:b/>
          <w:szCs w:val="21"/>
        </w:rPr>
      </w:pPr>
      <w:r>
        <w:rPr>
          <w:rFonts w:hint="eastAsia"/>
          <w:b/>
          <w:szCs w:val="21"/>
        </w:rPr>
        <w:t>第十条</w:t>
      </w:r>
      <w:r>
        <w:rPr>
          <w:b/>
          <w:szCs w:val="21"/>
        </w:rPr>
        <w:t xml:space="preserve"> </w:t>
      </w:r>
      <w:r>
        <w:rPr>
          <w:rFonts w:hint="eastAsia"/>
          <w:b/>
          <w:szCs w:val="21"/>
        </w:rPr>
        <w:t>合同附件</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eastAsia="宋体"/>
          <w:szCs w:val="21"/>
          <w:lang w:eastAsia="zh-CN"/>
        </w:rPr>
      </w:pPr>
      <w:r>
        <w:rPr>
          <w:rFonts w:hint="eastAsia"/>
          <w:szCs w:val="21"/>
        </w:rPr>
        <w:t>附件</w:t>
      </w:r>
      <w:r>
        <w:rPr>
          <w:rFonts w:hint="eastAsia"/>
          <w:szCs w:val="21"/>
          <w:lang w:val="en-US" w:eastAsia="zh-CN"/>
        </w:rPr>
        <w:t>1</w:t>
      </w:r>
      <w:r>
        <w:rPr>
          <w:rFonts w:hint="eastAsia"/>
          <w:szCs w:val="21"/>
          <w:lang w:eastAsia="zh-CN"/>
        </w:rPr>
        <w:t>、</w:t>
      </w:r>
      <w:r>
        <w:rPr>
          <w:rFonts w:hint="eastAsia"/>
          <w:szCs w:val="21"/>
        </w:rPr>
        <w:t>报价</w:t>
      </w:r>
      <w:r>
        <w:rPr>
          <w:rFonts w:hint="eastAsia"/>
          <w:szCs w:val="21"/>
          <w:lang w:val="en-US" w:eastAsia="zh-CN"/>
        </w:rPr>
        <w:t>清单</w:t>
      </w:r>
    </w:p>
    <w:p>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heme="minorEastAsia" w:hAnsiTheme="minorEastAsia" w:eastAsiaTheme="minorEastAsia"/>
          <w:szCs w:val="21"/>
        </w:rPr>
      </w:pPr>
      <w:r>
        <w:rPr>
          <w:rFonts w:hint="eastAsia"/>
          <w:szCs w:val="21"/>
        </w:rPr>
        <w:t>附件</w:t>
      </w:r>
      <w:r>
        <w:rPr>
          <w:rFonts w:hint="eastAsia"/>
          <w:szCs w:val="21"/>
          <w:lang w:val="en-US" w:eastAsia="zh-CN"/>
        </w:rPr>
        <w:t>2</w:t>
      </w:r>
      <w:r>
        <w:rPr>
          <w:rFonts w:hint="eastAsia"/>
          <w:szCs w:val="21"/>
          <w:lang w:eastAsia="zh-CN"/>
        </w:rPr>
        <w:t>、</w:t>
      </w:r>
      <w:r>
        <w:rPr>
          <w:rFonts w:hint="eastAsia"/>
          <w:color w:val="000000"/>
        </w:rPr>
        <w:t>技术协议</w:t>
      </w:r>
    </w:p>
    <w:p>
      <w:pPr>
        <w:keepNext w:val="0"/>
        <w:keepLines w:val="0"/>
        <w:pageBreakBefore w:val="0"/>
        <w:widowControl w:val="0"/>
        <w:tabs>
          <w:tab w:val="left" w:pos="2010"/>
        </w:tabs>
        <w:kinsoku/>
        <w:wordWrap/>
        <w:overflowPunct/>
        <w:topLinePunct w:val="0"/>
        <w:autoSpaceDE/>
        <w:autoSpaceDN/>
        <w:bidi w:val="0"/>
        <w:adjustRightInd/>
        <w:spacing w:line="360" w:lineRule="auto"/>
        <w:ind w:left="0" w:firstLine="420" w:firstLineChars="200"/>
        <w:textAlignment w:val="auto"/>
        <w:rPr>
          <w:szCs w:val="21"/>
        </w:rPr>
      </w:pPr>
      <w:r>
        <w:rPr>
          <w:rFonts w:hint="eastAsia"/>
          <w:szCs w:val="21"/>
        </w:rPr>
        <w:t>附件</w:t>
      </w:r>
      <w:r>
        <w:rPr>
          <w:rFonts w:hint="eastAsia"/>
          <w:szCs w:val="21"/>
          <w:lang w:val="en-US" w:eastAsia="zh-CN"/>
        </w:rPr>
        <w:t>3</w:t>
      </w:r>
      <w:r>
        <w:rPr>
          <w:rFonts w:hint="eastAsia"/>
          <w:szCs w:val="21"/>
          <w:lang w:eastAsia="zh-CN"/>
        </w:rPr>
        <w:t>、</w:t>
      </w:r>
      <w:r>
        <w:rPr>
          <w:rFonts w:hint="eastAsia"/>
          <w:szCs w:val="21"/>
        </w:rPr>
        <w:t>安全环保协议书</w:t>
      </w: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ind w:firstLine="840" w:firstLineChars="400"/>
        <w:rPr>
          <w:rFonts w:asciiTheme="minorEastAsia" w:hAnsiTheme="minorEastAsia" w:eastAsiaTheme="minorEastAsia"/>
          <w:szCs w:val="21"/>
        </w:rPr>
      </w:pPr>
    </w:p>
    <w:p>
      <w:pPr>
        <w:tabs>
          <w:tab w:val="left" w:pos="2010"/>
        </w:tabs>
        <w:spacing w:line="520" w:lineRule="exact"/>
        <w:rPr>
          <w:rFonts w:hint="eastAsia" w:asciiTheme="minorEastAsia" w:hAnsiTheme="minorEastAsia" w:eastAsiaTheme="minorEastAsia"/>
          <w:b/>
          <w:bCs/>
          <w:i w:val="0"/>
          <w:iCs w:val="0"/>
          <w:szCs w:val="21"/>
          <w:lang w:eastAsia="zh-CN"/>
        </w:rPr>
      </w:pPr>
      <w:r>
        <w:rPr>
          <w:rFonts w:hint="eastAsia" w:asciiTheme="minorEastAsia" w:hAnsiTheme="minorEastAsia" w:eastAsiaTheme="minorEastAsia"/>
          <w:b/>
          <w:bCs/>
          <w:i w:val="0"/>
          <w:iCs w:val="0"/>
          <w:szCs w:val="21"/>
          <w:lang w:eastAsia="zh-CN"/>
        </w:rPr>
        <w:t>（</w:t>
      </w:r>
      <w:r>
        <w:rPr>
          <w:rFonts w:hint="eastAsia" w:asciiTheme="minorEastAsia" w:hAnsiTheme="minorEastAsia" w:eastAsiaTheme="minorEastAsia"/>
          <w:b/>
          <w:bCs/>
          <w:i w:val="0"/>
          <w:iCs w:val="0"/>
          <w:szCs w:val="21"/>
          <w:lang w:val="en-US" w:eastAsia="zh-CN"/>
        </w:rPr>
        <w:t>以下无正文，仅为签署页</w:t>
      </w:r>
      <w:r>
        <w:rPr>
          <w:rFonts w:hint="eastAsia" w:asciiTheme="minorEastAsia" w:hAnsiTheme="minorEastAsia" w:eastAsiaTheme="minorEastAsia"/>
          <w:b/>
          <w:bCs/>
          <w:i w:val="0"/>
          <w:iCs w:val="0"/>
          <w:szCs w:val="21"/>
          <w:lang w:eastAsia="zh-CN"/>
        </w:rPr>
        <w:t>）</w:t>
      </w:r>
    </w:p>
    <w:p>
      <w:pPr>
        <w:tabs>
          <w:tab w:val="left" w:pos="2010"/>
        </w:tabs>
        <w:spacing w:line="520" w:lineRule="exact"/>
        <w:ind w:firstLine="840" w:firstLineChars="400"/>
        <w:rPr>
          <w:rFonts w:asciiTheme="minorEastAsia" w:hAnsiTheme="minorEastAsia" w:eastAsiaTheme="minorEastAsia"/>
          <w:szCs w:val="21"/>
        </w:rPr>
      </w:pPr>
    </w:p>
    <w:tbl>
      <w:tblPr>
        <w:tblStyle w:val="9"/>
        <w:tblW w:w="8990" w:type="dxa"/>
        <w:tblInd w:w="93" w:type="dxa"/>
        <w:tblLayout w:type="fixed"/>
        <w:tblCellMar>
          <w:top w:w="0" w:type="dxa"/>
          <w:left w:w="108" w:type="dxa"/>
          <w:bottom w:w="0" w:type="dxa"/>
          <w:right w:w="108" w:type="dxa"/>
        </w:tblCellMar>
      </w:tblPr>
      <w:tblGrid>
        <w:gridCol w:w="4410"/>
        <w:gridCol w:w="4580"/>
      </w:tblGrid>
      <w:tr>
        <w:tblPrEx>
          <w:tblCellMar>
            <w:top w:w="0" w:type="dxa"/>
            <w:left w:w="108" w:type="dxa"/>
            <w:bottom w:w="0" w:type="dxa"/>
            <w:right w:w="108" w:type="dxa"/>
          </w:tblCellMar>
        </w:tblPrEx>
        <w:trPr>
          <w:trHeight w:val="660" w:hRule="atLeast"/>
        </w:trPr>
        <w:tc>
          <w:tcPr>
            <w:tcW w:w="4410" w:type="dxa"/>
            <w:tcBorders>
              <w:top w:val="nil"/>
              <w:left w:val="nil"/>
              <w:bottom w:val="nil"/>
              <w:right w:val="nil"/>
            </w:tcBorders>
            <w:shd w:val="clear" w:color="auto" w:fill="auto"/>
            <w:vAlign w:val="center"/>
          </w:tcPr>
          <w:p>
            <w:pPr>
              <w:spacing w:line="360" w:lineRule="auto"/>
              <w:rPr>
                <w:rFonts w:ascii="宋体" w:hAnsi="宋体" w:cs="宋体"/>
                <w:color w:val="000000"/>
                <w:kern w:val="0"/>
                <w:sz w:val="22"/>
                <w:szCs w:val="22"/>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580" w:type="dxa"/>
            <w:tcBorders>
              <w:top w:val="nil"/>
              <w:left w:val="nil"/>
              <w:bottom w:val="nil"/>
              <w:right w:val="nil"/>
            </w:tcBorders>
            <w:shd w:val="clear" w:color="auto" w:fill="auto"/>
            <w:vAlign w:val="center"/>
          </w:tcPr>
          <w:p>
            <w:pPr>
              <w:spacing w:line="360" w:lineRule="auto"/>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p>
        </w:tc>
      </w:tr>
      <w:tr>
        <w:tblPrEx>
          <w:tblCellMar>
            <w:top w:w="0" w:type="dxa"/>
            <w:left w:w="108" w:type="dxa"/>
            <w:bottom w:w="0" w:type="dxa"/>
            <w:right w:w="108" w:type="dxa"/>
          </w:tblCellMar>
        </w:tblPrEx>
        <w:trPr>
          <w:trHeight w:val="978" w:hRule="atLeast"/>
        </w:trPr>
        <w:tc>
          <w:tcPr>
            <w:tcW w:w="4410" w:type="dxa"/>
            <w:tcBorders>
              <w:top w:val="nil"/>
              <w:left w:val="nil"/>
              <w:bottom w:val="nil"/>
              <w:right w:val="nil"/>
            </w:tcBorders>
            <w:shd w:val="clear" w:color="auto" w:fill="auto"/>
            <w:vAlign w:val="center"/>
          </w:tcPr>
          <w:p>
            <w:pPr>
              <w:spacing w:line="360" w:lineRule="auto"/>
              <w:rPr>
                <w:rFonts w:ascii="宋体" w:hAnsi="宋体" w:cs="宋体"/>
                <w:color w:val="000000"/>
                <w:kern w:val="0"/>
                <w:szCs w:val="21"/>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580" w:type="dxa"/>
            <w:tcBorders>
              <w:top w:val="nil"/>
              <w:left w:val="nil"/>
              <w:bottom w:val="nil"/>
              <w:right w:val="nil"/>
            </w:tcBorders>
            <w:shd w:val="clear" w:color="auto" w:fill="auto"/>
            <w:vAlign w:val="center"/>
          </w:tcPr>
          <w:p>
            <w:pPr>
              <w:spacing w:line="360" w:lineRule="auto"/>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w:t>
            </w:r>
          </w:p>
        </w:tc>
      </w:tr>
      <w:tr>
        <w:tblPrEx>
          <w:tblCellMar>
            <w:top w:w="0" w:type="dxa"/>
            <w:left w:w="108" w:type="dxa"/>
            <w:bottom w:w="0" w:type="dxa"/>
            <w:right w:w="108" w:type="dxa"/>
          </w:tblCellMar>
        </w:tblPrEx>
        <w:trPr>
          <w:trHeight w:val="630" w:hRule="atLeast"/>
        </w:trPr>
        <w:tc>
          <w:tcPr>
            <w:tcW w:w="4410" w:type="dxa"/>
            <w:tcBorders>
              <w:top w:val="nil"/>
              <w:left w:val="nil"/>
              <w:bottom w:val="nil"/>
              <w:right w:val="nil"/>
            </w:tcBorders>
            <w:shd w:val="clear" w:color="auto" w:fill="auto"/>
            <w:vAlign w:val="center"/>
          </w:tcPr>
          <w:p>
            <w:pPr>
              <w:spacing w:line="360" w:lineRule="auto"/>
              <w:rPr>
                <w:rFonts w:ascii="宋体" w:hAnsi="宋体" w:cs="宋体"/>
                <w:color w:val="000000"/>
                <w:kern w:val="0"/>
                <w:szCs w:val="21"/>
              </w:rPr>
            </w:pPr>
            <w:r>
              <w:rPr>
                <w:rFonts w:hint="eastAsia" w:asciiTheme="majorEastAsia" w:hAnsiTheme="majorEastAsia" w:eastAsiaTheme="majorEastAsia"/>
                <w:sz w:val="21"/>
                <w:szCs w:val="21"/>
                <w:lang w:eastAsia="zh-CN"/>
              </w:rPr>
              <w:t>电子邮箱:xydai@fhcpec.com.cn</w:t>
            </w:r>
          </w:p>
        </w:tc>
        <w:tc>
          <w:tcPr>
            <w:tcW w:w="4580" w:type="dxa"/>
            <w:tcBorders>
              <w:top w:val="nil"/>
              <w:left w:val="nil"/>
              <w:bottom w:val="nil"/>
              <w:right w:val="nil"/>
            </w:tcBorders>
            <w:shd w:val="clear" w:color="auto" w:fill="auto"/>
            <w:vAlign w:val="center"/>
          </w:tcPr>
          <w:p>
            <w:pPr>
              <w:spacing w:line="360" w:lineRule="auto"/>
              <w:jc w:val="both"/>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w:t>
            </w:r>
          </w:p>
        </w:tc>
      </w:tr>
      <w:tr>
        <w:tblPrEx>
          <w:tblCellMar>
            <w:top w:w="0" w:type="dxa"/>
            <w:left w:w="108" w:type="dxa"/>
            <w:bottom w:w="0" w:type="dxa"/>
            <w:right w:w="108" w:type="dxa"/>
          </w:tblCellMar>
        </w:tblPrEx>
        <w:trPr>
          <w:trHeight w:val="499" w:hRule="atLeast"/>
        </w:trPr>
        <w:tc>
          <w:tcPr>
            <w:tcW w:w="4410" w:type="dxa"/>
            <w:tcBorders>
              <w:top w:val="nil"/>
              <w:left w:val="nil"/>
              <w:bottom w:val="nil"/>
              <w:right w:val="nil"/>
            </w:tcBorders>
            <w:shd w:val="clear" w:color="auto" w:fill="auto"/>
            <w:vAlign w:val="center"/>
          </w:tcPr>
          <w:p>
            <w:pPr>
              <w:spacing w:line="360" w:lineRule="auto"/>
              <w:rPr>
                <w:rFonts w:ascii="宋体" w:hAnsi="宋体" w:cs="宋体"/>
                <w:color w:val="000000"/>
                <w:kern w:val="0"/>
                <w:szCs w:val="21"/>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580" w:type="dxa"/>
            <w:tcBorders>
              <w:top w:val="nil"/>
              <w:left w:val="nil"/>
              <w:bottom w:val="nil"/>
              <w:right w:val="nil"/>
            </w:tcBorders>
            <w:shd w:val="clear" w:color="auto" w:fill="auto"/>
            <w:vAlign w:val="center"/>
          </w:tcPr>
          <w:p>
            <w:pPr>
              <w:spacing w:line="360" w:lineRule="auto"/>
              <w:jc w:val="both"/>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eastAsia="zh-CN"/>
              </w:rPr>
              <w:t>授权委托人：</w:t>
            </w:r>
          </w:p>
        </w:tc>
      </w:tr>
      <w:tr>
        <w:tblPrEx>
          <w:tblCellMar>
            <w:top w:w="0" w:type="dxa"/>
            <w:left w:w="108" w:type="dxa"/>
            <w:bottom w:w="0" w:type="dxa"/>
            <w:right w:w="108" w:type="dxa"/>
          </w:tblCellMar>
        </w:tblPrEx>
        <w:trPr>
          <w:trHeight w:val="774" w:hRule="atLeast"/>
        </w:trPr>
        <w:tc>
          <w:tcPr>
            <w:tcW w:w="4410" w:type="dxa"/>
            <w:tcBorders>
              <w:top w:val="nil"/>
              <w:left w:val="nil"/>
              <w:bottom w:val="nil"/>
              <w:right w:val="nil"/>
            </w:tcBorders>
            <w:shd w:val="clear" w:color="auto" w:fill="auto"/>
            <w:vAlign w:val="center"/>
          </w:tcPr>
          <w:p>
            <w:pPr>
              <w:spacing w:line="360" w:lineRule="auto"/>
              <w:rPr>
                <w:rFonts w:ascii="宋体" w:hAnsi="宋体" w:cs="宋体"/>
                <w:color w:val="000000"/>
                <w:kern w:val="0"/>
                <w:szCs w:val="21"/>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580" w:type="dxa"/>
            <w:tcBorders>
              <w:top w:val="nil"/>
              <w:left w:val="nil"/>
              <w:bottom w:val="nil"/>
              <w:right w:val="nil"/>
            </w:tcBorders>
            <w:shd w:val="clear" w:color="auto" w:fill="auto"/>
            <w:vAlign w:val="center"/>
          </w:tcPr>
          <w:p>
            <w:pPr>
              <w:spacing w:line="360" w:lineRule="auto"/>
              <w:jc w:val="both"/>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eastAsia="zh-CN"/>
              </w:rPr>
              <w:t>电话：</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789B"/>
    <w:rsid w:val="000378DC"/>
    <w:rsid w:val="00056C13"/>
    <w:rsid w:val="000716D8"/>
    <w:rsid w:val="00071B05"/>
    <w:rsid w:val="00077416"/>
    <w:rsid w:val="00081EAA"/>
    <w:rsid w:val="000826DC"/>
    <w:rsid w:val="00086922"/>
    <w:rsid w:val="0009324E"/>
    <w:rsid w:val="00096FBF"/>
    <w:rsid w:val="000B097C"/>
    <w:rsid w:val="000C1E16"/>
    <w:rsid w:val="000C2694"/>
    <w:rsid w:val="000C5E38"/>
    <w:rsid w:val="000C7E49"/>
    <w:rsid w:val="000D11FB"/>
    <w:rsid w:val="000E3CFC"/>
    <w:rsid w:val="000F0099"/>
    <w:rsid w:val="000F02A6"/>
    <w:rsid w:val="000F110E"/>
    <w:rsid w:val="00100978"/>
    <w:rsid w:val="0011150C"/>
    <w:rsid w:val="0012042B"/>
    <w:rsid w:val="00125822"/>
    <w:rsid w:val="00125F50"/>
    <w:rsid w:val="00136E12"/>
    <w:rsid w:val="001379EA"/>
    <w:rsid w:val="00154E22"/>
    <w:rsid w:val="0016295F"/>
    <w:rsid w:val="001649C2"/>
    <w:rsid w:val="00172A27"/>
    <w:rsid w:val="00184BB9"/>
    <w:rsid w:val="001902F2"/>
    <w:rsid w:val="001A2A9F"/>
    <w:rsid w:val="001B7568"/>
    <w:rsid w:val="001C0023"/>
    <w:rsid w:val="001C388E"/>
    <w:rsid w:val="001C5CC7"/>
    <w:rsid w:val="001D32F8"/>
    <w:rsid w:val="001E0A11"/>
    <w:rsid w:val="001F0D07"/>
    <w:rsid w:val="002006DA"/>
    <w:rsid w:val="002019F3"/>
    <w:rsid w:val="00221102"/>
    <w:rsid w:val="00221F24"/>
    <w:rsid w:val="00243FB7"/>
    <w:rsid w:val="0024416B"/>
    <w:rsid w:val="00246D76"/>
    <w:rsid w:val="00267DCC"/>
    <w:rsid w:val="00275CAE"/>
    <w:rsid w:val="0028659D"/>
    <w:rsid w:val="002A0B61"/>
    <w:rsid w:val="002A3023"/>
    <w:rsid w:val="002A717D"/>
    <w:rsid w:val="002B6E28"/>
    <w:rsid w:val="002C0E33"/>
    <w:rsid w:val="002C7ECB"/>
    <w:rsid w:val="002D4E84"/>
    <w:rsid w:val="002E6632"/>
    <w:rsid w:val="002F3608"/>
    <w:rsid w:val="00320F44"/>
    <w:rsid w:val="00327D15"/>
    <w:rsid w:val="003319D0"/>
    <w:rsid w:val="003410E3"/>
    <w:rsid w:val="00341D84"/>
    <w:rsid w:val="003764A4"/>
    <w:rsid w:val="003933E9"/>
    <w:rsid w:val="00394338"/>
    <w:rsid w:val="0039438D"/>
    <w:rsid w:val="003969F5"/>
    <w:rsid w:val="003A3C9B"/>
    <w:rsid w:val="003C3E0A"/>
    <w:rsid w:val="003C61FB"/>
    <w:rsid w:val="003D3249"/>
    <w:rsid w:val="003E2E48"/>
    <w:rsid w:val="00400DA4"/>
    <w:rsid w:val="00404396"/>
    <w:rsid w:val="00412F4E"/>
    <w:rsid w:val="00415770"/>
    <w:rsid w:val="00421E1F"/>
    <w:rsid w:val="00425662"/>
    <w:rsid w:val="00433D54"/>
    <w:rsid w:val="00434400"/>
    <w:rsid w:val="004354D7"/>
    <w:rsid w:val="00437465"/>
    <w:rsid w:val="00440F00"/>
    <w:rsid w:val="004446C5"/>
    <w:rsid w:val="00446347"/>
    <w:rsid w:val="0046589C"/>
    <w:rsid w:val="00473B3D"/>
    <w:rsid w:val="0047579F"/>
    <w:rsid w:val="004875AD"/>
    <w:rsid w:val="004B7254"/>
    <w:rsid w:val="004C073F"/>
    <w:rsid w:val="004C0A5B"/>
    <w:rsid w:val="004C4408"/>
    <w:rsid w:val="004E7999"/>
    <w:rsid w:val="004E7C37"/>
    <w:rsid w:val="00503F17"/>
    <w:rsid w:val="00504F5D"/>
    <w:rsid w:val="00505DA6"/>
    <w:rsid w:val="00512079"/>
    <w:rsid w:val="00521FBF"/>
    <w:rsid w:val="00522535"/>
    <w:rsid w:val="00531848"/>
    <w:rsid w:val="00535F77"/>
    <w:rsid w:val="005605A1"/>
    <w:rsid w:val="00564861"/>
    <w:rsid w:val="00566002"/>
    <w:rsid w:val="00566AF1"/>
    <w:rsid w:val="00566B25"/>
    <w:rsid w:val="005718D4"/>
    <w:rsid w:val="0058220E"/>
    <w:rsid w:val="005839AE"/>
    <w:rsid w:val="00584518"/>
    <w:rsid w:val="005B51BD"/>
    <w:rsid w:val="005C333D"/>
    <w:rsid w:val="005C5082"/>
    <w:rsid w:val="005D176A"/>
    <w:rsid w:val="005D69DF"/>
    <w:rsid w:val="005E2A82"/>
    <w:rsid w:val="005E4518"/>
    <w:rsid w:val="005F0761"/>
    <w:rsid w:val="005F7542"/>
    <w:rsid w:val="00603683"/>
    <w:rsid w:val="00606285"/>
    <w:rsid w:val="006300D5"/>
    <w:rsid w:val="00632DF7"/>
    <w:rsid w:val="00635757"/>
    <w:rsid w:val="006623C7"/>
    <w:rsid w:val="006623DF"/>
    <w:rsid w:val="00671D16"/>
    <w:rsid w:val="00671D78"/>
    <w:rsid w:val="00674E33"/>
    <w:rsid w:val="006766DB"/>
    <w:rsid w:val="00681CB0"/>
    <w:rsid w:val="00686425"/>
    <w:rsid w:val="0069306A"/>
    <w:rsid w:val="006A049E"/>
    <w:rsid w:val="006A2092"/>
    <w:rsid w:val="006A740E"/>
    <w:rsid w:val="006A7A9D"/>
    <w:rsid w:val="006B1413"/>
    <w:rsid w:val="006B474E"/>
    <w:rsid w:val="006C76A2"/>
    <w:rsid w:val="006D7F94"/>
    <w:rsid w:val="006F199F"/>
    <w:rsid w:val="006F4C11"/>
    <w:rsid w:val="007061D7"/>
    <w:rsid w:val="007207F2"/>
    <w:rsid w:val="00727D6D"/>
    <w:rsid w:val="00734DD8"/>
    <w:rsid w:val="00736770"/>
    <w:rsid w:val="00742F99"/>
    <w:rsid w:val="007517D7"/>
    <w:rsid w:val="00772A3E"/>
    <w:rsid w:val="00776BC7"/>
    <w:rsid w:val="00780278"/>
    <w:rsid w:val="00783A68"/>
    <w:rsid w:val="00791740"/>
    <w:rsid w:val="00794FE2"/>
    <w:rsid w:val="007C0E4D"/>
    <w:rsid w:val="007C614C"/>
    <w:rsid w:val="007C6237"/>
    <w:rsid w:val="007D37B0"/>
    <w:rsid w:val="007D7021"/>
    <w:rsid w:val="007E6501"/>
    <w:rsid w:val="00802A14"/>
    <w:rsid w:val="0081741A"/>
    <w:rsid w:val="00817A42"/>
    <w:rsid w:val="00821CA2"/>
    <w:rsid w:val="008248C3"/>
    <w:rsid w:val="0082644F"/>
    <w:rsid w:val="0087090D"/>
    <w:rsid w:val="00883277"/>
    <w:rsid w:val="00893897"/>
    <w:rsid w:val="008A64DB"/>
    <w:rsid w:val="008B6FB4"/>
    <w:rsid w:val="008B78E4"/>
    <w:rsid w:val="008C1BA1"/>
    <w:rsid w:val="008C41C4"/>
    <w:rsid w:val="008D3C81"/>
    <w:rsid w:val="008D56AB"/>
    <w:rsid w:val="008D7D72"/>
    <w:rsid w:val="008E43ED"/>
    <w:rsid w:val="00900184"/>
    <w:rsid w:val="00900975"/>
    <w:rsid w:val="009011E0"/>
    <w:rsid w:val="00911B24"/>
    <w:rsid w:val="00911DF7"/>
    <w:rsid w:val="0091468F"/>
    <w:rsid w:val="0092014E"/>
    <w:rsid w:val="00926845"/>
    <w:rsid w:val="00927F25"/>
    <w:rsid w:val="00944600"/>
    <w:rsid w:val="00962589"/>
    <w:rsid w:val="00986850"/>
    <w:rsid w:val="00995B2E"/>
    <w:rsid w:val="00996535"/>
    <w:rsid w:val="009A2DE2"/>
    <w:rsid w:val="009A46DC"/>
    <w:rsid w:val="009A71BD"/>
    <w:rsid w:val="009B1D69"/>
    <w:rsid w:val="009C08EC"/>
    <w:rsid w:val="009C0E7B"/>
    <w:rsid w:val="009C0F3F"/>
    <w:rsid w:val="009C240B"/>
    <w:rsid w:val="009D2640"/>
    <w:rsid w:val="009E40B1"/>
    <w:rsid w:val="009E7CD7"/>
    <w:rsid w:val="009F1940"/>
    <w:rsid w:val="00A06F9E"/>
    <w:rsid w:val="00A14298"/>
    <w:rsid w:val="00A16C30"/>
    <w:rsid w:val="00A27C98"/>
    <w:rsid w:val="00A35F3E"/>
    <w:rsid w:val="00A44FA2"/>
    <w:rsid w:val="00A57629"/>
    <w:rsid w:val="00A711A5"/>
    <w:rsid w:val="00A71AC4"/>
    <w:rsid w:val="00A81FE1"/>
    <w:rsid w:val="00A922AF"/>
    <w:rsid w:val="00AA7E5E"/>
    <w:rsid w:val="00AC0196"/>
    <w:rsid w:val="00AD2149"/>
    <w:rsid w:val="00AE03CF"/>
    <w:rsid w:val="00AE26B1"/>
    <w:rsid w:val="00AE64F9"/>
    <w:rsid w:val="00AF099E"/>
    <w:rsid w:val="00AF4F89"/>
    <w:rsid w:val="00AF64A5"/>
    <w:rsid w:val="00B0205E"/>
    <w:rsid w:val="00B116FA"/>
    <w:rsid w:val="00B22A2C"/>
    <w:rsid w:val="00B24865"/>
    <w:rsid w:val="00B24E7C"/>
    <w:rsid w:val="00B25A16"/>
    <w:rsid w:val="00B27D70"/>
    <w:rsid w:val="00B537F4"/>
    <w:rsid w:val="00B61E24"/>
    <w:rsid w:val="00B716FE"/>
    <w:rsid w:val="00B73F12"/>
    <w:rsid w:val="00B7676C"/>
    <w:rsid w:val="00B83DFB"/>
    <w:rsid w:val="00B83ED0"/>
    <w:rsid w:val="00B84847"/>
    <w:rsid w:val="00B871A6"/>
    <w:rsid w:val="00B91E07"/>
    <w:rsid w:val="00BA6ED6"/>
    <w:rsid w:val="00BB0271"/>
    <w:rsid w:val="00BB4BEB"/>
    <w:rsid w:val="00BC1BD8"/>
    <w:rsid w:val="00BC6171"/>
    <w:rsid w:val="00BD2707"/>
    <w:rsid w:val="00BD2BFE"/>
    <w:rsid w:val="00BF6D18"/>
    <w:rsid w:val="00C00516"/>
    <w:rsid w:val="00C0524A"/>
    <w:rsid w:val="00C22E2F"/>
    <w:rsid w:val="00C35CE9"/>
    <w:rsid w:val="00C4625F"/>
    <w:rsid w:val="00C557B2"/>
    <w:rsid w:val="00C64C4E"/>
    <w:rsid w:val="00C729AF"/>
    <w:rsid w:val="00C81E8D"/>
    <w:rsid w:val="00C84F58"/>
    <w:rsid w:val="00CC1D42"/>
    <w:rsid w:val="00CC4324"/>
    <w:rsid w:val="00CC7637"/>
    <w:rsid w:val="00D02889"/>
    <w:rsid w:val="00D07A19"/>
    <w:rsid w:val="00D10EEB"/>
    <w:rsid w:val="00D125F3"/>
    <w:rsid w:val="00D24527"/>
    <w:rsid w:val="00D250F0"/>
    <w:rsid w:val="00D27350"/>
    <w:rsid w:val="00D30998"/>
    <w:rsid w:val="00D34646"/>
    <w:rsid w:val="00D41AF8"/>
    <w:rsid w:val="00D603B2"/>
    <w:rsid w:val="00D80B5A"/>
    <w:rsid w:val="00D82401"/>
    <w:rsid w:val="00D9627F"/>
    <w:rsid w:val="00DB4577"/>
    <w:rsid w:val="00DC6485"/>
    <w:rsid w:val="00DD1237"/>
    <w:rsid w:val="00DE05D8"/>
    <w:rsid w:val="00DE4935"/>
    <w:rsid w:val="00DF3225"/>
    <w:rsid w:val="00DF74ED"/>
    <w:rsid w:val="00E0656B"/>
    <w:rsid w:val="00E12D8D"/>
    <w:rsid w:val="00E272B8"/>
    <w:rsid w:val="00E353FA"/>
    <w:rsid w:val="00E526E8"/>
    <w:rsid w:val="00E54CD2"/>
    <w:rsid w:val="00E55577"/>
    <w:rsid w:val="00E57AB3"/>
    <w:rsid w:val="00E7061C"/>
    <w:rsid w:val="00E7373D"/>
    <w:rsid w:val="00E80B28"/>
    <w:rsid w:val="00E80DED"/>
    <w:rsid w:val="00E847BD"/>
    <w:rsid w:val="00EB2D24"/>
    <w:rsid w:val="00EC1B47"/>
    <w:rsid w:val="00EC76B4"/>
    <w:rsid w:val="00EE6214"/>
    <w:rsid w:val="00F1546E"/>
    <w:rsid w:val="00F17E7B"/>
    <w:rsid w:val="00F21E85"/>
    <w:rsid w:val="00F25828"/>
    <w:rsid w:val="00F407FC"/>
    <w:rsid w:val="00F474E0"/>
    <w:rsid w:val="00F501A8"/>
    <w:rsid w:val="00F6135A"/>
    <w:rsid w:val="00F7511A"/>
    <w:rsid w:val="00F81944"/>
    <w:rsid w:val="00F913A5"/>
    <w:rsid w:val="00F966F5"/>
    <w:rsid w:val="00FA217B"/>
    <w:rsid w:val="00FA5854"/>
    <w:rsid w:val="00FA587B"/>
    <w:rsid w:val="00FB3B42"/>
    <w:rsid w:val="00FC5965"/>
    <w:rsid w:val="00FE00E5"/>
    <w:rsid w:val="00FE0E1D"/>
    <w:rsid w:val="1941543F"/>
    <w:rsid w:val="1A5E658A"/>
    <w:rsid w:val="2EE565A9"/>
    <w:rsid w:val="334E1D26"/>
    <w:rsid w:val="337F46B3"/>
    <w:rsid w:val="43F10825"/>
    <w:rsid w:val="4B645002"/>
    <w:rsid w:val="4E202B83"/>
    <w:rsid w:val="53AE1CB1"/>
    <w:rsid w:val="66935170"/>
    <w:rsid w:val="6B7B4BD9"/>
    <w:rsid w:val="6C9F7CFC"/>
    <w:rsid w:val="771D0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3">
    <w:name w:val="annotation text"/>
    <w:basedOn w:val="1"/>
    <w:link w:val="16"/>
    <w:semiHidden/>
    <w:unhideWhenUsed/>
    <w:qFormat/>
    <w:uiPriority w:val="99"/>
    <w:pPr>
      <w:jc w:val="left"/>
    </w:pPr>
  </w:style>
  <w:style w:type="paragraph" w:styleId="4">
    <w:name w:val="Plain Text"/>
    <w:basedOn w:val="1"/>
    <w:link w:val="21"/>
    <w:qFormat/>
    <w:uiPriority w:val="99"/>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批注框文本 Char"/>
    <w:basedOn w:val="11"/>
    <w:link w:val="5"/>
    <w:semiHidden/>
    <w:qFormat/>
    <w:uiPriority w:val="99"/>
    <w:rPr>
      <w:kern w:val="2"/>
      <w:sz w:val="18"/>
      <w:szCs w:val="18"/>
    </w:rPr>
  </w:style>
  <w:style w:type="character" w:customStyle="1" w:styleId="14">
    <w:name w:val="页眉 Char"/>
    <w:basedOn w:val="11"/>
    <w:link w:val="7"/>
    <w:qFormat/>
    <w:uiPriority w:val="99"/>
    <w:rPr>
      <w:kern w:val="2"/>
      <w:sz w:val="18"/>
      <w:szCs w:val="18"/>
    </w:rPr>
  </w:style>
  <w:style w:type="character" w:customStyle="1" w:styleId="15">
    <w:name w:val="页脚 Char"/>
    <w:basedOn w:val="11"/>
    <w:link w:val="6"/>
    <w:qFormat/>
    <w:uiPriority w:val="99"/>
    <w:rPr>
      <w:kern w:val="2"/>
      <w:sz w:val="18"/>
      <w:szCs w:val="18"/>
    </w:rPr>
  </w:style>
  <w:style w:type="character" w:customStyle="1" w:styleId="16">
    <w:name w:val="批注文字 Char"/>
    <w:basedOn w:val="11"/>
    <w:link w:val="3"/>
    <w:semiHidden/>
    <w:qFormat/>
    <w:uiPriority w:val="99"/>
    <w:rPr>
      <w:kern w:val="2"/>
      <w:sz w:val="21"/>
      <w:szCs w:val="24"/>
    </w:rPr>
  </w:style>
  <w:style w:type="character" w:customStyle="1" w:styleId="17">
    <w:name w:val="批注主题 Char"/>
    <w:basedOn w:val="16"/>
    <w:link w:val="8"/>
    <w:semiHidden/>
    <w:qFormat/>
    <w:uiPriority w:val="99"/>
    <w:rPr>
      <w:b/>
      <w:bCs/>
      <w:kern w:val="2"/>
      <w:sz w:val="21"/>
      <w:szCs w:val="24"/>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styleId="19">
    <w:name w:val="Placeholder Text"/>
    <w:basedOn w:val="11"/>
    <w:semiHidden/>
    <w:qFormat/>
    <w:uiPriority w:val="99"/>
    <w:rPr>
      <w:color w:val="808080"/>
    </w:rPr>
  </w:style>
  <w:style w:type="paragraph" w:styleId="20">
    <w:name w:val="List Paragraph"/>
    <w:basedOn w:val="1"/>
    <w:qFormat/>
    <w:uiPriority w:val="34"/>
    <w:pPr>
      <w:ind w:firstLine="420" w:firstLineChars="200"/>
    </w:pPr>
  </w:style>
  <w:style w:type="character" w:customStyle="1" w:styleId="21">
    <w:name w:val="纯文本 Char"/>
    <w:basedOn w:val="11"/>
    <w:link w:val="4"/>
    <w:qFormat/>
    <w:uiPriority w:val="99"/>
    <w:rPr>
      <w:rFonts w:ascii="宋体" w:hAnsi="Courier New"/>
      <w:kern w:val="2"/>
      <w:sz w:val="21"/>
      <w:szCs w:val="21"/>
    </w:r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D96A-AABC-403B-8BDA-7B89A8B7D3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649</Words>
  <Characters>3701</Characters>
  <Lines>30</Lines>
  <Paragraphs>8</Paragraphs>
  <TotalTime>1</TotalTime>
  <ScaleCrop>false</ScaleCrop>
  <LinksUpToDate>false</LinksUpToDate>
  <CharactersWithSpaces>4342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2018-01-23T01:56:00Z</dcterms:created>
  <dc:creator>LiN</dc:creator>
  <cp:lastModifiedBy>GM10</cp:lastModifiedBy>
  <dcterms:modified xsi:type="dcterms:W3CDTF">2023-03-01T08:45:23Z</dcterms:modified>
  <dc:title>检修项目协议书</dc:title>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D8A93DFF5C7D41069A2A377542E23EB0</vt:lpwstr>
  </property>
</Properties>
</file>