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6"/>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val="en-US" w:eastAsia="zh-CN"/>
        </w:rPr>
        <w:t>示水膏示油膏</w:t>
      </w:r>
      <w:r>
        <w:rPr>
          <w:rFonts w:hint="eastAsia" w:ascii="微软雅黑" w:eastAsia="微软雅黑"/>
          <w:b/>
          <w:sz w:val="36"/>
          <w:szCs w:val="36"/>
          <w:lang w:val="en-US" w:eastAsia="zh-CN"/>
        </w:rPr>
        <w:t>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6"/>
        <w:jc w:val="center"/>
        <w:rPr>
          <w:sz w:val="28"/>
          <w:szCs w:val="28"/>
        </w:rPr>
      </w:pPr>
      <w:r>
        <w:rPr>
          <w:rFonts w:hint="eastAsia"/>
          <w:sz w:val="28"/>
          <w:szCs w:val="28"/>
        </w:rPr>
        <w:t>（文件编号：</w:t>
      </w:r>
      <w:r>
        <w:rPr>
          <w:rFonts w:hint="eastAsia"/>
          <w:sz w:val="28"/>
          <w:szCs w:val="28"/>
          <w:lang w:val="en-US" w:eastAsia="zh-CN"/>
        </w:rPr>
        <w:t>FHC-PTCG20230313002</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6"/>
      </w:pPr>
    </w:p>
    <w:p>
      <w:pPr>
        <w:pStyle w:val="36"/>
      </w:pPr>
    </w:p>
    <w:p>
      <w:pPr>
        <w:pStyle w:val="36"/>
      </w:pPr>
    </w:p>
    <w:p>
      <w:pPr>
        <w:pStyle w:val="36"/>
      </w:pPr>
    </w:p>
    <w:p>
      <w:pPr>
        <w:pStyle w:val="36"/>
      </w:pPr>
    </w:p>
    <w:p>
      <w:pPr>
        <w:pStyle w:val="36"/>
      </w:pPr>
    </w:p>
    <w:p>
      <w:pPr>
        <w:pStyle w:val="36"/>
      </w:pPr>
    </w:p>
    <w:p>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val="en-US" w:eastAsia="zh-CN"/>
        </w:rPr>
        <w:t>示水膏示油膏</w:t>
      </w:r>
      <w:r>
        <w:rPr>
          <w:rFonts w:hint="eastAsia" w:asciiTheme="majorEastAsia" w:hAnsiTheme="majorEastAsia" w:eastAsiaTheme="majorEastAsia"/>
          <w:u w:val="single"/>
          <w:lang w:eastAsia="zh-CN"/>
        </w:rPr>
        <w:t>采购项目（项目编号：</w:t>
      </w:r>
      <w:r>
        <w:rPr>
          <w:rFonts w:hint="eastAsia" w:asciiTheme="majorEastAsia" w:hAnsiTheme="majorEastAsia" w:eastAsiaTheme="majorEastAsia"/>
          <w:u w:val="single"/>
          <w:lang w:val="en-US" w:eastAsia="zh-CN"/>
        </w:rPr>
        <w:t>FHC-PTCG20230313002</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asciiTheme="majorEastAsia" w:hAnsiTheme="majorEastAsia" w:eastAsiaTheme="majorEastAsia"/>
          <w:u w:val="single"/>
          <w:lang w:val="en-US" w:eastAsia="zh-CN"/>
        </w:rPr>
        <w:t>示水膏示油膏</w:t>
      </w:r>
      <w:r>
        <w:rPr>
          <w:rFonts w:hint="eastAsia" w:asciiTheme="majorEastAsia" w:hAnsiTheme="majorEastAsia" w:eastAsiaTheme="majorEastAsia"/>
          <w:bCs/>
          <w:sz w:val="24"/>
          <w:szCs w:val="24"/>
          <w:u w:val="single"/>
          <w:lang w:eastAsia="zh-CN"/>
        </w:rPr>
        <w:t xml:space="preserve">采购 </w:t>
      </w:r>
    </w:p>
    <w:p>
      <w:pPr>
        <w:pStyle w:val="3"/>
        <w:spacing w:line="360" w:lineRule="auto"/>
        <w:ind w:left="720" w:leftChars="218" w:hanging="240" w:hangingChars="100"/>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用途</w:t>
      </w:r>
      <w:r>
        <w:rPr>
          <w:rFonts w:hint="eastAsia" w:asciiTheme="majorEastAsia" w:hAnsiTheme="majorEastAsia" w:eastAsiaTheme="majorEastAsia"/>
          <w:b w:val="0"/>
          <w:lang w:eastAsia="zh-CN"/>
        </w:rPr>
        <w:t>：储运团队属地现共有储罐96台，除液化石油气及戊烷共16台球形压力容器无法进行人工检尺计量，剩余80台储罐，日常需对储罐进行检尺测温操作，每月月底需进行人工检尺盘点，</w:t>
      </w:r>
      <w:r>
        <w:rPr>
          <w:rFonts w:hint="eastAsia" w:asciiTheme="majorEastAsia" w:hAnsiTheme="majorEastAsia" w:eastAsiaTheme="majorEastAsia"/>
          <w:b w:val="0"/>
          <w:lang w:val="en-US" w:eastAsia="zh-CN"/>
        </w:rPr>
        <w:t>需要用到</w:t>
      </w:r>
      <w:r>
        <w:rPr>
          <w:rFonts w:hint="eastAsia" w:asciiTheme="majorEastAsia" w:hAnsiTheme="majorEastAsia" w:eastAsiaTheme="majorEastAsia"/>
          <w:b w:val="0"/>
          <w:lang w:eastAsia="zh-CN"/>
        </w:rPr>
        <w:t>辅助计量物资：示水膏、示油膏。</w:t>
      </w:r>
    </w:p>
    <w:p>
      <w:pPr>
        <w:pStyle w:val="3"/>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2100</w:t>
      </w:r>
      <w:r>
        <w:rPr>
          <w:rFonts w:hint="eastAsia"/>
          <w:sz w:val="24"/>
          <w:szCs w:val="24"/>
          <w:lang w:eastAsia="zh-CN"/>
        </w:rPr>
        <w:t>元</w:t>
      </w:r>
      <w:r>
        <w:rPr>
          <w:rFonts w:hint="eastAsia"/>
          <w:b w:val="0"/>
          <w:bCs/>
          <w:lang w:eastAsia="zh-CN"/>
        </w:rPr>
        <w:t>（不含税价）</w:t>
      </w:r>
    </w:p>
    <w:p>
      <w:pPr>
        <w:pStyle w:val="3"/>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b w:val="0"/>
          <w:lang w:eastAsia="zh-CN"/>
        </w:rPr>
        <w:t>符合GB/T 13236-2011要求。</w:t>
      </w:r>
    </w:p>
    <w:p>
      <w:pPr>
        <w:pStyle w:val="36"/>
        <w:spacing w:line="360" w:lineRule="auto"/>
        <w:ind w:firstLine="480" w:firstLineChars="200"/>
        <w:rPr>
          <w:sz w:val="24"/>
          <w:szCs w:val="24"/>
        </w:rPr>
      </w:pPr>
      <w:r>
        <w:rPr>
          <w:rFonts w:hint="eastAsia"/>
          <w:sz w:val="24"/>
          <w:szCs w:val="24"/>
          <w:lang w:val="en-US" w:eastAsia="zh-CN"/>
        </w:rPr>
        <w:t>5</w:t>
      </w:r>
      <w:r>
        <w:rPr>
          <w:rFonts w:hint="eastAsia"/>
          <w:sz w:val="24"/>
          <w:szCs w:val="24"/>
        </w:rPr>
        <w:t>.</w:t>
      </w:r>
      <w:r>
        <w:rPr>
          <w:rFonts w:hint="eastAsia" w:asciiTheme="majorEastAsia" w:hAnsiTheme="majorEastAsia" w:eastAsiaTheme="majorEastAsia"/>
          <w:sz w:val="24"/>
          <w:szCs w:val="24"/>
        </w:rPr>
        <w:t>本项目不接受联合体投标</w:t>
      </w:r>
      <w:r>
        <w:rPr>
          <w:rFonts w:hint="eastAsia"/>
          <w:sz w:val="24"/>
          <w:szCs w:val="24"/>
        </w:rPr>
        <w:t>。</w:t>
      </w:r>
    </w:p>
    <w:p>
      <w:pPr>
        <w:pStyle w:val="38"/>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 xml:space="preserve">月 </w:t>
      </w:r>
      <w:r>
        <w:rPr>
          <w:rFonts w:hint="eastAsia" w:asciiTheme="majorEastAsia" w:hAnsiTheme="majorEastAsia" w:eastAsiaTheme="majorEastAsia"/>
          <w:sz w:val="24"/>
          <w:szCs w:val="24"/>
          <w:lang w:val="en-US" w:eastAsia="zh-CN"/>
        </w:rPr>
        <w:t>29</w:t>
      </w:r>
      <w:r>
        <w:rPr>
          <w:rFonts w:hint="eastAsia" w:asciiTheme="majorEastAsia" w:hAnsiTheme="majorEastAsia" w:eastAsiaTheme="majorEastAsia"/>
          <w:sz w:val="24"/>
          <w:szCs w:val="24"/>
          <w:lang w:eastAsia="zh-CN"/>
        </w:rPr>
        <w:t xml:space="preserve"> 日至</w:t>
      </w:r>
      <w:r>
        <w:rPr>
          <w:rFonts w:hint="eastAsia" w:asciiTheme="majorEastAsia" w:hAnsiTheme="majorEastAsia" w:eastAsiaTheme="majorEastAsia"/>
          <w:sz w:val="24"/>
          <w:szCs w:val="24"/>
          <w:lang w:val="en-US" w:eastAsia="zh-CN"/>
        </w:rPr>
        <w:t>12月6</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3"/>
          <w:rFonts w:hint="eastAsia" w:asciiTheme="majorEastAsia" w:hAnsiTheme="majorEastAsia" w:eastAsiaTheme="majorEastAsia"/>
          <w:sz w:val="24"/>
          <w:szCs w:val="24"/>
          <w:lang w:val="en-US" w:eastAsia="zh-CN"/>
        </w:rPr>
        <w:t>zyhe</w:t>
      </w:r>
      <w:r>
        <w:rPr>
          <w:rStyle w:val="33"/>
          <w:rFonts w:hint="eastAsia" w:asciiTheme="majorEastAsia" w:hAnsiTheme="majorEastAsia" w:eastAsiaTheme="majorEastAsia"/>
          <w:sz w:val="24"/>
          <w:szCs w:val="24"/>
          <w:lang w:eastAsia="zh-CN"/>
        </w:rPr>
        <w:t>@f</w:t>
      </w:r>
      <w:r>
        <w:rPr>
          <w:rStyle w:val="33"/>
          <w:rFonts w:hint="eastAsia" w:asciiTheme="majorEastAsia" w:hAnsiTheme="majorEastAsia" w:eastAsiaTheme="majorEastAsia"/>
          <w:sz w:val="24"/>
          <w:szCs w:val="24"/>
          <w:lang w:val="en-US" w:eastAsia="zh-CN"/>
        </w:rPr>
        <w:t>j</w:t>
      </w:r>
      <w:r>
        <w:rPr>
          <w:rStyle w:val="33"/>
          <w:rFonts w:hint="eastAsia" w:asciiTheme="majorEastAsia" w:hAnsiTheme="majorEastAsia" w:eastAsiaTheme="majorEastAsia"/>
          <w:sz w:val="24"/>
          <w:szCs w:val="24"/>
          <w:lang w:eastAsia="zh-CN"/>
        </w:rPr>
        <w:t>pec.com.cn</w:t>
      </w:r>
      <w:r>
        <w:rPr>
          <w:rStyle w:val="3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1. 参选文件递交地点：福建省漳州市漳浦县杜浔镇杜昌路9号</w:t>
      </w:r>
      <w:r>
        <w:rPr>
          <w:rFonts w:hint="eastAsia" w:asciiTheme="majorEastAsia" w:hAnsiTheme="majorEastAsia" w:eastAsiaTheme="majorEastAsia"/>
          <w:bCs/>
          <w:sz w:val="24"/>
          <w:szCs w:val="24"/>
          <w:lang w:val="en-US" w:eastAsia="zh-CN"/>
        </w:rPr>
        <w:t>3楼设备及服务团队</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何震洋</w:t>
      </w:r>
      <w:r>
        <w:rPr>
          <w:rFonts w:hint="eastAsia" w:cs="宋体" w:asciiTheme="majorEastAsia" w:hAnsiTheme="majorEastAsia" w:eastAsiaTheme="majorEastAsia"/>
          <w:bCs/>
          <w:szCs w:val="24"/>
        </w:rPr>
        <w:t xml:space="preserve">  电话：</w:t>
      </w:r>
      <w:r>
        <w:rPr>
          <w:rFonts w:hint="eastAsia" w:cs="宋体" w:asciiTheme="majorEastAsia" w:hAnsiTheme="majorEastAsia" w:eastAsiaTheme="majorEastAsia"/>
          <w:bCs/>
          <w:szCs w:val="24"/>
          <w:lang w:val="en-US" w:eastAsia="zh-CN"/>
        </w:rPr>
        <w:t>15259232765</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zyhe</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6"/>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6"/>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rFonts w:hint="default"/>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lang w:val="en-US" w:eastAsia="zh-CN"/>
        </w:rPr>
        <w:t>29</w:t>
      </w:r>
      <w:bookmarkStart w:id="9" w:name="_GoBack"/>
      <w:bookmarkEnd w:id="9"/>
    </w:p>
    <w:p>
      <w:pPr>
        <w:pStyle w:val="2"/>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9"/>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u w:val="single"/>
          <w:lang w:val="en-US" w:eastAsia="zh-CN"/>
        </w:rPr>
        <w:t>示水膏示油膏</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9"/>
        <w:spacing w:line="360" w:lineRule="auto"/>
        <w:ind w:firstLine="480" w:firstLineChars="200"/>
        <w:rPr>
          <w:rFonts w:hint="default"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(二）项目数量：</w:t>
      </w:r>
      <w:r>
        <w:rPr>
          <w:rFonts w:hint="eastAsia" w:asciiTheme="majorEastAsia" w:hAnsiTheme="majorEastAsia" w:eastAsiaTheme="majorEastAsia"/>
          <w:u w:val="single"/>
          <w:lang w:val="en-US" w:eastAsia="zh-CN"/>
        </w:rPr>
        <w:t>示水膏（10支）示油膏（20支）</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u w:val="single"/>
          <w:lang w:val="en-US" w:eastAsia="zh-CN"/>
        </w:rPr>
        <w:t>示水膏示油膏</w:t>
      </w:r>
      <w:r>
        <w:rPr>
          <w:rFonts w:hint="eastAsia" w:asciiTheme="majorEastAsia" w:hAnsiTheme="majorEastAsia" w:eastAsiaTheme="majorEastAsia"/>
          <w:snapToGrid w:val="0"/>
          <w:spacing w:val="8"/>
          <w:sz w:val="24"/>
          <w:szCs w:val="24"/>
          <w:u w:val="single"/>
          <w:lang w:eastAsia="zh-CN"/>
        </w:rPr>
        <w:t>采购</w:t>
      </w:r>
    </w:p>
    <w:p>
      <w:pPr>
        <w:pStyle w:val="3"/>
        <w:spacing w:line="360" w:lineRule="auto"/>
        <w:ind w:left="721" w:leftChars="218" w:hanging="241" w:hangingChars="100"/>
        <w:rPr>
          <w:rFonts w:hint="eastAsia" w:asciiTheme="majorEastAsia" w:hAnsiTheme="majorEastAsia" w:eastAsiaTheme="majorEastAsia"/>
          <w:b w:val="0"/>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b w:val="0"/>
          <w:lang w:eastAsia="zh-CN"/>
        </w:rPr>
        <w:t>储运团队属地现共有储罐96台，除液化石油气及戊烷共16台球形压力容器无法进行人工检尺计量，剩余80台储罐，日常需对储罐进行检尺测温操作，每月月底需进行人工检尺盘点，</w:t>
      </w:r>
      <w:r>
        <w:rPr>
          <w:rFonts w:hint="eastAsia" w:asciiTheme="majorEastAsia" w:hAnsiTheme="majorEastAsia" w:eastAsiaTheme="majorEastAsia"/>
          <w:b w:val="0"/>
          <w:lang w:val="en-US" w:eastAsia="zh-CN"/>
        </w:rPr>
        <w:t>需要用到</w:t>
      </w:r>
      <w:r>
        <w:rPr>
          <w:rFonts w:hint="eastAsia" w:asciiTheme="majorEastAsia" w:hAnsiTheme="majorEastAsia" w:eastAsiaTheme="majorEastAsia"/>
          <w:b w:val="0"/>
          <w:lang w:eastAsia="zh-CN"/>
        </w:rPr>
        <w:t>辅助计量物资：示水膏、示油膏。</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9"/>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8"/>
        <w:autoSpaceDE/>
        <w:autoSpaceDN/>
        <w:spacing w:before="0" w:line="360" w:lineRule="auto"/>
        <w:ind w:left="441" w:leftChars="0" w:hanging="441" w:hangingChars="184"/>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8"/>
        <w:autoSpaceDE/>
        <w:autoSpaceDN/>
        <w:spacing w:before="0" w:line="360" w:lineRule="auto"/>
        <w:ind w:left="441" w:leftChars="0" w:hanging="441" w:hangingChars="184"/>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符合GB/T 13236-2011要求。</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val="en-US" w:eastAsia="zh-CN"/>
        </w:rPr>
        <w:t>5</w:t>
      </w:r>
      <w:r>
        <w:rPr>
          <w:rFonts w:hint="eastAsia"/>
          <w:sz w:val="24"/>
          <w:szCs w:val="24"/>
          <w:lang w:eastAsia="zh-CN"/>
        </w:rPr>
        <w:t xml:space="preserve">.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9"/>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3"/>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443" w:leftChars="0" w:right="106" w:hanging="443" w:hangingChars="184"/>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r>
        <w:rPr>
          <w:rFonts w:hint="eastAsia" w:asciiTheme="majorEastAsia" w:hAnsiTheme="majorEastAsia" w:eastAsiaTheme="majorEastAsia"/>
          <w:spacing w:val="4"/>
          <w:lang w:val="en-US" w:eastAsia="zh-CN"/>
        </w:rPr>
        <w:t>3楼设备及服务团队</w:t>
      </w:r>
    </w:p>
    <w:p>
      <w:pPr>
        <w:pStyle w:val="3"/>
        <w:tabs>
          <w:tab w:val="left" w:pos="6879"/>
        </w:tabs>
        <w:spacing w:line="360" w:lineRule="auto"/>
        <w:ind w:left="440" w:leftChars="127" w:right="106" w:hanging="161" w:hangingChars="67"/>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何震洋</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15259232765</w:t>
      </w:r>
    </w:p>
    <w:p>
      <w:pPr>
        <w:pStyle w:val="3"/>
        <w:tabs>
          <w:tab w:val="left" w:pos="6879"/>
        </w:tabs>
        <w:spacing w:line="360" w:lineRule="auto"/>
        <w:ind w:left="435" w:leftChars="127" w:right="106" w:hanging="156" w:hangingChars="67"/>
        <w:rPr>
          <w:rFonts w:hint="default" w:asciiTheme="majorEastAsia" w:hAnsiTheme="majorEastAsia" w:eastAsiaTheme="majorEastAsia"/>
          <w:spacing w:val="-6"/>
          <w:lang w:val="en-US"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陈斌毅</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spacing w:val="-4"/>
          <w:lang w:val="en-US" w:eastAsia="zh-CN"/>
        </w:rPr>
        <w:t>18850274449</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ind w:left="0" w:leftChars="0" w:firstLine="220" w:firstLineChars="0"/>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（1）对比选结果有异议的异议人不是本项目的参与者，或者与本项目无任何利害关系；</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2100</w:t>
      </w:r>
      <w:r>
        <w:rPr>
          <w:rFonts w:hint="eastAsia" w:asciiTheme="majorEastAsia" w:hAnsiTheme="majorEastAsia" w:eastAsiaTheme="majorEastAsia"/>
          <w:b/>
          <w:bCs/>
          <w:sz w:val="24"/>
          <w:szCs w:val="24"/>
          <w:lang w:eastAsia="zh-CN"/>
        </w:rPr>
        <w:t>元</w:t>
      </w:r>
      <w:r>
        <w:rPr>
          <w:rFonts w:hint="eastAsia"/>
          <w:b/>
          <w:lang w:eastAsia="zh-CN"/>
        </w:rPr>
        <w:t>（不含税价）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6"/>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jc w:val="both"/>
        <w:rPr>
          <w:lang w:eastAsia="zh-CN"/>
        </w:rPr>
      </w:pPr>
    </w:p>
    <w:p>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2"/>
        <w:spacing w:line="360" w:lineRule="auto"/>
        <w:ind w:left="0" w:firstLine="458" w:firstLineChars="20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val="en-US" w:eastAsia="zh-CN"/>
        </w:rPr>
        <w:t>1</w:t>
      </w:r>
      <w:r>
        <w:rPr>
          <w:rFonts w:hint="eastAsia"/>
          <w:u w:val="single"/>
          <w:lang w:eastAsia="zh-CN"/>
        </w:rPr>
        <w:t xml:space="preserve">套 </w:t>
      </w:r>
      <w:r>
        <w:rPr>
          <w:rFonts w:hint="eastAsia"/>
          <w:lang w:eastAsia="zh-CN"/>
        </w:rPr>
        <w:t>参选文件。</w:t>
      </w:r>
    </w:p>
    <w:p>
      <w:pPr>
        <w:pStyle w:val="2"/>
        <w:spacing w:line="360" w:lineRule="auto"/>
        <w:ind w:left="0" w:firstLine="458" w:firstLineChars="20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firstLine="458" w:firstLineChars="200"/>
        <w:rPr>
          <w:sz w:val="24"/>
          <w:szCs w:val="24"/>
          <w:lang w:eastAsia="zh-CN"/>
        </w:rPr>
      </w:pPr>
      <w:r>
        <w:rPr>
          <w:w w:val="95"/>
          <w:sz w:val="24"/>
          <w:szCs w:val="24"/>
          <w:lang w:eastAsia="zh-CN"/>
        </w:rPr>
        <w:t>四、特别说明</w:t>
      </w:r>
    </w:p>
    <w:p>
      <w:pPr>
        <w:pStyle w:val="9"/>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left="0" w:leftChars="0" w:right="224" w:firstLine="600" w:firstLineChars="250"/>
        <w:rPr>
          <w:sz w:val="21"/>
          <w:szCs w:val="21"/>
          <w:lang w:eastAsia="zh-CN"/>
        </w:rPr>
      </w:pPr>
      <w:r>
        <w:rPr>
          <w:lang w:eastAsia="zh-CN"/>
        </w:rPr>
        <w:t>2.参选</w:t>
      </w:r>
      <w:r>
        <w:rPr>
          <w:rFonts w:hint="eastAsia"/>
          <w:lang w:eastAsia="zh-CN"/>
        </w:rPr>
        <w:t>人</w:t>
      </w:r>
      <w:r>
        <w:rPr>
          <w:lang w:eastAsia="zh-CN"/>
        </w:rPr>
        <w:t>收到比选文件后，如有疑问需要澄清，请以书面形式在规定时间内报比选人汇总。</w:t>
      </w:r>
    </w:p>
    <w:p>
      <w:pPr>
        <w:pStyle w:val="9"/>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89126"/>
      <w:bookmarkStart w:id="2" w:name="_Toc304357904"/>
      <w:bookmarkStart w:id="3" w:name="_Toc430490619"/>
      <w:bookmarkStart w:id="4" w:name="_Toc177186249"/>
      <w:bookmarkStart w:id="5" w:name="_Toc430488858"/>
      <w:bookmarkStart w:id="6" w:name="_Toc430488651"/>
      <w:bookmarkStart w:id="7" w:name="_Toc430492133"/>
      <w:bookmarkStart w:id="8" w:name="_Toc430422420"/>
    </w:p>
    <w:p>
      <w:pPr>
        <w:pStyle w:val="9"/>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right="226" w:firstLine="480"/>
        <w:jc w:val="both"/>
        <w:rPr>
          <w:rFonts w:hint="eastAsia"/>
          <w:highlight w:val="none"/>
          <w:lang w:eastAsia="zh-CN"/>
        </w:rPr>
      </w:pPr>
      <w:r>
        <w:rPr>
          <w:rFonts w:hint="eastAsia"/>
          <w:highlight w:val="none"/>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2100</w:t>
      </w:r>
      <w:r>
        <w:rPr>
          <w:rFonts w:hint="eastAsia"/>
          <w:b/>
          <w:lang w:eastAsia="zh-CN"/>
        </w:rPr>
        <w:t>元（不含税价）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6"/>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6"/>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6"/>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w:t>
      </w:r>
      <w:r>
        <w:rPr>
          <w:rStyle w:val="27"/>
          <w:rFonts w:hint="eastAsia"/>
          <w:sz w:val="24"/>
          <w:szCs w:val="24"/>
          <w:lang w:val="en-US" w:eastAsia="zh-CN"/>
        </w:rPr>
        <w:t>腾龙芳烃</w:t>
      </w:r>
      <w:r>
        <w:rPr>
          <w:rStyle w:val="27"/>
          <w:rFonts w:hint="eastAsia"/>
          <w:sz w:val="24"/>
          <w:szCs w:val="24"/>
        </w:rPr>
        <w:t>（漳州）有限公司”作为合同执行主体，将于中选通知书发出之日起20日内与中选人完成合同签订事宜。</w:t>
      </w:r>
    </w:p>
    <w:p>
      <w:pPr>
        <w:pStyle w:val="2"/>
        <w:tabs>
          <w:tab w:val="left" w:pos="4344"/>
        </w:tabs>
        <w:spacing w:line="355" w:lineRule="exact"/>
        <w:ind w:left="3082"/>
        <w:rPr>
          <w:lang w:eastAsia="zh-CN"/>
        </w:rPr>
      </w:pPr>
    </w:p>
    <w:p>
      <w:pPr>
        <w:rPr>
          <w:lang w:eastAsia="zh-CN"/>
        </w:rPr>
      </w:pPr>
    </w:p>
    <w:p>
      <w:pPr>
        <w:pStyle w:val="2"/>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9"/>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u w:val="single"/>
          <w:lang w:val="en-US" w:eastAsia="zh-CN"/>
        </w:rPr>
        <w:t>示水膏示油膏</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9"/>
        <w:spacing w:before="106" w:line="360" w:lineRule="auto"/>
        <w:ind w:left="567"/>
        <w:rPr>
          <w:lang w:eastAsia="zh-CN"/>
        </w:rPr>
      </w:pPr>
      <w:r>
        <w:rPr>
          <w:lang w:eastAsia="zh-CN"/>
        </w:rPr>
        <w:br w:type="page"/>
      </w:r>
    </w:p>
    <w:p>
      <w:pPr>
        <w:pStyle w:val="9"/>
        <w:rPr>
          <w:rFonts w:ascii="Times New Roman"/>
          <w:b/>
          <w:bCs/>
          <w:lang w:eastAsia="zh-CN"/>
        </w:rPr>
      </w:pPr>
      <w:r>
        <w:rPr>
          <w:rFonts w:hint="eastAsia" w:ascii="Times New Roman"/>
          <w:b/>
          <w:bCs/>
          <w:lang w:eastAsia="zh-CN"/>
        </w:rPr>
        <w:t>附件一、</w:t>
      </w:r>
    </w:p>
    <w:p>
      <w:pPr>
        <w:spacing w:line="120" w:lineRule="auto"/>
        <w:ind w:firstLine="2811" w:firstLineChars="1000"/>
        <w:jc w:val="both"/>
        <w:rPr>
          <w:b/>
          <w:sz w:val="28"/>
          <w:szCs w:val="28"/>
        </w:rPr>
      </w:pPr>
      <w:r>
        <w:rPr>
          <w:rFonts w:hint="eastAsia"/>
          <w:b/>
          <w:sz w:val="28"/>
          <w:szCs w:val="28"/>
          <w:lang w:val="en-US" w:eastAsia="zh-CN"/>
        </w:rPr>
        <w:t>示水膏示油膏</w:t>
      </w:r>
      <w:r>
        <w:rPr>
          <w:rFonts w:hint="eastAsia"/>
          <w:b/>
          <w:sz w:val="28"/>
          <w:szCs w:val="28"/>
        </w:rPr>
        <w:t>采购合同</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5"/>
        <w:gridCol w:w="3920"/>
        <w:gridCol w:w="1325"/>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25" w:type="dxa"/>
          </w:tcPr>
          <w:p>
            <w:pPr>
              <w:spacing w:line="120" w:lineRule="auto"/>
              <w:jc w:val="both"/>
              <w:rPr>
                <w:sz w:val="24"/>
              </w:rPr>
            </w:pPr>
            <w:r>
              <w:rPr>
                <w:rFonts w:hint="eastAsia"/>
                <w:sz w:val="24"/>
              </w:rPr>
              <w:t xml:space="preserve">                                                                                      </w:t>
            </w:r>
          </w:p>
        </w:tc>
        <w:tc>
          <w:tcPr>
            <w:tcW w:w="3920" w:type="dxa"/>
          </w:tcPr>
          <w:p>
            <w:pPr>
              <w:spacing w:line="120" w:lineRule="auto"/>
              <w:jc w:val="both"/>
              <w:rPr>
                <w:sz w:val="24"/>
              </w:rPr>
            </w:pPr>
          </w:p>
        </w:tc>
        <w:tc>
          <w:tcPr>
            <w:tcW w:w="1325" w:type="dxa"/>
          </w:tcPr>
          <w:p>
            <w:pPr>
              <w:spacing w:line="120" w:lineRule="auto"/>
              <w:jc w:val="both"/>
              <w:rPr>
                <w:rFonts w:hint="eastAsia"/>
                <w:sz w:val="24"/>
              </w:rPr>
            </w:pPr>
            <w:r>
              <w:rPr>
                <w:rFonts w:hint="eastAsia"/>
                <w:sz w:val="24"/>
              </w:rPr>
              <w:t>合同编号：</w:t>
            </w:r>
          </w:p>
        </w:tc>
        <w:tc>
          <w:tcPr>
            <w:tcW w:w="3286" w:type="dxa"/>
          </w:tcPr>
          <w:p>
            <w:pPr>
              <w:spacing w:line="120" w:lineRule="auto"/>
              <w:jc w:val="both"/>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5" w:type="dxa"/>
            <w:vAlign w:val="center"/>
          </w:tcPr>
          <w:p>
            <w:pPr>
              <w:spacing w:line="120" w:lineRule="auto"/>
              <w:jc w:val="both"/>
              <w:rPr>
                <w:sz w:val="24"/>
              </w:rPr>
            </w:pPr>
            <w:r>
              <w:rPr>
                <w:rFonts w:hint="eastAsia"/>
                <w:sz w:val="24"/>
              </w:rPr>
              <w:t>甲方：</w:t>
            </w:r>
          </w:p>
        </w:tc>
        <w:tc>
          <w:tcPr>
            <w:tcW w:w="3920" w:type="dxa"/>
            <w:vAlign w:val="center"/>
          </w:tcPr>
          <w:p>
            <w:pPr>
              <w:spacing w:line="120" w:lineRule="auto"/>
              <w:jc w:val="both"/>
              <w:rPr>
                <w:sz w:val="24"/>
              </w:rPr>
            </w:pPr>
            <w:r>
              <w:rPr>
                <w:rFonts w:hint="eastAsia" w:cs="Times New Roman"/>
                <w:sz w:val="24"/>
                <w:lang w:val="en-US" w:eastAsia="zh-CN"/>
              </w:rPr>
              <w:t>腾龙芳烃</w:t>
            </w:r>
            <w:r>
              <w:rPr>
                <w:rFonts w:hint="eastAsia" w:ascii="Times New Roman" w:hAnsi="Times New Roman" w:cs="Times New Roman"/>
                <w:sz w:val="24"/>
                <w:lang w:eastAsia="zh-CN"/>
              </w:rPr>
              <w:t>（漳州）有限公司</w:t>
            </w:r>
            <w:r>
              <w:rPr>
                <w:rFonts w:hint="eastAsia" w:ascii="Times New Roman" w:hAnsi="Times New Roman" w:cs="Times New Roman"/>
                <w:sz w:val="24"/>
              </w:rPr>
              <w:t xml:space="preserve">    </w:t>
            </w:r>
            <w:r>
              <w:rPr>
                <w:rFonts w:hint="eastAsia"/>
                <w:sz w:val="24"/>
              </w:rPr>
              <w:t xml:space="preserve">                               </w:t>
            </w:r>
          </w:p>
        </w:tc>
        <w:tc>
          <w:tcPr>
            <w:tcW w:w="1325" w:type="dxa"/>
            <w:vAlign w:val="center"/>
          </w:tcPr>
          <w:p>
            <w:pPr>
              <w:spacing w:line="120" w:lineRule="auto"/>
              <w:jc w:val="both"/>
              <w:rPr>
                <w:sz w:val="24"/>
              </w:rPr>
            </w:pPr>
            <w:r>
              <w:rPr>
                <w:rFonts w:hint="eastAsia"/>
                <w:sz w:val="24"/>
              </w:rPr>
              <w:t>签订地点：</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25" w:type="dxa"/>
            <w:vAlign w:val="center"/>
          </w:tcPr>
          <w:p>
            <w:pPr>
              <w:spacing w:line="120" w:lineRule="auto"/>
              <w:jc w:val="both"/>
              <w:rPr>
                <w:sz w:val="24"/>
              </w:rPr>
            </w:pPr>
            <w:r>
              <w:rPr>
                <w:rFonts w:hint="eastAsia"/>
                <w:sz w:val="24"/>
              </w:rPr>
              <w:t>乙方：</w:t>
            </w:r>
          </w:p>
        </w:tc>
        <w:tc>
          <w:tcPr>
            <w:tcW w:w="3920" w:type="dxa"/>
            <w:vAlign w:val="center"/>
          </w:tcPr>
          <w:p>
            <w:pPr>
              <w:spacing w:line="120" w:lineRule="auto"/>
              <w:jc w:val="both"/>
              <w:rPr>
                <w:sz w:val="24"/>
              </w:rPr>
            </w:pPr>
          </w:p>
        </w:tc>
        <w:tc>
          <w:tcPr>
            <w:tcW w:w="1325" w:type="dxa"/>
            <w:vAlign w:val="center"/>
          </w:tcPr>
          <w:p>
            <w:pPr>
              <w:spacing w:line="120" w:lineRule="auto"/>
              <w:jc w:val="both"/>
              <w:rPr>
                <w:sz w:val="24"/>
              </w:rPr>
            </w:pPr>
            <w:r>
              <w:rPr>
                <w:rFonts w:hint="eastAsia"/>
                <w:sz w:val="24"/>
              </w:rPr>
              <w:t>签订日期：</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2023年_____ 月____日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3"/>
        </w:numPr>
        <w:spacing w:line="120" w:lineRule="auto"/>
        <w:rPr>
          <w:rFonts w:hint="eastAsia"/>
          <w:sz w:val="24"/>
        </w:rPr>
      </w:pPr>
      <w:r>
        <w:rPr>
          <w:rFonts w:hint="eastAsia"/>
          <w:sz w:val="24"/>
        </w:rPr>
        <w:t>合同标的和合同价格</w:t>
      </w:r>
    </w:p>
    <w:tbl>
      <w:tblPr>
        <w:tblStyle w:val="24"/>
        <w:tblpPr w:leftFromText="180" w:rightFromText="180" w:vertAnchor="text" w:horzAnchor="page" w:tblpXSpec="center" w:tblpY="287"/>
        <w:tblOverlap w:val="never"/>
        <w:tblW w:w="8522" w:type="dxa"/>
        <w:tblInd w:w="-53" w:type="dxa"/>
        <w:tblLayout w:type="fixed"/>
        <w:tblCellMar>
          <w:top w:w="15" w:type="dxa"/>
          <w:left w:w="15" w:type="dxa"/>
          <w:bottom w:w="15" w:type="dxa"/>
          <w:right w:w="15" w:type="dxa"/>
        </w:tblCellMar>
      </w:tblPr>
      <w:tblGrid>
        <w:gridCol w:w="1591"/>
        <w:gridCol w:w="2432"/>
        <w:gridCol w:w="700"/>
        <w:gridCol w:w="600"/>
        <w:gridCol w:w="1225"/>
        <w:gridCol w:w="1037"/>
        <w:gridCol w:w="937"/>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eastAsia="zh-CN" w:bidi="ar"/>
              </w:rPr>
              <w:t>含税</w:t>
            </w:r>
            <w:r>
              <w:rPr>
                <w:rFonts w:hint="eastAsia" w:ascii="宋体" w:hAnsi="宋体" w:cs="宋体"/>
                <w:color w:val="000000"/>
                <w:kern w:val="0"/>
                <w:sz w:val="18"/>
                <w:szCs w:val="18"/>
                <w:lang w:bidi="ar"/>
              </w:rPr>
              <w:t>单价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cs="宋体"/>
                <w:color w:val="000000"/>
                <w:kern w:val="0"/>
                <w:sz w:val="18"/>
                <w:szCs w:val="18"/>
                <w:lang w:eastAsia="zh-CN" w:bidi="ar"/>
              </w:rPr>
              <w:t>含税</w:t>
            </w:r>
            <w:r>
              <w:rPr>
                <w:rFonts w:hint="eastAsia" w:cs="宋体"/>
                <w:color w:val="000000"/>
                <w:kern w:val="0"/>
                <w:sz w:val="18"/>
                <w:szCs w:val="18"/>
                <w:lang w:val="en-US" w:eastAsia="zh-CN" w:bidi="ar"/>
              </w:rPr>
              <w:t>小计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示水膏</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85g/支</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品牌;KK</w:t>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示油膏</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62g/支</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品牌;KK</w:t>
            </w:r>
          </w:p>
        </w:tc>
      </w:tr>
      <w:tr>
        <w:tblPrEx>
          <w:tblCellMar>
            <w:top w:w="15" w:type="dxa"/>
            <w:left w:w="15" w:type="dxa"/>
            <w:bottom w:w="15" w:type="dxa"/>
            <w:right w:w="15" w:type="dxa"/>
          </w:tblCellMar>
        </w:tblPrEx>
        <w:trPr>
          <w:trHeight w:val="699" w:hRule="atLeast"/>
        </w:trPr>
        <w:tc>
          <w:tcPr>
            <w:tcW w:w="4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spacing w:line="120" w:lineRule="auto"/>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sz w:val="24"/>
        </w:rPr>
      </w:pPr>
      <w:r>
        <w:rPr>
          <w:rFonts w:hint="eastAsia"/>
          <w:sz w:val="24"/>
        </w:rPr>
        <w:t>上述金额为</w:t>
      </w:r>
      <w:r>
        <w:rPr>
          <w:rFonts w:hint="eastAsia"/>
          <w:sz w:val="24"/>
          <w:lang w:eastAsia="zh-CN"/>
        </w:rPr>
        <w:t>含税</w:t>
      </w:r>
      <w:r>
        <w:rPr>
          <w:rFonts w:hint="eastAsia"/>
          <w:sz w:val="24"/>
        </w:rPr>
        <w:t>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lang w:eastAsia="zh-CN"/>
        </w:rPr>
        <w:t>乙方送货上门</w:t>
      </w:r>
      <w:r>
        <w:rPr>
          <w:sz w:val="24"/>
          <w:u w:val="single"/>
        </w:rPr>
        <w:t xml:space="preserve">    </w:t>
      </w:r>
    </w:p>
    <w:p>
      <w:pPr>
        <w:spacing w:line="360" w:lineRule="auto"/>
        <w:ind w:firstLine="480" w:firstLineChars="200"/>
        <w:rPr>
          <w:rFonts w:hint="eastAsia" w:eastAsia="宋体"/>
          <w:sz w:val="24"/>
          <w:u w:val="single"/>
          <w:lang w:eastAsia="zh-CN"/>
        </w:rPr>
      </w:pPr>
      <w:r>
        <w:rPr>
          <w:rFonts w:hint="eastAsia"/>
          <w:sz w:val="24"/>
        </w:rPr>
        <w:t>2.2交货地点：运送到</w:t>
      </w:r>
      <w:r>
        <w:rPr>
          <w:sz w:val="24"/>
          <w:u w:val="single"/>
        </w:rPr>
        <w:t xml:space="preserve">  </w:t>
      </w:r>
      <w:r>
        <w:rPr>
          <w:rFonts w:hint="eastAsia"/>
          <w:sz w:val="24"/>
          <w:u w:val="single"/>
          <w:lang w:val="en-US" w:eastAsia="zh-CN"/>
        </w:rPr>
        <w:t>PX</w:t>
      </w:r>
      <w:r>
        <w:rPr>
          <w:rFonts w:hint="eastAsia"/>
          <w:sz w:val="24"/>
          <w:u w:val="single"/>
        </w:rPr>
        <w:t>：以上货物交货地点：福建省漳州市漳浦县古雷开发区腾龙路</w:t>
      </w:r>
      <w:r>
        <w:rPr>
          <w:rFonts w:hint="eastAsia"/>
          <w:sz w:val="24"/>
          <w:u w:val="single"/>
          <w:lang w:val="en-US" w:eastAsia="zh-CN"/>
        </w:rPr>
        <w:t>84号</w:t>
      </w:r>
      <w:r>
        <w:rPr>
          <w:rFonts w:hint="eastAsia"/>
          <w:sz w:val="24"/>
          <w:u w:val="single"/>
        </w:rPr>
        <w:t>（福建福海创石油化工有限公司</w:t>
      </w:r>
      <w:r>
        <w:rPr>
          <w:rFonts w:hint="default"/>
          <w:sz w:val="24"/>
          <w:u w:val="single"/>
        </w:rPr>
        <w:t>PX工厂）</w:t>
      </w:r>
      <w:r>
        <w:rPr>
          <w:rFonts w:hint="eastAsia"/>
          <w:sz w:val="24"/>
          <w:u w:val="single"/>
          <w:lang w:eastAsia="zh-CN"/>
        </w:rPr>
        <w:t>；</w:t>
      </w:r>
      <w:r>
        <w:rPr>
          <w:rFonts w:hint="eastAsia"/>
          <w:sz w:val="24"/>
          <w:u w:val="single"/>
        </w:rPr>
        <w:t>收货单位：福建福海创石油化工有限公司</w:t>
      </w:r>
      <w:r>
        <w:rPr>
          <w:rFonts w:hint="eastAsia"/>
          <w:sz w:val="24"/>
          <w:u w:val="single"/>
          <w:lang w:val="en-US" w:eastAsia="zh-CN"/>
        </w:rPr>
        <w:t>(腾龙芳烃）</w:t>
      </w:r>
      <w:r>
        <w:rPr>
          <w:rFonts w:hint="eastAsia"/>
          <w:sz w:val="24"/>
          <w:u w:val="single"/>
        </w:rPr>
        <w:t>：赵靖辉0596-6311364</w:t>
      </w:r>
      <w:r>
        <w:rPr>
          <w:rFonts w:hint="eastAsia"/>
          <w:sz w:val="24"/>
          <w:u w:val="single"/>
          <w:lang w:eastAsia="zh-CN"/>
        </w:rPr>
        <w:t>，</w:t>
      </w:r>
      <w:r>
        <w:rPr>
          <w:rFonts w:hint="eastAsia"/>
          <w:sz w:val="24"/>
          <w:u w:val="single"/>
        </w:rPr>
        <w:t>13235969578</w:t>
      </w:r>
      <w:r>
        <w:rPr>
          <w:rFonts w:hint="eastAsia"/>
          <w:sz w:val="24"/>
          <w:u w:val="single"/>
          <w:lang w:eastAsia="zh-CN"/>
        </w:rPr>
        <w:t>。</w:t>
      </w:r>
    </w:p>
    <w:p>
      <w:pPr>
        <w:spacing w:line="360" w:lineRule="auto"/>
        <w:ind w:firstLine="480" w:firstLineChars="200"/>
        <w:rPr>
          <w:sz w:val="24"/>
        </w:rPr>
      </w:pPr>
      <w:r>
        <w:rPr>
          <w:rFonts w:hint="eastAsia"/>
          <w:sz w:val="24"/>
        </w:rPr>
        <w:t>2.3交货时间：</w:t>
      </w:r>
      <w:r>
        <w:rPr>
          <w:sz w:val="24"/>
          <w:u w:val="single"/>
        </w:rPr>
        <w:t xml:space="preserve"> </w:t>
      </w:r>
      <w:r>
        <w:rPr>
          <w:rFonts w:hint="eastAsia" w:ascii="Times New Roman" w:hAnsi="Times New Roman" w:cs="Times New Roman"/>
          <w:sz w:val="24"/>
          <w:u w:val="single"/>
        </w:rPr>
        <w:t>乙方应在合同签订生效后</w:t>
      </w:r>
      <w:r>
        <w:rPr>
          <w:rFonts w:hint="eastAsia" w:ascii="Times New Roman" w:hAnsi="Times New Roman" w:cs="Times New Roman"/>
          <w:sz w:val="24"/>
          <w:u w:val="single"/>
          <w:lang w:val="en-US" w:eastAsia="zh-CN"/>
        </w:rPr>
        <w:t xml:space="preserve"> 3</w:t>
      </w:r>
      <w:r>
        <w:rPr>
          <w:rFonts w:hint="eastAsia" w:cs="Times New Roman"/>
          <w:sz w:val="24"/>
          <w:u w:val="single"/>
          <w:lang w:val="en-US" w:eastAsia="zh-CN"/>
        </w:rPr>
        <w:t>0</w:t>
      </w:r>
      <w:r>
        <w:rPr>
          <w:rFonts w:hint="eastAsia" w:ascii="Times New Roman" w:hAnsi="Times New Roman" w:cs="Times New Roman"/>
          <w:sz w:val="24"/>
          <w:u w:val="single"/>
        </w:rPr>
        <w:t>日内将合同全部货物交付至甲方。</w:t>
      </w:r>
      <w:r>
        <w:rPr>
          <w:rFonts w:hint="eastAsia" w:ascii="Times New Roman" w:hAnsi="Times New Roman" w:cs="Times New Roman"/>
          <w:sz w:val="24"/>
          <w:u w:val="single"/>
          <w:lang w:val="en-US" w:eastAsia="zh-CN"/>
        </w:rPr>
        <w:t>厂外对接送货</w:t>
      </w:r>
      <w:r>
        <w:rPr>
          <w:rFonts w:hint="eastAsia" w:ascii="Times New Roman" w:hAnsi="Times New Roman" w:cs="Times New Roman"/>
          <w:sz w:val="24"/>
          <w:u w:val="single"/>
        </w:rPr>
        <w:t>及发票接收联系人</w:t>
      </w:r>
      <w:r>
        <w:rPr>
          <w:rFonts w:hint="eastAsia" w:ascii="Times New Roman" w:hAnsi="Times New Roman" w:cs="Times New Roman"/>
          <w:sz w:val="24"/>
          <w:u w:val="single"/>
          <w:lang w:eastAsia="zh-CN"/>
        </w:rPr>
        <w:t>：</w:t>
      </w:r>
      <w:r>
        <w:rPr>
          <w:rFonts w:hint="eastAsia" w:cs="Times New Roman"/>
          <w:sz w:val="24"/>
          <w:u w:val="single"/>
          <w:lang w:val="en-US" w:eastAsia="zh-CN"/>
        </w:rPr>
        <w:t>何震洋 15259232765</w:t>
      </w:r>
      <w:r>
        <w:rPr>
          <w:rFonts w:hint="eastAsia" w:ascii="Times New Roman" w:hAnsi="Times New Roman" w:cs="Times New Roman"/>
          <w:sz w:val="24"/>
          <w:u w:val="single"/>
          <w:lang w:val="en-US" w:eastAsia="zh-CN"/>
        </w:rPr>
        <w:t>。</w:t>
      </w:r>
      <w:r>
        <w:rPr>
          <w:rFonts w:hint="eastAsia" w:ascii="Times New Roman" w:hAnsi="Times New Roman" w:cs="Times New Roman"/>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lang w:eastAsia="zh-CN"/>
        </w:rPr>
      </w:pPr>
      <w:r>
        <w:rPr>
          <w:rFonts w:hint="eastAsia"/>
          <w:sz w:val="24"/>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收到并确认无误后30个工作日支付</w:t>
      </w:r>
      <w:r>
        <w:rPr>
          <w:rFonts w:hint="eastAsia"/>
          <w:sz w:val="24"/>
          <w:szCs w:val="22"/>
          <w:lang w:val="en-US" w:eastAsia="zh-CN"/>
        </w:rPr>
        <w:t>100</w:t>
      </w:r>
      <w:r>
        <w:rPr>
          <w:rFonts w:hint="eastAsia" w:ascii="宋体" w:hAnsi="宋体"/>
          <w:sz w:val="24"/>
          <w:szCs w:val="22"/>
          <w:lang w:eastAsia="zh-CN"/>
        </w:rPr>
        <w:t>%的货款</w:t>
      </w:r>
      <w:r>
        <w:rPr>
          <w:rFonts w:hint="eastAsia"/>
          <w:sz w:val="24"/>
          <w:lang w:eastAsia="zh-CN"/>
        </w:rPr>
        <w:t>。</w:t>
      </w:r>
    </w:p>
    <w:p>
      <w:pPr>
        <w:spacing w:line="360" w:lineRule="auto"/>
        <w:ind w:firstLine="480" w:firstLineChars="200"/>
        <w:rPr>
          <w:rFonts w:ascii="宋体" w:hAnsi="宋体"/>
          <w:szCs w:val="21"/>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10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ascii="Times New Roman" w:hAnsi="Times New Roman" w:cs="Times New Roman"/>
          <w:sz w:val="24"/>
          <w:lang w:eastAsia="zh-CN"/>
        </w:rPr>
        <w:t>增值税专用发票</w:t>
      </w:r>
      <w:r>
        <w:rPr>
          <w:rFonts w:hint="eastAsia" w:ascii="Times New Roman" w:hAnsi="Times New Roman" w:cs="Times New Roman"/>
          <w:sz w:val="24"/>
        </w:rPr>
        <w:t>发</w:t>
      </w:r>
      <w:r>
        <w:rPr>
          <w:rFonts w:hint="eastAsia"/>
          <w:sz w:val="24"/>
        </w:rPr>
        <w:t>票（税率</w:t>
      </w:r>
      <w:r>
        <w:rPr>
          <w:sz w:val="24"/>
          <w:u w:val="single"/>
        </w:rPr>
        <w:t xml:space="preserve"> </w:t>
      </w:r>
      <w:r>
        <w:rPr>
          <w:rFonts w:hint="eastAsia"/>
          <w:sz w:val="24"/>
          <w:u w:val="single"/>
          <w:lang w:val="en-US" w:eastAsia="zh-CN"/>
        </w:rPr>
        <w:t>13</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3"/>
        <w:widowControl w:val="0"/>
        <w:numPr>
          <w:ilvl w:val="0"/>
          <w:numId w:val="0"/>
        </w:numPr>
        <w:autoSpaceDE/>
        <w:autoSpaceDN/>
        <w:jc w:val="both"/>
      </w:pPr>
    </w:p>
    <w:p/>
    <w:p/>
    <w:p>
      <w:pPr>
        <w:pStyle w:val="23"/>
      </w:pPr>
    </w:p>
    <w:tbl>
      <w:tblPr>
        <w:tblStyle w:val="2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甲方：腾龙芳烃（漳州）有限公司</w:t>
            </w:r>
          </w:p>
        </w:tc>
        <w:tc>
          <w:tcPr>
            <w:tcW w:w="4821" w:type="dxa"/>
            <w:vAlign w:val="center"/>
          </w:tcPr>
          <w:p>
            <w:pPr>
              <w:spacing w:line="360" w:lineRule="auto"/>
              <w:jc w:val="both"/>
              <w:rPr>
                <w:rFonts w:hint="eastAsia"/>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联系地址：福建省漳州市漳州古雷经济开发区腾龙路84号</w:t>
            </w:r>
          </w:p>
        </w:tc>
        <w:tc>
          <w:tcPr>
            <w:tcW w:w="4821" w:type="dxa"/>
            <w:vAlign w:val="center"/>
          </w:tcPr>
          <w:p>
            <w:pPr>
              <w:spacing w:line="360" w:lineRule="auto"/>
              <w:jc w:val="both"/>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r>
              <w:rPr>
                <w:rFonts w:hint="eastAsia"/>
                <w:sz w:val="24"/>
                <w:lang w:val="en-US" w:eastAsia="zh-CN"/>
              </w:rPr>
              <w:t>zyhe</w:t>
            </w:r>
            <w:r>
              <w:rPr>
                <w:rFonts w:hint="eastAsia"/>
                <w:sz w:val="24"/>
                <w:lang w:eastAsia="zh-CN"/>
              </w:rPr>
              <w:t>@fhcpec.com.cn</w:t>
            </w:r>
          </w:p>
        </w:tc>
        <w:tc>
          <w:tcPr>
            <w:tcW w:w="4821" w:type="dxa"/>
            <w:vAlign w:val="center"/>
          </w:tcPr>
          <w:p>
            <w:pPr>
              <w:spacing w:line="360" w:lineRule="auto"/>
              <w:jc w:val="both"/>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pPr>
              <w:spacing w:line="360" w:lineRule="auto"/>
              <w:jc w:val="both"/>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rFonts w:hint="default"/>
                <w:sz w:val="24"/>
                <w:lang w:val="en-US"/>
              </w:rPr>
            </w:pPr>
            <w:r>
              <w:rPr>
                <w:rFonts w:hint="eastAsia"/>
                <w:sz w:val="24"/>
                <w:lang w:eastAsia="zh-CN"/>
              </w:rPr>
              <w:t>电话：0596-6311083</w:t>
            </w:r>
          </w:p>
        </w:tc>
        <w:tc>
          <w:tcPr>
            <w:tcW w:w="4821" w:type="dxa"/>
            <w:vAlign w:val="center"/>
          </w:tcPr>
          <w:p>
            <w:pPr>
              <w:spacing w:line="360" w:lineRule="auto"/>
              <w:jc w:val="both"/>
              <w:rPr>
                <w:rFonts w:hint="default" w:eastAsia="宋体"/>
                <w:sz w:val="24"/>
                <w:lang w:val="en-US" w:eastAsia="zh-CN"/>
              </w:rPr>
            </w:pPr>
            <w:r>
              <w:rPr>
                <w:rFonts w:hint="eastAsia"/>
                <w:sz w:val="24"/>
                <w:lang w:eastAsia="zh-CN"/>
              </w:rPr>
              <w:t>电话：</w:t>
            </w:r>
            <w:r>
              <w:rPr>
                <w:rFonts w:hint="eastAsia" w:ascii="宋体" w:hAnsi="宋体"/>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rPr>
            </w:pPr>
            <w:r>
              <w:rPr>
                <w:rFonts w:hint="eastAsia"/>
                <w:sz w:val="24"/>
                <w:lang w:eastAsia="zh-CN"/>
              </w:rPr>
              <w:t>开户银行：兴业银行漳州古雷支行</w:t>
            </w:r>
          </w:p>
        </w:tc>
        <w:tc>
          <w:tcPr>
            <w:tcW w:w="4821" w:type="dxa"/>
            <w:vAlign w:val="center"/>
          </w:tcPr>
          <w:p>
            <w:pPr>
              <w:spacing w:line="360" w:lineRule="auto"/>
              <w:jc w:val="both"/>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rPr>
            </w:pPr>
            <w:r>
              <w:rPr>
                <w:rFonts w:hint="default" w:ascii="Times New Roman" w:hAnsi="Times New Roman" w:eastAsia="宋体" w:cs="Times New Roman"/>
                <w:sz w:val="24"/>
                <w:szCs w:val="24"/>
                <w:lang w:eastAsia="zh-CN"/>
              </w:rPr>
              <w:t>账号：162070100100021071</w:t>
            </w:r>
          </w:p>
        </w:tc>
        <w:tc>
          <w:tcPr>
            <w:tcW w:w="4821" w:type="dxa"/>
            <w:vAlign w:val="center"/>
          </w:tcPr>
          <w:p>
            <w:pPr>
              <w:spacing w:line="360" w:lineRule="auto"/>
              <w:jc w:val="both"/>
              <w:rPr>
                <w:rFonts w:hint="eastAsia"/>
                <w:sz w:val="24"/>
                <w:lang w:eastAsia="zh-CN"/>
              </w:rPr>
            </w:pPr>
            <w:r>
              <w:rPr>
                <w:rFonts w:hint="eastAsia"/>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rFonts w:hint="eastAsia"/>
                <w:sz w:val="24"/>
                <w:lang w:eastAsia="zh-CN"/>
              </w:rPr>
            </w:pPr>
            <w:r>
              <w:rPr>
                <w:rFonts w:hint="default" w:ascii="Times New Roman" w:hAnsi="Times New Roman" w:eastAsia="宋体" w:cs="Times New Roman"/>
                <w:sz w:val="24"/>
                <w:szCs w:val="24"/>
                <w:lang w:eastAsia="zh-CN"/>
              </w:rPr>
              <w:t>税号： 91350600717866709A</w:t>
            </w:r>
          </w:p>
        </w:tc>
        <w:tc>
          <w:tcPr>
            <w:tcW w:w="4821" w:type="dxa"/>
            <w:vAlign w:val="center"/>
          </w:tcPr>
          <w:p>
            <w:pPr>
              <w:spacing w:line="360" w:lineRule="auto"/>
              <w:jc w:val="both"/>
              <w:rPr>
                <w:rFonts w:hint="eastAsia"/>
                <w:sz w:val="24"/>
                <w:lang w:eastAsia="zh-CN"/>
              </w:rPr>
            </w:pPr>
            <w:r>
              <w:rPr>
                <w:rFonts w:hint="eastAsia"/>
                <w:sz w:val="24"/>
                <w:lang w:eastAsia="zh-CN"/>
              </w:rPr>
              <w:t>税号：</w:t>
            </w:r>
            <w:r>
              <w:rPr>
                <w:rFonts w:hint="eastAsia" w:ascii="宋体" w:hAnsi="宋体"/>
                <w:b/>
                <w:bCs/>
                <w:color w:val="000000"/>
                <w:szCs w:val="21"/>
              </w:rPr>
              <w:t xml:space="preserve"> </w:t>
            </w:r>
          </w:p>
        </w:tc>
      </w:tr>
    </w:tbl>
    <w:p>
      <w:pPr>
        <w:spacing w:line="20" w:lineRule="exact"/>
        <w:rPr>
          <w:sz w:val="24"/>
        </w:rPr>
      </w:pPr>
    </w:p>
    <w:p>
      <w:pPr>
        <w:spacing w:line="20" w:lineRule="exact"/>
        <w:rPr>
          <w:sz w:val="24"/>
        </w:rPr>
      </w:pPr>
    </w:p>
    <w:p>
      <w:pPr>
        <w:pStyle w:val="36"/>
        <w:rPr>
          <w:b/>
          <w:sz w:val="28"/>
          <w:szCs w:val="28"/>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spacing w:line="360" w:lineRule="auto"/>
        <w:rPr>
          <w:rFonts w:hint="eastAsia" w:hAnsi="宋体" w:cs="宋体" w:eastAsiaTheme="minorEastAsia"/>
          <w:kern w:val="2"/>
          <w:sz w:val="24"/>
          <w:szCs w:val="24"/>
          <w:lang w:eastAsia="zh-CN"/>
        </w:rPr>
      </w:pPr>
    </w:p>
    <w:p>
      <w:pPr>
        <w:pStyle w:val="36"/>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36"/>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示水膏示油膏采购项目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6"/>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w:t>
      </w:r>
      <w:r>
        <w:rPr>
          <w:rFonts w:hint="eastAsia" w:ascii="Times New Roman" w:hAnsi="Times New Roman" w:cs="Times New Roman"/>
          <w:b/>
          <w:bCs/>
          <w:w w:val="95"/>
          <w:sz w:val="32"/>
          <w:lang w:val="en-US" w:eastAsia="zh-CN"/>
        </w:rPr>
        <w:t>23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11</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6"/>
        <w:rPr>
          <w:rFonts w:ascii="Times New Roman" w:hAnsi="Times New Roman"/>
        </w:rPr>
      </w:pPr>
    </w:p>
    <w:p>
      <w:pPr>
        <w:pStyle w:val="36"/>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40"/>
        <w:spacing w:beforeLines="0" w:afterLines="0" w:line="240" w:lineRule="auto"/>
        <w:ind w:firstLine="618" w:firstLineChars="221"/>
        <w:rPr>
          <w:rFonts w:ascii="Times New Roman" w:hAnsi="Times New Roman" w:cs="Times New Roman"/>
          <w:bCs w:val="0"/>
          <w:color w:val="C00000"/>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6"/>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6"/>
      </w:pPr>
    </w:p>
    <w:p>
      <w:pPr>
        <w:pStyle w:val="36"/>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6"/>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6"/>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示水膏示油膏</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6"/>
        <w:rPr>
          <w:color w:val="0000FF"/>
          <w:kern w:val="2"/>
        </w:rPr>
      </w:pPr>
    </w:p>
    <w:p>
      <w:pPr>
        <w:pStyle w:val="36"/>
        <w:jc w:val="center"/>
        <w:rPr>
          <w:color w:val="0000FF"/>
          <w:kern w:val="2"/>
        </w:rPr>
      </w:pPr>
    </w:p>
    <w:p>
      <w:pPr>
        <w:pStyle w:val="36"/>
        <w:jc w:val="center"/>
        <w:rPr>
          <w:color w:val="0000FF"/>
          <w:kern w:val="2"/>
        </w:rPr>
      </w:pPr>
    </w:p>
    <w:p>
      <w:pPr>
        <w:pStyle w:val="36"/>
      </w:pPr>
      <w:r>
        <w:rPr>
          <w:rFonts w:hint="eastAsia"/>
          <w:b/>
          <w:sz w:val="28"/>
          <w:szCs w:val="28"/>
          <w:lang w:val="en-US" w:eastAsia="zh-CN"/>
        </w:rPr>
        <w:t>附件4</w:t>
      </w:r>
    </w:p>
    <w:p>
      <w:pPr>
        <w:pStyle w:val="36"/>
      </w:pP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36"/>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示水膏示油膏</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6"/>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6"/>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6"/>
        <w:jc w:val="center"/>
        <w:rPr>
          <w:color w:val="4E6127"/>
        </w:rPr>
      </w:pPr>
    </w:p>
    <w:p>
      <w:pPr>
        <w:pStyle w:val="36"/>
        <w:jc w:val="center"/>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40"/>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40"/>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szCs w:val="24"/>
          <w:u w:val="single"/>
          <w:lang w:val="en-US" w:eastAsia="zh-CN"/>
        </w:rPr>
        <w:t>示水膏示油膏</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/支，数量10支，</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/支，数量20支，共计人民币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36"/>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36"/>
        <w:spacing w:line="360" w:lineRule="auto"/>
        <w:rPr>
          <w:sz w:val="24"/>
          <w:szCs w:val="24"/>
        </w:rPr>
      </w:pPr>
      <w:r>
        <w:rPr>
          <w:rFonts w:hint="eastAsia"/>
          <w:sz w:val="24"/>
          <w:szCs w:val="24"/>
        </w:rPr>
        <w:t xml:space="preserve">           2、付款方式：1）无预付款 ；</w:t>
      </w:r>
    </w:p>
    <w:p>
      <w:pPr>
        <w:pStyle w:val="36"/>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pPr>
        <w:pStyle w:val="36"/>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6"/>
        <w:spacing w:line="360" w:lineRule="auto"/>
        <w:ind w:firstLine="480" w:firstLineChars="200"/>
        <w:rPr>
          <w:rFonts w:hint="eastAsia"/>
          <w:sz w:val="24"/>
          <w:szCs w:val="24"/>
        </w:rPr>
      </w:pPr>
    </w:p>
    <w:p>
      <w:pPr>
        <w:pStyle w:val="36"/>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0"/>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4"/>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591"/>
        <w:gridCol w:w="2156"/>
        <w:gridCol w:w="662"/>
        <w:gridCol w:w="663"/>
        <w:gridCol w:w="1137"/>
        <w:gridCol w:w="1000"/>
        <w:gridCol w:w="861"/>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eastAsia="zh-CN" w:bidi="ar"/>
              </w:rPr>
              <w:t>含税</w:t>
            </w:r>
            <w:r>
              <w:rPr>
                <w:rFonts w:hint="eastAsia" w:ascii="宋体" w:hAnsi="宋体" w:cs="宋体"/>
                <w:color w:val="000000"/>
                <w:kern w:val="0"/>
                <w:sz w:val="18"/>
                <w:szCs w:val="18"/>
                <w:lang w:bidi="ar"/>
              </w:rPr>
              <w:t>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cs="宋体"/>
                <w:color w:val="000000"/>
                <w:kern w:val="0"/>
                <w:sz w:val="18"/>
                <w:szCs w:val="18"/>
                <w:lang w:eastAsia="zh-CN" w:bidi="ar"/>
              </w:rPr>
              <w:t>含税</w:t>
            </w:r>
            <w:r>
              <w:rPr>
                <w:rFonts w:hint="eastAsia" w:cs="宋体"/>
                <w:color w:val="000000"/>
                <w:kern w:val="0"/>
                <w:sz w:val="18"/>
                <w:szCs w:val="18"/>
                <w:lang w:val="en-US" w:eastAsia="zh-CN" w:bidi="ar"/>
              </w:rPr>
              <w:t>小计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示水膏</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85g/支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品牌;KK</w:t>
            </w: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示油膏</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62g/支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品牌;KK</w:t>
            </w:r>
          </w:p>
        </w:tc>
      </w:tr>
      <w:tr>
        <w:tblPrEx>
          <w:tblCellMar>
            <w:top w:w="15" w:type="dxa"/>
            <w:left w:w="15" w:type="dxa"/>
            <w:bottom w:w="15" w:type="dxa"/>
            <w:right w:w="15" w:type="dxa"/>
          </w:tblCellMar>
        </w:tblPrEx>
        <w:trPr>
          <w:trHeight w:val="699"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05D2D12"/>
    <w:multiLevelType w:val="singleLevel"/>
    <w:tmpl w:val="605D2D12"/>
    <w:lvl w:ilvl="0" w:tentative="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9469E7"/>
    <w:rsid w:val="27BE3544"/>
    <w:rsid w:val="29FC3B14"/>
    <w:rsid w:val="2B11792E"/>
    <w:rsid w:val="2CA57894"/>
    <w:rsid w:val="306C6CAE"/>
    <w:rsid w:val="30D07398"/>
    <w:rsid w:val="31C54755"/>
    <w:rsid w:val="3216608C"/>
    <w:rsid w:val="335F5DDA"/>
    <w:rsid w:val="34CE14C6"/>
    <w:rsid w:val="34D84CEC"/>
    <w:rsid w:val="35880579"/>
    <w:rsid w:val="37AF5AB7"/>
    <w:rsid w:val="38581C57"/>
    <w:rsid w:val="3A805712"/>
    <w:rsid w:val="3B1C3371"/>
    <w:rsid w:val="3CC23198"/>
    <w:rsid w:val="3DDF4815"/>
    <w:rsid w:val="3FE669E5"/>
    <w:rsid w:val="454347BE"/>
    <w:rsid w:val="49A31EDC"/>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D887ABE"/>
    <w:rsid w:val="5E88034A"/>
    <w:rsid w:val="627C4924"/>
    <w:rsid w:val="63D2716D"/>
    <w:rsid w:val="645771F8"/>
    <w:rsid w:val="67770C38"/>
    <w:rsid w:val="68B757AA"/>
    <w:rsid w:val="6A54112D"/>
    <w:rsid w:val="6AA035AE"/>
    <w:rsid w:val="6CD44A05"/>
    <w:rsid w:val="6DE6205D"/>
    <w:rsid w:val="6E0F2E14"/>
    <w:rsid w:val="6E1A1323"/>
    <w:rsid w:val="6F1E141D"/>
    <w:rsid w:val="6F5354F8"/>
    <w:rsid w:val="6F855916"/>
    <w:rsid w:val="740A2BDE"/>
    <w:rsid w:val="741915E0"/>
    <w:rsid w:val="751839E0"/>
    <w:rsid w:val="76274F93"/>
    <w:rsid w:val="774424D0"/>
    <w:rsid w:val="778B1930"/>
    <w:rsid w:val="78DC4EE3"/>
    <w:rsid w:val="798023E8"/>
    <w:rsid w:val="79EB3F2F"/>
    <w:rsid w:val="7B11789E"/>
    <w:rsid w:val="7D01256B"/>
    <w:rsid w:val="7DC94A0A"/>
    <w:rsid w:val="7E90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1"/>
    <w:qFormat/>
    <w:uiPriority w:val="99"/>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9"/>
    <w:qFormat/>
    <w:uiPriority w:val="1"/>
    <w:rPr>
      <w:sz w:val="24"/>
      <w:szCs w:val="24"/>
    </w:rPr>
  </w:style>
  <w:style w:type="paragraph" w:styleId="10">
    <w:name w:val="Body Text Indent"/>
    <w:basedOn w:val="1"/>
    <w:link w:val="63"/>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5"/>
    <w:qFormat/>
    <w:uiPriority w:val="99"/>
    <w:rPr>
      <w:rFonts w:hAnsi="Courier New" w:cs="Courier New"/>
      <w:szCs w:val="21"/>
    </w:rPr>
  </w:style>
  <w:style w:type="paragraph" w:styleId="13">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4"/>
    <w:qFormat/>
    <w:uiPriority w:val="0"/>
    <w:pPr>
      <w:spacing w:after="120" w:line="480" w:lineRule="auto"/>
      <w:ind w:left="420" w:leftChars="200"/>
    </w:pPr>
  </w:style>
  <w:style w:type="paragraph" w:styleId="15">
    <w:name w:val="Balloon Text"/>
    <w:basedOn w:val="1"/>
    <w:link w:val="45"/>
    <w:qFormat/>
    <w:uiPriority w:val="99"/>
    <w:rPr>
      <w:sz w:val="18"/>
      <w:szCs w:val="18"/>
    </w:rPr>
  </w:style>
  <w:style w:type="paragraph" w:styleId="16">
    <w:name w:val="footer"/>
    <w:basedOn w:val="1"/>
    <w:link w:val="46"/>
    <w:qFormat/>
    <w:uiPriority w:val="99"/>
    <w:pPr>
      <w:tabs>
        <w:tab w:val="center" w:pos="4153"/>
        <w:tab w:val="right" w:pos="8306"/>
      </w:tabs>
      <w:snapToGrid w:val="0"/>
    </w:pPr>
    <w:rPr>
      <w:sz w:val="18"/>
      <w:szCs w:val="18"/>
    </w:rPr>
  </w:style>
  <w:style w:type="paragraph" w:styleId="17">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53"/>
    <w:qFormat/>
    <w:uiPriority w:val="0"/>
    <w:pPr>
      <w:spacing w:after="120" w:line="480" w:lineRule="auto"/>
    </w:pPr>
  </w:style>
  <w:style w:type="paragraph" w:styleId="22">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3">
    <w:name w:val="Body Text First Indent 2"/>
    <w:basedOn w:val="10"/>
    <w:next w:val="1"/>
    <w:qFormat/>
    <w:uiPriority w:val="0"/>
    <w:pPr>
      <w:ind w:firstLine="420" w:firstLineChars="200"/>
    </w:p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TML Definition"/>
    <w:basedOn w:val="26"/>
    <w:qFormat/>
    <w:uiPriority w:val="0"/>
  </w:style>
  <w:style w:type="character" w:styleId="32">
    <w:name w:val="HTML Variable"/>
    <w:basedOn w:val="26"/>
    <w:qFormat/>
    <w:uiPriority w:val="0"/>
  </w:style>
  <w:style w:type="character" w:styleId="33">
    <w:name w:val="Hyperlink"/>
    <w:basedOn w:val="26"/>
    <w:qFormat/>
    <w:uiPriority w:val="99"/>
    <w:rPr>
      <w:color w:val="0000FF"/>
      <w:u w:val="single"/>
    </w:rPr>
  </w:style>
  <w:style w:type="character" w:styleId="34">
    <w:name w:val="HTML Code"/>
    <w:basedOn w:val="26"/>
    <w:qFormat/>
    <w:uiPriority w:val="0"/>
    <w:rPr>
      <w:rFonts w:ascii="Courier New" w:hAnsi="Courier New"/>
      <w:sz w:val="20"/>
    </w:rPr>
  </w:style>
  <w:style w:type="character" w:styleId="35">
    <w:name w:val="HTML Cite"/>
    <w:basedOn w:val="26"/>
    <w:qFormat/>
    <w:uiPriority w:val="0"/>
  </w:style>
  <w:style w:type="paragraph" w:customStyle="1" w:styleId="36">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6"/>
    <w:link w:val="13"/>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6"/>
    <w:qFormat/>
    <w:uiPriority w:val="0"/>
    <w:rPr>
      <w:color w:val="0000FF"/>
      <w:sz w:val="18"/>
      <w:szCs w:val="18"/>
      <w:u w:val="none"/>
      <w:bdr w:val="single" w:color="DCDCDC" w:sz="8" w:space="0"/>
      <w:shd w:val="clear" w:color="auto" w:fill="FFFFFF"/>
    </w:rPr>
  </w:style>
  <w:style w:type="character" w:customStyle="1" w:styleId="45">
    <w:name w:val="批注框文本 Char"/>
    <w:basedOn w:val="26"/>
    <w:link w:val="15"/>
    <w:qFormat/>
    <w:uiPriority w:val="99"/>
    <w:rPr>
      <w:rFonts w:ascii="宋体" w:hAnsi="宋体" w:cs="宋体"/>
      <w:sz w:val="18"/>
      <w:szCs w:val="18"/>
      <w:lang w:eastAsia="en-US"/>
    </w:rPr>
  </w:style>
  <w:style w:type="character" w:customStyle="1" w:styleId="46">
    <w:name w:val="页脚 Char"/>
    <w:basedOn w:val="26"/>
    <w:link w:val="16"/>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6"/>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6"/>
    <w:link w:val="4"/>
    <w:qFormat/>
    <w:uiPriority w:val="0"/>
    <w:rPr>
      <w:rFonts w:ascii="宋体" w:hAnsi="宋体" w:cs="宋体"/>
      <w:b/>
      <w:bCs/>
      <w:sz w:val="32"/>
      <w:szCs w:val="32"/>
      <w:lang w:eastAsia="en-US"/>
    </w:rPr>
  </w:style>
  <w:style w:type="character" w:customStyle="1" w:styleId="51">
    <w:name w:val="批注文字 Char"/>
    <w:basedOn w:val="26"/>
    <w:link w:val="8"/>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6"/>
    <w:link w:val="21"/>
    <w:qFormat/>
    <w:uiPriority w:val="0"/>
    <w:rPr>
      <w:rFonts w:ascii="宋体" w:hAnsi="宋体" w:cs="宋体"/>
      <w:sz w:val="22"/>
      <w:szCs w:val="22"/>
      <w:lang w:eastAsia="en-US"/>
    </w:rPr>
  </w:style>
  <w:style w:type="character" w:customStyle="1" w:styleId="54">
    <w:name w:val="正文文本缩进 2 Char"/>
    <w:basedOn w:val="26"/>
    <w:link w:val="14"/>
    <w:qFormat/>
    <w:uiPriority w:val="0"/>
    <w:rPr>
      <w:rFonts w:ascii="宋体" w:hAnsi="宋体" w:cs="宋体"/>
      <w:sz w:val="22"/>
      <w:szCs w:val="22"/>
      <w:lang w:eastAsia="en-US"/>
    </w:rPr>
  </w:style>
  <w:style w:type="character" w:customStyle="1" w:styleId="55">
    <w:name w:val="纯文本 Char1"/>
    <w:basedOn w:val="26"/>
    <w:link w:val="12"/>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6"/>
    <w:link w:val="3"/>
    <w:qFormat/>
    <w:uiPriority w:val="0"/>
    <w:rPr>
      <w:rFonts w:ascii="宋体" w:hAnsi="宋体" w:cs="宋体"/>
      <w:b/>
      <w:bCs/>
      <w:sz w:val="24"/>
      <w:szCs w:val="24"/>
      <w:lang w:eastAsia="en-US"/>
    </w:rPr>
  </w:style>
  <w:style w:type="character" w:customStyle="1" w:styleId="58">
    <w:name w:val="正文缩进 Char"/>
    <w:link w:val="6"/>
    <w:qFormat/>
    <w:uiPriority w:val="0"/>
    <w:rPr>
      <w:sz w:val="24"/>
    </w:rPr>
  </w:style>
  <w:style w:type="character" w:customStyle="1" w:styleId="59">
    <w:name w:val="正文文本 Char"/>
    <w:basedOn w:val="26"/>
    <w:link w:val="9"/>
    <w:qFormat/>
    <w:uiPriority w:val="0"/>
    <w:rPr>
      <w:rFonts w:ascii="宋体" w:hAnsi="宋体" w:cs="宋体"/>
      <w:sz w:val="24"/>
      <w:szCs w:val="24"/>
      <w:lang w:eastAsia="en-US"/>
    </w:rPr>
  </w:style>
  <w:style w:type="character" w:customStyle="1" w:styleId="60">
    <w:name w:val="普通文字 Char2"/>
    <w:basedOn w:val="26"/>
    <w:qFormat/>
    <w:uiPriority w:val="0"/>
    <w:rPr>
      <w:rFonts w:ascii="宋体" w:hAnsi="Courier New" w:cs="Courier New"/>
      <w:sz w:val="22"/>
      <w:szCs w:val="21"/>
      <w:lang w:eastAsia="en-US"/>
    </w:rPr>
  </w:style>
  <w:style w:type="character" w:customStyle="1" w:styleId="61">
    <w:name w:val="标题 1 Char"/>
    <w:link w:val="2"/>
    <w:qFormat/>
    <w:uiPriority w:val="99"/>
    <w:rPr>
      <w:rFonts w:ascii="宋体" w:hAnsi="宋体" w:cs="宋体"/>
      <w:b/>
      <w:bCs/>
      <w:sz w:val="28"/>
      <w:szCs w:val="28"/>
      <w:lang w:eastAsia="en-US"/>
    </w:rPr>
  </w:style>
  <w:style w:type="character" w:customStyle="1" w:styleId="62">
    <w:name w:val="正文1 Char"/>
    <w:basedOn w:val="26"/>
    <w:link w:val="36"/>
    <w:qFormat/>
    <w:locked/>
    <w:uiPriority w:val="0"/>
    <w:rPr>
      <w:rFonts w:ascii="宋体" w:hAnsi="Calibri"/>
      <w:sz w:val="34"/>
      <w:szCs w:val="22"/>
    </w:rPr>
  </w:style>
  <w:style w:type="character" w:customStyle="1" w:styleId="63">
    <w:name w:val="正文文本缩进 Char"/>
    <w:basedOn w:val="26"/>
    <w:link w:val="10"/>
    <w:qFormat/>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6"/>
    <w:link w:val="5"/>
    <w:qFormat/>
    <w:uiPriority w:val="99"/>
    <w:rPr>
      <w:rFonts w:ascii="Arial" w:hAnsi="Arial" w:eastAsia="黑体"/>
      <w:b/>
      <w:bCs/>
      <w:kern w:val="2"/>
      <w:sz w:val="28"/>
      <w:szCs w:val="28"/>
    </w:rPr>
  </w:style>
  <w:style w:type="character" w:customStyle="1" w:styleId="66">
    <w:name w:val="文档结构图 Char"/>
    <w:basedOn w:val="26"/>
    <w:link w:val="7"/>
    <w:qFormat/>
    <w:uiPriority w:val="99"/>
    <w:rPr>
      <w:rFonts w:ascii="宋体"/>
      <w:kern w:val="2"/>
      <w:sz w:val="18"/>
      <w:szCs w:val="18"/>
    </w:rPr>
  </w:style>
  <w:style w:type="character" w:customStyle="1" w:styleId="67">
    <w:name w:val="副标题 Char"/>
    <w:basedOn w:val="26"/>
    <w:link w:val="19"/>
    <w:qFormat/>
    <w:uiPriority w:val="99"/>
    <w:rPr>
      <w:rFonts w:ascii="Cambria" w:hAnsi="Cambria"/>
      <w:b/>
      <w:bCs/>
      <w:kern w:val="28"/>
      <w:sz w:val="32"/>
      <w:szCs w:val="32"/>
    </w:rPr>
  </w:style>
  <w:style w:type="character" w:customStyle="1" w:styleId="68">
    <w:name w:val="标题 Char"/>
    <w:basedOn w:val="26"/>
    <w:link w:val="22"/>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6"/>
    <w:link w:val="17"/>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6"/>
    <w:qFormat/>
    <w:uiPriority w:val="0"/>
    <w:rPr>
      <w:color w:val="FFFFFF"/>
    </w:rPr>
  </w:style>
  <w:style w:type="character" w:customStyle="1" w:styleId="78">
    <w:name w:val="tmpztreemove_arrow"/>
    <w:basedOn w:val="26"/>
    <w:qFormat/>
    <w:uiPriority w:val="0"/>
  </w:style>
  <w:style w:type="character" w:customStyle="1" w:styleId="79">
    <w:name w:val="cy"/>
    <w:basedOn w:val="26"/>
    <w:qFormat/>
    <w:uiPriority w:val="0"/>
  </w:style>
  <w:style w:type="character" w:customStyle="1" w:styleId="80">
    <w:name w:val="associateddata"/>
    <w:basedOn w:val="26"/>
    <w:qFormat/>
    <w:uiPriority w:val="0"/>
    <w:rPr>
      <w:shd w:val="clear" w:fill="50A6F9"/>
    </w:rPr>
  </w:style>
  <w:style w:type="character" w:customStyle="1" w:styleId="81">
    <w:name w:val="choosename"/>
    <w:basedOn w:val="26"/>
    <w:qFormat/>
    <w:uiPriority w:val="0"/>
  </w:style>
  <w:style w:type="character" w:customStyle="1" w:styleId="82">
    <w:name w:val="xdrichtextbox"/>
    <w:basedOn w:val="26"/>
    <w:qFormat/>
    <w:uiPriority w:val="0"/>
    <w:rPr>
      <w:color w:val="auto"/>
      <w:u w:val="none"/>
      <w:bdr w:val="single" w:color="DCDCDC" w:sz="8" w:space="0"/>
      <w:shd w:val="clear" w:fill="auto"/>
    </w:rPr>
  </w:style>
  <w:style w:type="character" w:customStyle="1" w:styleId="83">
    <w:name w:val="iconline2"/>
    <w:basedOn w:val="26"/>
    <w:qFormat/>
    <w:uiPriority w:val="0"/>
  </w:style>
  <w:style w:type="character" w:customStyle="1" w:styleId="84">
    <w:name w:val="iconline21"/>
    <w:basedOn w:val="26"/>
    <w:qFormat/>
    <w:uiPriority w:val="0"/>
  </w:style>
  <w:style w:type="character" w:customStyle="1" w:styleId="85">
    <w:name w:val="design_class"/>
    <w:basedOn w:val="26"/>
    <w:qFormat/>
    <w:uiPriority w:val="0"/>
  </w:style>
  <w:style w:type="character" w:customStyle="1" w:styleId="86">
    <w:name w:val="button"/>
    <w:basedOn w:val="26"/>
    <w:qFormat/>
    <w:uiPriority w:val="0"/>
  </w:style>
  <w:style w:type="character" w:customStyle="1" w:styleId="87">
    <w:name w:val="layui-layer-tabnow"/>
    <w:basedOn w:val="26"/>
    <w:qFormat/>
    <w:uiPriority w:val="0"/>
    <w:rPr>
      <w:bdr w:val="single" w:color="CCCCCC" w:sz="6" w:space="0"/>
      <w:shd w:val="clear" w:fill="FFFFFF"/>
    </w:rPr>
  </w:style>
  <w:style w:type="character" w:customStyle="1" w:styleId="88">
    <w:name w:val="icontext1"/>
    <w:basedOn w:val="26"/>
    <w:qFormat/>
    <w:uiPriority w:val="0"/>
  </w:style>
  <w:style w:type="character" w:customStyle="1" w:styleId="89">
    <w:name w:val="icontext11"/>
    <w:basedOn w:val="26"/>
    <w:qFormat/>
    <w:uiPriority w:val="0"/>
  </w:style>
  <w:style w:type="character" w:customStyle="1" w:styleId="90">
    <w:name w:val="icontext12"/>
    <w:basedOn w:val="26"/>
    <w:qFormat/>
    <w:uiPriority w:val="0"/>
  </w:style>
  <w:style w:type="character" w:customStyle="1" w:styleId="91">
    <w:name w:val="after"/>
    <w:basedOn w:val="26"/>
    <w:qFormat/>
    <w:uiPriority w:val="0"/>
    <w:rPr>
      <w:sz w:val="0"/>
      <w:szCs w:val="0"/>
    </w:rPr>
  </w:style>
  <w:style w:type="character" w:customStyle="1" w:styleId="92">
    <w:name w:val="hilite6"/>
    <w:basedOn w:val="26"/>
    <w:qFormat/>
    <w:uiPriority w:val="0"/>
    <w:rPr>
      <w:color w:val="FFFFFF"/>
      <w:shd w:val="clear" w:fill="666666"/>
    </w:rPr>
  </w:style>
  <w:style w:type="character" w:customStyle="1" w:styleId="93">
    <w:name w:val="active2"/>
    <w:basedOn w:val="26"/>
    <w:qFormat/>
    <w:uiPriority w:val="0"/>
    <w:rPr>
      <w:color w:val="00FF00"/>
      <w:shd w:val="clear" w:fill="111111"/>
    </w:rPr>
  </w:style>
  <w:style w:type="character" w:customStyle="1" w:styleId="94">
    <w:name w:val="active3"/>
    <w:basedOn w:val="26"/>
    <w:qFormat/>
    <w:uiPriority w:val="0"/>
    <w:rPr>
      <w:shd w:val="clear" w:fill="EC3535"/>
    </w:rPr>
  </w:style>
  <w:style w:type="character" w:customStyle="1" w:styleId="95">
    <w:name w:val="w32"/>
    <w:basedOn w:val="26"/>
    <w:qFormat/>
    <w:uiPriority w:val="0"/>
  </w:style>
  <w:style w:type="character" w:customStyle="1" w:styleId="96">
    <w:name w:val="biggerthanmax"/>
    <w:basedOn w:val="26"/>
    <w:qFormat/>
    <w:uiPriority w:val="0"/>
    <w:rPr>
      <w:shd w:val="clear" w:fill="FFFF00"/>
    </w:rPr>
  </w:style>
  <w:style w:type="character" w:customStyle="1" w:styleId="97">
    <w:name w:val="cdropright"/>
    <w:basedOn w:val="26"/>
    <w:qFormat/>
    <w:uiPriority w:val="0"/>
  </w:style>
  <w:style w:type="character" w:customStyle="1" w:styleId="98">
    <w:name w:val="pagechatarealistclose_box"/>
    <w:basedOn w:val="26"/>
    <w:qFormat/>
    <w:uiPriority w:val="0"/>
  </w:style>
  <w:style w:type="character" w:customStyle="1" w:styleId="99">
    <w:name w:val="pagechatarealistclose_box1"/>
    <w:basedOn w:val="26"/>
    <w:qFormat/>
    <w:uiPriority w:val="0"/>
  </w:style>
  <w:style w:type="character" w:customStyle="1" w:styleId="100">
    <w:name w:val="ico1654"/>
    <w:basedOn w:val="26"/>
    <w:qFormat/>
    <w:uiPriority w:val="0"/>
  </w:style>
  <w:style w:type="character" w:customStyle="1" w:styleId="101">
    <w:name w:val="ico1655"/>
    <w:basedOn w:val="26"/>
    <w:qFormat/>
    <w:uiPriority w:val="0"/>
  </w:style>
  <w:style w:type="character" w:customStyle="1" w:styleId="102">
    <w:name w:val="drapbtn"/>
    <w:basedOn w:val="26"/>
    <w:qFormat/>
    <w:uiPriority w:val="0"/>
  </w:style>
  <w:style w:type="character" w:customStyle="1" w:styleId="103">
    <w:name w:val="cdropleft"/>
    <w:basedOn w:val="26"/>
    <w:qFormat/>
    <w:uiPriority w:val="0"/>
  </w:style>
  <w:style w:type="character" w:customStyle="1" w:styleId="104">
    <w:name w:val="icontext2"/>
    <w:basedOn w:val="26"/>
    <w:qFormat/>
    <w:uiPriority w:val="0"/>
  </w:style>
  <w:style w:type="character" w:customStyle="1" w:styleId="105">
    <w:name w:val="icontext3"/>
    <w:basedOn w:val="26"/>
    <w:qFormat/>
    <w:uiPriority w:val="0"/>
  </w:style>
  <w:style w:type="character" w:customStyle="1" w:styleId="106">
    <w:name w:val="first-child"/>
    <w:basedOn w:val="26"/>
    <w:qFormat/>
    <w:uiPriority w:val="0"/>
  </w:style>
  <w:style w:type="character" w:customStyle="1" w:styleId="107">
    <w:name w:val="edit_class"/>
    <w:basedOn w:val="26"/>
    <w:qFormat/>
    <w:uiPriority w:val="0"/>
  </w:style>
  <w:style w:type="character" w:customStyle="1" w:styleId="108">
    <w:name w:val="font51"/>
    <w:basedOn w:val="26"/>
    <w:qFormat/>
    <w:uiPriority w:val="0"/>
    <w:rPr>
      <w:rFonts w:hint="eastAsia" w:ascii="宋体" w:hAnsi="宋体" w:eastAsia="宋体" w:cs="宋体"/>
      <w:color w:val="000000"/>
      <w:sz w:val="20"/>
      <w:szCs w:val="20"/>
      <w:u w:val="none"/>
    </w:rPr>
  </w:style>
  <w:style w:type="character" w:customStyle="1" w:styleId="109">
    <w:name w:val="font11"/>
    <w:basedOn w:val="26"/>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11648</Words>
  <Characters>12108</Characters>
  <Lines>146</Lines>
  <Paragraphs>41</Paragraphs>
  <TotalTime>102</TotalTime>
  <ScaleCrop>false</ScaleCrop>
  <LinksUpToDate>false</LinksUpToDate>
  <CharactersWithSpaces>13148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Hot &amp;&amp; Cold</cp:lastModifiedBy>
  <dcterms:modified xsi:type="dcterms:W3CDTF">2023-11-29T02:32:35Z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2052-12.1.0.15990</vt:lpwstr>
  </property>
  <property fmtid="{D5CDD505-2E9C-101B-9397-08002B2CF9AE}" pid="6" name="ICV">
    <vt:lpwstr>202A8A2AED6A4DC9BFB3D7C1F4E3344E_12</vt:lpwstr>
  </property>
</Properties>
</file>