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示水膏示油膏</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FHC-PTCG20230313002</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FHC-PTCG20230313002</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：储运团队属地现共有储罐96台，除液化石油气及戊烷共16台球形压力容器无法进行人工检尺计量，剩余80台储罐，日常需对储罐进行检尺测温操作，每月月底需进行人工检尺盘点，</w:t>
      </w:r>
      <w:r>
        <w:rPr>
          <w:rFonts w:hint="eastAsia" w:asciiTheme="majorEastAsia" w:hAnsiTheme="majorEastAsia" w:eastAsiaTheme="majorEastAsia"/>
          <w:b w:val="0"/>
          <w:lang w:val="en-US" w:eastAsia="zh-CN"/>
        </w:rPr>
        <w:t>需要用到</w:t>
      </w:r>
      <w:r>
        <w:rPr>
          <w:rFonts w:hint="eastAsia" w:asciiTheme="majorEastAsia" w:hAnsiTheme="majorEastAsia" w:eastAsiaTheme="majorEastAsia"/>
          <w:b w:val="0"/>
          <w:lang w:eastAsia="zh-CN"/>
        </w:rPr>
        <w:t>辅助计量物资：示水膏、示油膏。</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2100</w:t>
      </w:r>
      <w:r>
        <w:rPr>
          <w:rFonts w:hint="eastAsia"/>
          <w:sz w:val="24"/>
          <w:szCs w:val="24"/>
          <w:lang w:eastAsia="zh-CN"/>
        </w:rPr>
        <w:t>元</w:t>
      </w:r>
      <w:r>
        <w:rPr>
          <w:rFonts w:hint="eastAsia"/>
          <w:b w:val="0"/>
          <w:bCs/>
          <w:lang w:eastAsia="zh-CN"/>
        </w:rPr>
        <w:t>（不含税价）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b w:val="0"/>
          <w:lang w:eastAsia="zh-CN"/>
        </w:rPr>
        <w:t>符合GB/T 13236-2011要求。</w:t>
      </w:r>
    </w:p>
    <w:p>
      <w:pPr>
        <w:pStyle w:val="36"/>
        <w:spacing w:line="360" w:lineRule="auto"/>
        <w:ind w:firstLine="480" w:firstLineChars="200"/>
        <w:rPr>
          <w:sz w:val="24"/>
          <w:szCs w:val="24"/>
        </w:rPr>
      </w:pPr>
      <w:r>
        <w:rPr>
          <w:rFonts w:hint="eastAsia"/>
          <w:sz w:val="24"/>
          <w:szCs w:val="24"/>
          <w:lang w:val="en-US" w:eastAsia="zh-CN"/>
        </w:rPr>
        <w:t>5</w:t>
      </w:r>
      <w:r>
        <w:rPr>
          <w:rFonts w:hint="eastAsia"/>
          <w:sz w:val="24"/>
          <w:szCs w:val="24"/>
        </w:rPr>
        <w:t>.</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13</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13</w:t>
      </w:r>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示水膏（10支）示油膏（20支）</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示水膏示油膏</w:t>
      </w:r>
      <w:r>
        <w:rPr>
          <w:rFonts w:hint="eastAsia" w:asciiTheme="majorEastAsia" w:hAnsiTheme="majorEastAsia" w:eastAsiaTheme="majorEastAsia"/>
          <w:snapToGrid w:val="0"/>
          <w:spacing w:val="8"/>
          <w:sz w:val="24"/>
          <w:szCs w:val="24"/>
          <w:u w:val="single"/>
          <w:lang w:eastAsia="zh-CN"/>
        </w:rPr>
        <w:t>采购</w:t>
      </w:r>
    </w:p>
    <w:p>
      <w:pPr>
        <w:pStyle w:val="3"/>
        <w:spacing w:line="360" w:lineRule="auto"/>
        <w:ind w:left="721" w:leftChars="218" w:hanging="241" w:hangingChars="100"/>
        <w:rPr>
          <w:rFonts w:hint="eastAsia" w:asciiTheme="majorEastAsia" w:hAnsiTheme="majorEastAsia" w:eastAsiaTheme="majorEastAsia"/>
          <w:b w:val="0"/>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lang w:eastAsia="zh-CN"/>
        </w:rPr>
        <w:t>储运团队属地现共有储罐96台，除液化石油气及戊烷共16台球形压力容器无法进行人工检尺计量，剩余80台储罐，日常需对储罐进行检尺测温操作，每月月底需进行人工检尺盘点，</w:t>
      </w:r>
      <w:r>
        <w:rPr>
          <w:rFonts w:hint="eastAsia" w:asciiTheme="majorEastAsia" w:hAnsiTheme="majorEastAsia" w:eastAsiaTheme="majorEastAsia"/>
          <w:b w:val="0"/>
          <w:lang w:val="en-US" w:eastAsia="zh-CN"/>
        </w:rPr>
        <w:t>需要用到</w:t>
      </w:r>
      <w:r>
        <w:rPr>
          <w:rFonts w:hint="eastAsia" w:asciiTheme="majorEastAsia" w:hAnsiTheme="majorEastAsia" w:eastAsiaTheme="majorEastAsia"/>
          <w:b w:val="0"/>
          <w:lang w:eastAsia="zh-CN"/>
        </w:rPr>
        <w:t>辅助计量物资：示水膏、示油膏。</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8"/>
        <w:autoSpaceDE/>
        <w:autoSpaceDN/>
        <w:spacing w:before="0" w:line="360" w:lineRule="auto"/>
        <w:ind w:left="441" w:leftChars="0" w:hanging="441" w:hangingChars="184"/>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符合GB/T 13236-2011要求。</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val="en-US" w:eastAsia="zh-CN"/>
        </w:rPr>
        <w:t>5</w:t>
      </w:r>
      <w:r>
        <w:rPr>
          <w:rFonts w:hint="eastAsia"/>
          <w:sz w:val="24"/>
          <w:szCs w:val="24"/>
          <w:lang w:eastAsia="zh-CN"/>
        </w:rPr>
        <w:t xml:space="preserve">.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陈斌毅</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w:t>
      </w:r>
      <w:r>
        <w:rPr>
          <w:rFonts w:hint="eastAsia" w:asciiTheme="majorEastAsia" w:hAnsiTheme="majorEastAsia" w:eastAsiaTheme="majorEastAsia"/>
          <w:spacing w:val="-4"/>
          <w:lang w:val="en-US" w:eastAsia="zh-CN"/>
        </w:rPr>
        <w:t>18850274449</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2100</w:t>
      </w:r>
      <w:r>
        <w:rPr>
          <w:rFonts w:hint="eastAsia" w:asciiTheme="majorEastAsia" w:hAnsiTheme="majorEastAsia" w:eastAsiaTheme="majorEastAsia"/>
          <w:b/>
          <w:bCs/>
          <w:sz w:val="24"/>
          <w:szCs w:val="24"/>
          <w:lang w:eastAsia="zh-CN"/>
        </w:rPr>
        <w:t>元</w:t>
      </w:r>
      <w:r>
        <w:rPr>
          <w:rFonts w:hint="eastAsia"/>
          <w:b/>
          <w:lang w:eastAsia="zh-CN"/>
        </w:rPr>
        <w:t>（不含税价）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both"/>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89126"/>
      <w:bookmarkStart w:id="2" w:name="_Toc304357904"/>
      <w:bookmarkStart w:id="3" w:name="_Toc430490619"/>
      <w:bookmarkStart w:id="4" w:name="_Toc430488858"/>
      <w:bookmarkStart w:id="5" w:name="_Toc430488651"/>
      <w:bookmarkStart w:id="6" w:name="_Toc177186249"/>
      <w:bookmarkStart w:id="7" w:name="_Toc430422420"/>
      <w:bookmarkStart w:id="8" w:name="_Toc430492133"/>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w:t>
      </w:r>
      <w:bookmarkStart w:id="9" w:name="_GoBack"/>
      <w:bookmarkEnd w:id="9"/>
      <w:r>
        <w:rPr>
          <w:rFonts w:hint="eastAsia"/>
          <w:lang w:eastAsia="zh-CN"/>
        </w:rPr>
        <w:t>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2100</w:t>
      </w:r>
      <w:r>
        <w:rPr>
          <w:rFonts w:hint="eastAsia"/>
          <w:b/>
          <w:lang w:eastAsia="zh-CN"/>
        </w:rPr>
        <w:t>元（不含税价）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腾龙芳烃</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示水膏示油膏</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示水膏示油膏</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腾龙芳烃</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eastAsia="zh-CN" w:bidi="ar"/>
              </w:rPr>
              <w:t>含税</w:t>
            </w:r>
            <w:r>
              <w:rPr>
                <w:rFonts w:hint="eastAsia" w:ascii="宋体" w:hAnsi="宋体" w:cs="宋体"/>
                <w:color w:val="000000"/>
                <w:kern w:val="0"/>
                <w:sz w:val="18"/>
                <w:szCs w:val="18"/>
                <w:lang w:bidi="ar"/>
              </w:rPr>
              <w:t>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cs="宋体"/>
                <w:color w:val="000000"/>
                <w:kern w:val="0"/>
                <w:sz w:val="18"/>
                <w:szCs w:val="18"/>
                <w:lang w:eastAsia="zh-CN"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示水膏</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85g/支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hint="eastAsia" w:cs="宋体"/>
                <w:i w:val="0"/>
                <w:iCs w:val="0"/>
                <w:color w:val="000000"/>
                <w:kern w:val="0"/>
                <w:sz w:val="18"/>
                <w:szCs w:val="18"/>
                <w:u w:val="none"/>
                <w:lang w:val="en-US" w:eastAsia="zh-CN" w:bidi="ar"/>
              </w:rPr>
              <w:t>品牌;KK</w:t>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示油膏</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62g/支</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w:t>
      </w:r>
      <w:r>
        <w:rPr>
          <w:rFonts w:hint="eastAsia"/>
          <w:sz w:val="24"/>
          <w:lang w:eastAsia="zh-CN"/>
        </w:rPr>
        <w:t>含税</w:t>
      </w:r>
      <w:r>
        <w:rPr>
          <w:rFonts w:hint="eastAsia"/>
          <w:sz w:val="24"/>
        </w:rPr>
        <w:t>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lang w:val="en-US" w:eastAsia="zh-CN"/>
        </w:rPr>
        <w:t>PX</w:t>
      </w:r>
      <w:r>
        <w:rPr>
          <w:rFonts w:hint="eastAsia"/>
          <w:sz w:val="24"/>
          <w:u w:val="single"/>
        </w:rPr>
        <w:t>：以上货物交货地点：福建省漳州市漳浦县古雷开发区腾龙路</w:t>
      </w:r>
      <w:r>
        <w:rPr>
          <w:rFonts w:hint="eastAsia"/>
          <w:sz w:val="24"/>
          <w:u w:val="single"/>
          <w:lang w:val="en-US" w:eastAsia="zh-CN"/>
        </w:rPr>
        <w:t>84号</w:t>
      </w:r>
      <w:r>
        <w:rPr>
          <w:rFonts w:hint="eastAsia"/>
          <w:sz w:val="24"/>
          <w:u w:val="single"/>
        </w:rPr>
        <w:t>（福建福海创石油化工有限公司</w:t>
      </w:r>
      <w:r>
        <w:rPr>
          <w:rFonts w:hint="default"/>
          <w:sz w:val="24"/>
          <w:u w:val="single"/>
        </w:rPr>
        <w:t>PX工厂）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val="en-US" w:eastAsia="zh-CN"/>
        </w:rPr>
        <w:t>(腾龙芳烃）</w:t>
      </w:r>
      <w:r>
        <w:rPr>
          <w:rFonts w:hint="eastAsia"/>
          <w:sz w:val="24"/>
          <w:u w:val="single"/>
        </w:rPr>
        <w:t>：赵靖辉0596-6311364</w:t>
      </w:r>
      <w:r>
        <w:rPr>
          <w:rFonts w:hint="eastAsia"/>
          <w:sz w:val="24"/>
          <w:u w:val="single"/>
          <w:lang w:eastAsia="zh-CN"/>
        </w:rPr>
        <w:t>，</w:t>
      </w:r>
      <w:r>
        <w:rPr>
          <w:rFonts w:hint="eastAsia"/>
          <w:sz w:val="24"/>
          <w:u w:val="single"/>
        </w:rPr>
        <w:t>13235969578</w:t>
      </w:r>
      <w:r>
        <w:rPr>
          <w:rFonts w:hint="eastAsia"/>
          <w:sz w:val="24"/>
          <w:u w:val="single"/>
          <w:lang w:eastAsia="zh-CN"/>
        </w:rPr>
        <w:t>。</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甲方：腾龙芳烃（漳州）有限公司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电话：0596-6311083</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开户银行：兴业银行漳州古雷支行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账号：162070100100021071</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91350600717866709A</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rPr>
          <w:rFonts w:hint="eastAsia" w:eastAsia="宋体"/>
          <w:b/>
          <w:sz w:val="28"/>
          <w:szCs w:val="28"/>
          <w:lang w:eastAsia="zh-CN"/>
        </w:rPr>
      </w:pPr>
    </w:p>
    <w:p>
      <w:pPr>
        <w:pStyle w:val="36"/>
        <w:spacing w:line="360" w:lineRule="auto"/>
        <w:rPr>
          <w:rFonts w:hint="eastAsia" w:hAnsi="宋体" w:cs="宋体" w:eastAsiaTheme="minorEastAsia"/>
          <w:kern w:val="2"/>
          <w:sz w:val="24"/>
          <w:szCs w:val="24"/>
          <w:lang w:eastAsia="zh-CN"/>
        </w:rPr>
      </w:pPr>
    </w:p>
    <w:p>
      <w:pPr>
        <w:pStyle w:val="36"/>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示水膏示油膏采购项目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示水膏示油膏</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示水膏示油膏</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示水膏示油膏</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/支，数量10支，</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/支，数量20支，共计人民币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156"/>
        <w:gridCol w:w="662"/>
        <w:gridCol w:w="6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eastAsia="zh-CN" w:bidi="ar"/>
              </w:rPr>
              <w:t>含税</w:t>
            </w:r>
            <w:r>
              <w:rPr>
                <w:rFonts w:hint="eastAsia" w:ascii="宋体" w:hAnsi="宋体" w:cs="宋体"/>
                <w:color w:val="000000"/>
                <w:kern w:val="0"/>
                <w:sz w:val="18"/>
                <w:szCs w:val="18"/>
                <w:lang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cs="宋体"/>
                <w:color w:val="000000"/>
                <w:kern w:val="0"/>
                <w:sz w:val="18"/>
                <w:szCs w:val="18"/>
                <w:lang w:eastAsia="zh-CN"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示水膏</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85g/支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示油膏</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62g/支</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品牌;KK</w:t>
            </w:r>
          </w:p>
        </w:tc>
      </w:tr>
      <w:tr>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7770C3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101</TotalTime>
  <ScaleCrop>false</ScaleCrop>
  <LinksUpToDate>false</LinksUpToDate>
  <CharactersWithSpaces>13148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2023-11-13T03:43:05Z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202A8A2AED6A4DC9BFB3D7C1F4E3344E_12</vt:lpwstr>
  </property>
</Properties>
</file>