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还原剂、阻垢剂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2023-FHC-还原剂、阻垢剂-1110</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宋体" w:hAnsi="宋体" w:cs="宋体"/>
          <w:kern w:val="0"/>
          <w:sz w:val="28"/>
          <w:szCs w:val="28"/>
          <w:shd w:val="clear" w:color="auto" w:fill="FFFFFF"/>
        </w:rPr>
        <w:t>日</w:t>
      </w:r>
    </w:p>
    <w:p>
      <w:pPr>
        <w:widowControl/>
        <w:shd w:val="clear" w:color="auto" w:fill="FFFFFF"/>
        <w:rPr>
          <w:rFonts w:ascii="宋体"/>
          <w:b/>
          <w:bCs/>
          <w:sz w:val="36"/>
        </w:rPr>
      </w:pPr>
      <w:r>
        <w:rPr>
          <w:kern w:val="0"/>
          <w:szCs w:val="21"/>
          <w:shd w:val="clear" w:color="auto" w:fill="FFFFFF"/>
        </w:rPr>
        <w:t> </w:t>
      </w: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bCs/>
          <w:szCs w:val="21"/>
        </w:rPr>
      </w:pPr>
      <w:r>
        <w:rPr>
          <w:rFonts w:hint="eastAsia"/>
          <w:b/>
          <w:bCs/>
          <w:sz w:val="32"/>
          <w:lang w:val="en-US" w:eastAsia="zh-CN"/>
        </w:rPr>
        <w:t>还原剂、阻垢剂</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还原剂、阻垢剂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2023-FHC-还原剂、阻垢剂-1110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还原剂、阻垢剂</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还原剂、阻垢剂</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具备经营资质，提供业绩证明</w:t>
      </w:r>
      <w:r>
        <w:rPr>
          <w:rFonts w:hint="eastAsia" w:asciiTheme="minorEastAsia" w:hAnsiTheme="minorEastAsia" w:eastAsiaTheme="minorEastAsia"/>
          <w:bCs/>
          <w:sz w:val="24"/>
          <w:highlight w:val="none"/>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伍仟元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29</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spacing w:before="0" w:line="30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（3）公司经营业绩证明（合同或发票）。</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伍仟元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周建华</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13313854017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jhzhou</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还原剂、阻垢剂</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伍仟元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还原剂、阻垢剂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2023-FHC-还原剂、阻垢剂-1110</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还原剂、阻垢剂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1.1还原剂：6吨；</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1.2阻垢剂：6吨。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产品采购指标：</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2.1 还原剂：Ph:3.0~5.0比重：1.06～1.1g/cm3，反渗透系统专用；</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 xml:space="preserve">2.2 阻垢剂：Ph:1.5~2.5比重：1.05～1.15g/cm3，反渗透系统专用。 </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桶装，25KG/桶，带托盘。</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各分3批次到货，首批各2吨货</w:t>
      </w:r>
      <w:r>
        <w:rPr>
          <w:rFonts w:hint="eastAsia" w:ascii="宋体" w:hAnsi="宋体"/>
          <w:sz w:val="24"/>
        </w:rPr>
        <w:t>物</w:t>
      </w:r>
      <w:r>
        <w:rPr>
          <w:rFonts w:hint="eastAsia" w:ascii="宋体" w:hAnsi="宋体"/>
          <w:sz w:val="24"/>
          <w:lang w:val="en-US" w:eastAsia="zh-CN"/>
        </w:rPr>
        <w:t>需于2023年12月底具备到货条件，具体到货时间以需方通知为准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还原剂、阻垢剂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Theme="minorEastAsia" w:hAnsiTheme="minorEastAsia" w:eastAsiaTheme="minorEastAsia"/>
          <w:bCs/>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2023-FHC-还原剂、阻垢剂-1110</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2023-FHC-还原剂、阻垢剂-1110</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2023-FHC-还原剂、阻垢剂-1110</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还原剂、阻垢剂</w:t>
      </w:r>
      <w:r>
        <w:rPr>
          <w:rFonts w:hint="eastAsia" w:ascii="宋体" w:hAnsi="宋体"/>
          <w:sz w:val="24"/>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1.1、还原剂：6吨；含税单价：____ _元/吨；含税总价：______元，税率；</w:t>
      </w:r>
      <w:r>
        <w:rPr>
          <w:rFonts w:hint="eastAsia" w:ascii="宋体" w:hAnsi="宋体"/>
          <w:sz w:val="24"/>
          <w:u w:val="single"/>
          <w:lang w:val="en-US" w:eastAsia="zh-CN"/>
        </w:rPr>
        <w:t xml:space="preserve">13% </w:t>
      </w:r>
      <w:r>
        <w:rPr>
          <w:rFonts w:hint="eastAsia" w:ascii="宋体" w:hAnsi="宋体"/>
          <w:sz w:val="24"/>
          <w:u w:val="none"/>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1.2、阻垢剂：6吨；含税单价：______元/吨；含税总价：______元，税率；</w:t>
      </w:r>
      <w:r>
        <w:rPr>
          <w:rFonts w:hint="eastAsia" w:ascii="宋体" w:hAnsi="宋体"/>
          <w:sz w:val="24"/>
          <w:u w:val="single"/>
          <w:lang w:val="en-US" w:eastAsia="zh-CN"/>
        </w:rPr>
        <w:t xml:space="preserve">13% </w:t>
      </w:r>
      <w:r>
        <w:rPr>
          <w:rFonts w:hint="eastAsia" w:ascii="宋体" w:hAnsi="宋体"/>
          <w:sz w:val="24"/>
          <w:u w:val="none"/>
          <w:lang w:val="en-US" w:eastAsia="zh-CN"/>
        </w:rPr>
        <w:t>；</w:t>
      </w:r>
    </w:p>
    <w:p>
      <w:pPr>
        <w:numPr>
          <w:ilvl w:val="0"/>
          <w:numId w:val="0"/>
        </w:numPr>
        <w:spacing w:line="312" w:lineRule="auto"/>
        <w:rPr>
          <w:rFonts w:hint="eastAsia" w:ascii="宋体" w:hAnsi="宋体"/>
          <w:b/>
          <w:bCs/>
          <w:sz w:val="24"/>
          <w:lang w:val="en-US" w:eastAsia="zh-CN"/>
        </w:rPr>
      </w:pPr>
      <w:r>
        <w:rPr>
          <w:rFonts w:hint="eastAsia" w:ascii="宋体" w:hAnsi="宋体"/>
          <w:b/>
          <w:bCs/>
          <w:sz w:val="24"/>
          <w:lang w:val="en-US" w:eastAsia="zh-CN"/>
        </w:rPr>
        <w:t>含税总价（1.1+1.2）=________元</w:t>
      </w:r>
      <w:bookmarkStart w:id="2" w:name="_GoBack"/>
      <w:bookmarkEnd w:id="2"/>
      <w:r>
        <w:rPr>
          <w:rFonts w:hint="eastAsia" w:ascii="宋体" w:hAnsi="宋体"/>
          <w:b/>
          <w:bCs/>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4、采购</w:t>
      </w:r>
      <w:r>
        <w:rPr>
          <w:rFonts w:hint="eastAsia" w:ascii="宋体" w:hAnsi="宋体" w:cs="宋体"/>
          <w:sz w:val="24"/>
          <w:lang w:val="en-US" w:eastAsia="zh-CN"/>
        </w:rPr>
        <w:t>指标</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4.1还原剂：Ph:3.0~5.0比重：1.06～1.1g/cm3，反渗透系统专用；</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 xml:space="preserve">4.2 阻垢剂：Ph:1.5~2.5比重：1.05～1.15g/cm3，反渗透系统专用。 </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sz w:val="24"/>
          <w:lang w:val="en-US" w:eastAsia="zh-CN"/>
        </w:rPr>
        <w:t>桶装</w:t>
      </w:r>
      <w:r>
        <w:rPr>
          <w:rFonts w:hint="eastAsia" w:ascii="宋体" w:hAnsi="宋体" w:cs="宋体"/>
          <w:sz w:val="24"/>
          <w:lang w:val="en-US" w:eastAsia="zh-CN"/>
        </w:rPr>
        <w:t>，25kg/桶，配套托盘。</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伍仟元</w:t>
      </w:r>
      <w:r>
        <w:rPr>
          <w:rFonts w:hint="eastAsia" w:ascii="宋体" w:hAnsi="宋体"/>
          <w:sz w:val="24"/>
        </w:rPr>
        <w:t>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首批各2吨</w:t>
      </w:r>
      <w:r>
        <w:rPr>
          <w:rFonts w:hint="eastAsia" w:ascii="宋体" w:hAnsi="宋体"/>
          <w:sz w:val="24"/>
        </w:rPr>
        <w:t>货物</w:t>
      </w:r>
      <w:r>
        <w:rPr>
          <w:rFonts w:hint="eastAsia" w:ascii="宋体" w:hAnsi="宋体"/>
          <w:sz w:val="24"/>
          <w:lang w:val="en-US" w:eastAsia="zh-CN"/>
        </w:rPr>
        <w:t>于2023年12月底具备到货条件，具体到货时间以需方通知为准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hint="eastAsia" w:ascii="宋体" w:hAnsi="宋体"/>
          <w:sz w:val="24"/>
        </w:rPr>
      </w:pPr>
      <w:r>
        <w:rPr>
          <w:rFonts w:hint="eastAsia" w:ascii="宋体" w:hAnsi="宋体"/>
          <w:sz w:val="24"/>
        </w:rPr>
        <w:t>四、相关技术要求，以福建福海创石油化工有限公司要求为准！</w:t>
      </w:r>
    </w:p>
    <w:p>
      <w:pPr>
        <w:rPr>
          <w:rFonts w:hint="eastAsia" w:ascii="宋体" w:hAnsi="宋体"/>
          <w:sz w:val="24"/>
          <w:lang w:val="en-US" w:eastAsia="zh-CN"/>
        </w:rPr>
      </w:pPr>
      <w:r>
        <w:rPr>
          <w:rFonts w:hint="eastAsia" w:ascii="宋体" w:hAnsi="宋体"/>
          <w:sz w:val="24"/>
          <w:lang w:val="en-US" w:eastAsia="zh-CN"/>
        </w:rPr>
        <w:t>五、执行时间：合同供货有效期：2023年12月-2024年12月。</w:t>
      </w:r>
    </w:p>
    <w:p>
      <w:pPr>
        <w:rPr>
          <w:rFonts w:hint="eastAsia" w:ascii="宋体" w:hAnsi="宋体" w:eastAsia="宋体"/>
          <w:sz w:val="24"/>
          <w:lang w:val="en-US" w:eastAsia="zh-CN"/>
        </w:rPr>
      </w:pP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2023-FHC-还原剂、阻垢剂-1110</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指标要求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指标</w:t>
      </w:r>
      <w:r>
        <w:rPr>
          <w:rFonts w:hint="eastAsia" w:ascii="宋体" w:hAnsi="宋体"/>
          <w:sz w:val="28"/>
          <w:szCs w:val="28"/>
          <w:u w:val="single"/>
        </w:rPr>
        <w:t>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numPr>
          <w:ilvl w:val="0"/>
          <w:numId w:val="7"/>
        </w:numPr>
        <w:spacing w:line="280" w:lineRule="exact"/>
        <w:rPr>
          <w:rFonts w:hint="eastAsia" w:ascii="宋体" w:hAnsi="宋体" w:cs="宋体"/>
          <w:b/>
          <w:kern w:val="0"/>
          <w:szCs w:val="21"/>
        </w:rPr>
      </w:pPr>
      <w:r>
        <w:rPr>
          <w:rFonts w:hint="eastAsia" w:ascii="宋体" w:hAnsi="宋体"/>
          <w:b/>
          <w:szCs w:val="21"/>
        </w:rPr>
        <w:t>产品名称</w:t>
      </w:r>
      <w:r>
        <w:rPr>
          <w:rFonts w:hint="eastAsia" w:ascii="宋体" w:hAnsi="宋体" w:cs="宋体"/>
          <w:b/>
          <w:kern w:val="0"/>
          <w:szCs w:val="21"/>
        </w:rPr>
        <w:t>、生产厂家、型号规格、计量单位、数量、单价、金额、备注:</w:t>
      </w:r>
    </w:p>
    <w:tbl>
      <w:tblPr>
        <w:tblStyle w:val="11"/>
        <w:tblW w:w="9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750"/>
        <w:gridCol w:w="1515"/>
        <w:gridCol w:w="725"/>
        <w:gridCol w:w="650"/>
        <w:gridCol w:w="770"/>
        <w:gridCol w:w="1210"/>
        <w:gridCol w:w="1150"/>
        <w:gridCol w:w="103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03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51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7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210"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1150"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税额  （元）</w:t>
            </w:r>
          </w:p>
        </w:tc>
        <w:tc>
          <w:tcPr>
            <w:tcW w:w="103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14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33" w:type="dxa"/>
            <w:vAlign w:val="center"/>
          </w:tcPr>
          <w:p>
            <w:pPr>
              <w:spacing w:line="28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还原剂</w:t>
            </w:r>
          </w:p>
        </w:tc>
        <w:tc>
          <w:tcPr>
            <w:tcW w:w="75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  </w:t>
            </w:r>
          </w:p>
        </w:tc>
        <w:tc>
          <w:tcPr>
            <w:tcW w:w="1515" w:type="dxa"/>
            <w:vAlign w:val="center"/>
          </w:tcPr>
          <w:p>
            <w:pPr>
              <w:spacing w:line="280" w:lineRule="exact"/>
              <w:jc w:val="center"/>
              <w:rPr>
                <w:rFonts w:hint="default" w:ascii="宋体" w:hAnsi="宋体" w:cs="Times New Roman"/>
                <w:color w:val="000000"/>
                <w:sz w:val="21"/>
                <w:szCs w:val="21"/>
                <w:lang w:val="en-US" w:eastAsia="zh-CN"/>
              </w:rPr>
            </w:pPr>
            <w:r>
              <w:rPr>
                <w:rFonts w:hint="default" w:ascii="宋体" w:hAnsi="宋体" w:cs="Times New Roman"/>
                <w:color w:val="000000"/>
                <w:sz w:val="21"/>
                <w:szCs w:val="21"/>
                <w:lang w:val="en-US" w:eastAsia="zh-CN"/>
              </w:rPr>
              <w:t>Ph:3.0~5.0比重：1.06～1.1g/cm3</w:t>
            </w:r>
          </w:p>
        </w:tc>
        <w:tc>
          <w:tcPr>
            <w:tcW w:w="725"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50"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6</w:t>
            </w:r>
          </w:p>
        </w:tc>
        <w:tc>
          <w:tcPr>
            <w:tcW w:w="770" w:type="dxa"/>
            <w:vAlign w:val="center"/>
          </w:tcPr>
          <w:p>
            <w:pPr>
              <w:spacing w:line="280" w:lineRule="exact"/>
              <w:jc w:val="center"/>
              <w:rPr>
                <w:rFonts w:hint="default" w:ascii="宋体" w:hAnsi="宋体" w:cs="Times New Roman"/>
                <w:color w:val="000000"/>
                <w:sz w:val="21"/>
                <w:szCs w:val="21"/>
                <w:lang w:val="en-US" w:eastAsia="zh-CN"/>
              </w:rPr>
            </w:pPr>
          </w:p>
        </w:tc>
        <w:tc>
          <w:tcPr>
            <w:tcW w:w="1210" w:type="dxa"/>
            <w:vAlign w:val="center"/>
          </w:tcPr>
          <w:p>
            <w:pPr>
              <w:spacing w:line="280" w:lineRule="exact"/>
              <w:jc w:val="center"/>
              <w:rPr>
                <w:rFonts w:hint="default" w:ascii="宋体" w:hAnsi="宋体" w:cs="Times New Roman"/>
                <w:color w:val="000000"/>
                <w:sz w:val="21"/>
                <w:szCs w:val="21"/>
                <w:lang w:val="en-US" w:eastAsia="zh-CN"/>
              </w:rPr>
            </w:pPr>
          </w:p>
        </w:tc>
        <w:tc>
          <w:tcPr>
            <w:tcW w:w="1150" w:type="dxa"/>
            <w:vAlign w:val="center"/>
          </w:tcPr>
          <w:p>
            <w:pPr>
              <w:spacing w:line="280" w:lineRule="exact"/>
              <w:jc w:val="center"/>
              <w:rPr>
                <w:rFonts w:hint="eastAsia" w:ascii="宋体" w:hAnsi="宋体" w:cs="Times New Roman"/>
                <w:color w:val="000000"/>
                <w:sz w:val="21"/>
                <w:szCs w:val="21"/>
                <w:lang w:val="en-US" w:eastAsia="zh-CN"/>
              </w:rPr>
            </w:pPr>
          </w:p>
        </w:tc>
        <w:tc>
          <w:tcPr>
            <w:tcW w:w="1032" w:type="dxa"/>
            <w:vAlign w:val="center"/>
          </w:tcPr>
          <w:p>
            <w:pPr>
              <w:spacing w:line="280" w:lineRule="exact"/>
              <w:jc w:val="center"/>
              <w:rPr>
                <w:rFonts w:hint="eastAsia" w:ascii="宋体" w:hAnsi="宋体" w:cs="Times New Roman"/>
                <w:color w:val="000000"/>
                <w:sz w:val="21"/>
                <w:szCs w:val="21"/>
                <w:lang w:val="en-US" w:eastAsia="zh-CN"/>
              </w:rPr>
            </w:pPr>
          </w:p>
        </w:tc>
        <w:tc>
          <w:tcPr>
            <w:tcW w:w="1145" w:type="dxa"/>
            <w:vMerge w:val="restart"/>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反渗透系统专用，含13%增值税发票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33" w:type="dxa"/>
            <w:vAlign w:val="center"/>
          </w:tcPr>
          <w:p>
            <w:pPr>
              <w:spacing w:line="28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阻垢剂</w:t>
            </w:r>
          </w:p>
        </w:tc>
        <w:tc>
          <w:tcPr>
            <w:tcW w:w="750" w:type="dxa"/>
            <w:vAlign w:val="center"/>
          </w:tcPr>
          <w:p>
            <w:pPr>
              <w:spacing w:line="280" w:lineRule="exact"/>
              <w:ind w:firstLine="210" w:firstLineChars="100"/>
              <w:jc w:val="both"/>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1515" w:type="dxa"/>
            <w:vAlign w:val="center"/>
          </w:tcPr>
          <w:p>
            <w:pPr>
              <w:spacing w:line="280" w:lineRule="exact"/>
              <w:jc w:val="center"/>
              <w:rPr>
                <w:rFonts w:hint="default" w:ascii="宋体" w:hAnsi="宋体" w:cs="Times New Roman"/>
                <w:color w:val="000000"/>
                <w:sz w:val="21"/>
                <w:szCs w:val="21"/>
                <w:lang w:val="en-US" w:eastAsia="zh-CN"/>
              </w:rPr>
            </w:pPr>
            <w:r>
              <w:rPr>
                <w:rFonts w:hint="default" w:ascii="宋体" w:hAnsi="宋体" w:cs="Times New Roman"/>
                <w:color w:val="000000"/>
                <w:sz w:val="21"/>
                <w:szCs w:val="21"/>
                <w:lang w:val="en-US" w:eastAsia="zh-CN"/>
              </w:rPr>
              <w:t>Ph:1.5~2.5比重：1.05～1.15g/cm3</w:t>
            </w:r>
          </w:p>
        </w:tc>
        <w:tc>
          <w:tcPr>
            <w:tcW w:w="725"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50"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6</w:t>
            </w:r>
          </w:p>
        </w:tc>
        <w:tc>
          <w:tcPr>
            <w:tcW w:w="770" w:type="dxa"/>
            <w:vAlign w:val="center"/>
          </w:tcPr>
          <w:p>
            <w:pPr>
              <w:spacing w:line="280" w:lineRule="exact"/>
              <w:jc w:val="center"/>
              <w:rPr>
                <w:rFonts w:hint="default" w:ascii="宋体" w:hAnsi="宋体" w:cs="Times New Roman"/>
                <w:color w:val="000000"/>
                <w:sz w:val="21"/>
                <w:szCs w:val="21"/>
                <w:lang w:val="en-US" w:eastAsia="zh-CN"/>
              </w:rPr>
            </w:pPr>
          </w:p>
        </w:tc>
        <w:tc>
          <w:tcPr>
            <w:tcW w:w="1210" w:type="dxa"/>
            <w:vAlign w:val="center"/>
          </w:tcPr>
          <w:p>
            <w:pPr>
              <w:spacing w:line="280" w:lineRule="exact"/>
              <w:jc w:val="center"/>
              <w:rPr>
                <w:rFonts w:hint="default" w:ascii="宋体" w:hAnsi="宋体" w:cs="Times New Roman"/>
                <w:color w:val="000000"/>
                <w:sz w:val="21"/>
                <w:szCs w:val="21"/>
                <w:lang w:val="en-US" w:eastAsia="zh-CN"/>
              </w:rPr>
            </w:pPr>
          </w:p>
        </w:tc>
        <w:tc>
          <w:tcPr>
            <w:tcW w:w="1150" w:type="dxa"/>
            <w:vAlign w:val="center"/>
          </w:tcPr>
          <w:p>
            <w:pPr>
              <w:spacing w:line="280" w:lineRule="exact"/>
              <w:jc w:val="center"/>
              <w:rPr>
                <w:rFonts w:hint="eastAsia" w:ascii="宋体" w:hAnsi="宋体" w:cs="Times New Roman"/>
                <w:color w:val="000000"/>
                <w:sz w:val="21"/>
                <w:szCs w:val="21"/>
                <w:lang w:val="en-US" w:eastAsia="zh-CN"/>
              </w:rPr>
            </w:pPr>
          </w:p>
        </w:tc>
        <w:tc>
          <w:tcPr>
            <w:tcW w:w="1032" w:type="dxa"/>
            <w:vAlign w:val="center"/>
          </w:tcPr>
          <w:p>
            <w:pPr>
              <w:spacing w:line="280" w:lineRule="exact"/>
              <w:jc w:val="center"/>
              <w:rPr>
                <w:rFonts w:hint="eastAsia" w:ascii="宋体" w:hAnsi="宋体" w:cs="Times New Roman"/>
                <w:color w:val="000000"/>
                <w:sz w:val="21"/>
                <w:szCs w:val="21"/>
                <w:lang w:val="en-US" w:eastAsia="zh-CN"/>
              </w:rPr>
            </w:pPr>
          </w:p>
        </w:tc>
        <w:tc>
          <w:tcPr>
            <w:tcW w:w="1145" w:type="dxa"/>
            <w:vMerge w:val="continue"/>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3298"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682" w:type="dxa"/>
            <w:gridSpan w:val="7"/>
            <w:vAlign w:val="center"/>
          </w:tcPr>
          <w:p>
            <w:pPr>
              <w:spacing w:line="280" w:lineRule="exact"/>
              <w:rPr>
                <w:rFonts w:hint="eastAsia" w:ascii="宋体" w:hAnsi="宋体" w:eastAsia="宋体"/>
                <w:color w:val="000000"/>
                <w:szCs w:val="21"/>
                <w:lang w:val="en-US" w:eastAsia="zh-CN"/>
              </w:rPr>
            </w:pPr>
          </w:p>
        </w:tc>
      </w:tr>
    </w:tbl>
    <w:p>
      <w:pPr>
        <w:spacing w:line="280" w:lineRule="exact"/>
        <w:rPr>
          <w:rFonts w:hint="eastAsia" w:ascii="宋体" w:hAnsi="宋体"/>
          <w:b w:val="0"/>
          <w:bCs/>
          <w:szCs w:val="21"/>
        </w:rPr>
      </w:pPr>
      <w:r>
        <w:rPr>
          <w:rFonts w:hint="eastAsia" w:ascii="宋体" w:hAnsi="宋体"/>
          <w:b w:val="0"/>
          <w:bCs/>
          <w:szCs w:val="21"/>
        </w:rPr>
        <w:t>二、供货有效期：</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2023年   月  日至2024年  月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cs="Arial"/>
          <w:color w:val="000000"/>
          <w:sz w:val="21"/>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还原剂：Ph:3.0~5.0比重：1.06～1.1g/cm3；阻垢剂：Ph:1.5~2.5比重：1.05～1.15g/cm3。</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lang w:val="en-US" w:eastAsia="zh-CN"/>
        </w:rPr>
        <w:t xml:space="preserve"> 桶装，</w:t>
      </w:r>
      <w:r>
        <w:rPr>
          <w:rFonts w:hint="eastAsia" w:ascii="宋体" w:hAnsi="宋体"/>
          <w:szCs w:val="21"/>
          <w:u w:val="single"/>
        </w:rPr>
        <w:t xml:space="preserve"> </w:t>
      </w:r>
      <w:r>
        <w:rPr>
          <w:rFonts w:hint="eastAsia" w:ascii="宋体" w:hAnsi="宋体"/>
          <w:szCs w:val="21"/>
          <w:u w:val="single"/>
          <w:lang w:val="en-US" w:eastAsia="zh-CN"/>
        </w:rPr>
        <w:t xml:space="preserve">25kg/桶，配套托盘。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分批到货，首批各2吨货物需于2023年12月底具备到货条件，具体到货时间以需方通知为准。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5.1供方根据需方要求缴纳履约保证金，金额为人民币伍仟元整。合同履约期届满，供方按合同约定全面履约的情况下，需方于供方提交返还履约保证金申请后30天内无息返还。</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Californian FB">
    <w:altName w:val="Segoe Print"/>
    <w:panose1 w:val="0207040306080B030204"/>
    <w:charset w:val="00"/>
    <w:family w:val="roman"/>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50D0A74"/>
    <w:multiLevelType w:val="singleLevel"/>
    <w:tmpl w:val="650D0A74"/>
    <w:lvl w:ilvl="0" w:tentative="0">
      <w:start w:val="1"/>
      <w:numFmt w:val="chineseCounting"/>
      <w:suff w:val="space"/>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2B6044"/>
    <w:rsid w:val="015010E5"/>
    <w:rsid w:val="019E09A2"/>
    <w:rsid w:val="01AB4154"/>
    <w:rsid w:val="01C84742"/>
    <w:rsid w:val="02003C03"/>
    <w:rsid w:val="021D391B"/>
    <w:rsid w:val="024C0384"/>
    <w:rsid w:val="02773EF6"/>
    <w:rsid w:val="028503FB"/>
    <w:rsid w:val="02CC4E1D"/>
    <w:rsid w:val="02D53A40"/>
    <w:rsid w:val="03033536"/>
    <w:rsid w:val="03261A08"/>
    <w:rsid w:val="032D15FD"/>
    <w:rsid w:val="032F04D8"/>
    <w:rsid w:val="035E6B52"/>
    <w:rsid w:val="039A1A8C"/>
    <w:rsid w:val="03E270E3"/>
    <w:rsid w:val="03E5328D"/>
    <w:rsid w:val="042207A6"/>
    <w:rsid w:val="04444FBA"/>
    <w:rsid w:val="04675C1C"/>
    <w:rsid w:val="046B7835"/>
    <w:rsid w:val="046E24C0"/>
    <w:rsid w:val="046F7ACF"/>
    <w:rsid w:val="05283FC3"/>
    <w:rsid w:val="052E150C"/>
    <w:rsid w:val="0546217C"/>
    <w:rsid w:val="059A34DA"/>
    <w:rsid w:val="059B734C"/>
    <w:rsid w:val="05C112E8"/>
    <w:rsid w:val="05CE4353"/>
    <w:rsid w:val="05CF5BDF"/>
    <w:rsid w:val="061013A0"/>
    <w:rsid w:val="064416AA"/>
    <w:rsid w:val="06A3708D"/>
    <w:rsid w:val="06A6109A"/>
    <w:rsid w:val="06AB00B1"/>
    <w:rsid w:val="06DA70D7"/>
    <w:rsid w:val="070356B5"/>
    <w:rsid w:val="077632ED"/>
    <w:rsid w:val="07817814"/>
    <w:rsid w:val="078A61DF"/>
    <w:rsid w:val="07C04CC8"/>
    <w:rsid w:val="07E878CC"/>
    <w:rsid w:val="07E87C6B"/>
    <w:rsid w:val="07F06C92"/>
    <w:rsid w:val="07FB0E0D"/>
    <w:rsid w:val="080F7CCD"/>
    <w:rsid w:val="08292233"/>
    <w:rsid w:val="090A2F1F"/>
    <w:rsid w:val="09355F11"/>
    <w:rsid w:val="09825B93"/>
    <w:rsid w:val="098E656B"/>
    <w:rsid w:val="099447D3"/>
    <w:rsid w:val="09AB3BF5"/>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6254BA"/>
    <w:rsid w:val="0C8C5BA5"/>
    <w:rsid w:val="0CF127D7"/>
    <w:rsid w:val="0CFA5163"/>
    <w:rsid w:val="0D0C63AE"/>
    <w:rsid w:val="0D6B0608"/>
    <w:rsid w:val="0DAD56B9"/>
    <w:rsid w:val="0DD566C4"/>
    <w:rsid w:val="0DF4437C"/>
    <w:rsid w:val="0E02486F"/>
    <w:rsid w:val="0E05669E"/>
    <w:rsid w:val="0E3D2F5D"/>
    <w:rsid w:val="0E3F22A2"/>
    <w:rsid w:val="0E830791"/>
    <w:rsid w:val="0E8B20AA"/>
    <w:rsid w:val="0E9503CA"/>
    <w:rsid w:val="0EE26DF9"/>
    <w:rsid w:val="0EE30943"/>
    <w:rsid w:val="0F3141ED"/>
    <w:rsid w:val="0F4E62EA"/>
    <w:rsid w:val="0F821B8F"/>
    <w:rsid w:val="0F84644E"/>
    <w:rsid w:val="0F8C0A60"/>
    <w:rsid w:val="0FA364D6"/>
    <w:rsid w:val="0FCE6C96"/>
    <w:rsid w:val="0FE34343"/>
    <w:rsid w:val="10167D42"/>
    <w:rsid w:val="105A2ADD"/>
    <w:rsid w:val="105B6F62"/>
    <w:rsid w:val="108E2EA4"/>
    <w:rsid w:val="10C613A6"/>
    <w:rsid w:val="10F1561E"/>
    <w:rsid w:val="111E4EA7"/>
    <w:rsid w:val="1141497F"/>
    <w:rsid w:val="117122AD"/>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156ACE"/>
    <w:rsid w:val="15273F34"/>
    <w:rsid w:val="15BF2E22"/>
    <w:rsid w:val="15C23309"/>
    <w:rsid w:val="15C31A47"/>
    <w:rsid w:val="15F16D9A"/>
    <w:rsid w:val="15FE1378"/>
    <w:rsid w:val="15FE1EB4"/>
    <w:rsid w:val="16172661"/>
    <w:rsid w:val="16270A04"/>
    <w:rsid w:val="164D0B5D"/>
    <w:rsid w:val="165069FC"/>
    <w:rsid w:val="16C37041"/>
    <w:rsid w:val="16E52F30"/>
    <w:rsid w:val="1728156C"/>
    <w:rsid w:val="172B49B7"/>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B010AE"/>
    <w:rsid w:val="1CD67713"/>
    <w:rsid w:val="1CF31038"/>
    <w:rsid w:val="1D0113C9"/>
    <w:rsid w:val="1D05782C"/>
    <w:rsid w:val="1DB72E7F"/>
    <w:rsid w:val="1DDB74E0"/>
    <w:rsid w:val="1E2F61EF"/>
    <w:rsid w:val="1E3264F3"/>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345BE0"/>
    <w:rsid w:val="224B2121"/>
    <w:rsid w:val="22521DD3"/>
    <w:rsid w:val="227B0690"/>
    <w:rsid w:val="228E5A58"/>
    <w:rsid w:val="22904C7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876613"/>
    <w:rsid w:val="27937EDA"/>
    <w:rsid w:val="27CF60B0"/>
    <w:rsid w:val="27E234BC"/>
    <w:rsid w:val="28012C6B"/>
    <w:rsid w:val="280475E2"/>
    <w:rsid w:val="28170E7E"/>
    <w:rsid w:val="282C18E9"/>
    <w:rsid w:val="282C6996"/>
    <w:rsid w:val="285B7C69"/>
    <w:rsid w:val="28B0150E"/>
    <w:rsid w:val="28D51D40"/>
    <w:rsid w:val="293555E2"/>
    <w:rsid w:val="295A4021"/>
    <w:rsid w:val="299A1AD2"/>
    <w:rsid w:val="29AC4DAC"/>
    <w:rsid w:val="29AF67CE"/>
    <w:rsid w:val="29B80978"/>
    <w:rsid w:val="29CE07E6"/>
    <w:rsid w:val="29D17C38"/>
    <w:rsid w:val="29DA1C97"/>
    <w:rsid w:val="2A587284"/>
    <w:rsid w:val="2A5F5D1F"/>
    <w:rsid w:val="2A7427E2"/>
    <w:rsid w:val="2A893557"/>
    <w:rsid w:val="2A8B1681"/>
    <w:rsid w:val="2AAB2012"/>
    <w:rsid w:val="2AC0562D"/>
    <w:rsid w:val="2AC11AAE"/>
    <w:rsid w:val="2AE84D10"/>
    <w:rsid w:val="2B2F6BD9"/>
    <w:rsid w:val="2B415816"/>
    <w:rsid w:val="2B4658AA"/>
    <w:rsid w:val="2B4A75F4"/>
    <w:rsid w:val="2B8E1B57"/>
    <w:rsid w:val="2B8E71EA"/>
    <w:rsid w:val="2BA705F6"/>
    <w:rsid w:val="2BBC3B25"/>
    <w:rsid w:val="2BD31416"/>
    <w:rsid w:val="2BD36FC0"/>
    <w:rsid w:val="2BDA3FC5"/>
    <w:rsid w:val="2BE04E2E"/>
    <w:rsid w:val="2C0B2A13"/>
    <w:rsid w:val="2C201604"/>
    <w:rsid w:val="2C31119D"/>
    <w:rsid w:val="2C3328C4"/>
    <w:rsid w:val="2C3D6896"/>
    <w:rsid w:val="2C5548F9"/>
    <w:rsid w:val="2CFC1CDC"/>
    <w:rsid w:val="2D054363"/>
    <w:rsid w:val="2D2B1461"/>
    <w:rsid w:val="2DA319DC"/>
    <w:rsid w:val="2DD12B8D"/>
    <w:rsid w:val="2DF06759"/>
    <w:rsid w:val="2E08055D"/>
    <w:rsid w:val="2E12514F"/>
    <w:rsid w:val="2E351771"/>
    <w:rsid w:val="2E464305"/>
    <w:rsid w:val="2E5D51E4"/>
    <w:rsid w:val="2E5E1E99"/>
    <w:rsid w:val="2E9A3102"/>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821CF"/>
    <w:rsid w:val="36E954BF"/>
    <w:rsid w:val="36FA78CD"/>
    <w:rsid w:val="3768338E"/>
    <w:rsid w:val="37702EA5"/>
    <w:rsid w:val="37945B49"/>
    <w:rsid w:val="379D3B99"/>
    <w:rsid w:val="37ED7F2D"/>
    <w:rsid w:val="381C0BFA"/>
    <w:rsid w:val="38227768"/>
    <w:rsid w:val="387939C8"/>
    <w:rsid w:val="38814998"/>
    <w:rsid w:val="389E1C96"/>
    <w:rsid w:val="38A94FE7"/>
    <w:rsid w:val="38AA55C5"/>
    <w:rsid w:val="38BA64A1"/>
    <w:rsid w:val="38C64245"/>
    <w:rsid w:val="38F01FCD"/>
    <w:rsid w:val="39057ED7"/>
    <w:rsid w:val="39137A71"/>
    <w:rsid w:val="3955569C"/>
    <w:rsid w:val="39657C8F"/>
    <w:rsid w:val="3969383E"/>
    <w:rsid w:val="39882841"/>
    <w:rsid w:val="39A410FA"/>
    <w:rsid w:val="39ED2847"/>
    <w:rsid w:val="3A0E47AA"/>
    <w:rsid w:val="3A4967DD"/>
    <w:rsid w:val="3A500A72"/>
    <w:rsid w:val="3A5116BA"/>
    <w:rsid w:val="3A5B7748"/>
    <w:rsid w:val="3A6212A7"/>
    <w:rsid w:val="3A86578A"/>
    <w:rsid w:val="3A87079F"/>
    <w:rsid w:val="3A8C3BAF"/>
    <w:rsid w:val="3AD63889"/>
    <w:rsid w:val="3ADE5E05"/>
    <w:rsid w:val="3AF0438B"/>
    <w:rsid w:val="3B053E48"/>
    <w:rsid w:val="3B293E28"/>
    <w:rsid w:val="3B2F7891"/>
    <w:rsid w:val="3B573FA4"/>
    <w:rsid w:val="3BD4036B"/>
    <w:rsid w:val="3C1D4BEF"/>
    <w:rsid w:val="3C1E5B01"/>
    <w:rsid w:val="3C333506"/>
    <w:rsid w:val="3C656913"/>
    <w:rsid w:val="3C94066E"/>
    <w:rsid w:val="3CFE624A"/>
    <w:rsid w:val="3D1251D3"/>
    <w:rsid w:val="3D173430"/>
    <w:rsid w:val="3D1A5549"/>
    <w:rsid w:val="3D3B5E19"/>
    <w:rsid w:val="3D470E27"/>
    <w:rsid w:val="3D475A63"/>
    <w:rsid w:val="3E032F87"/>
    <w:rsid w:val="3E287885"/>
    <w:rsid w:val="3E447FF5"/>
    <w:rsid w:val="3E536639"/>
    <w:rsid w:val="3EDD1B97"/>
    <w:rsid w:val="3EEE28F9"/>
    <w:rsid w:val="3EEF5D06"/>
    <w:rsid w:val="3F1539A0"/>
    <w:rsid w:val="3F1E4982"/>
    <w:rsid w:val="3F516B77"/>
    <w:rsid w:val="3FEE6A4A"/>
    <w:rsid w:val="401F30A7"/>
    <w:rsid w:val="40222763"/>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9348DE"/>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0119B0"/>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0D6B6D"/>
    <w:rsid w:val="48295411"/>
    <w:rsid w:val="48B268BC"/>
    <w:rsid w:val="48B551F1"/>
    <w:rsid w:val="48DB51F8"/>
    <w:rsid w:val="48DF13FB"/>
    <w:rsid w:val="493B7D23"/>
    <w:rsid w:val="493D3C11"/>
    <w:rsid w:val="49545F4C"/>
    <w:rsid w:val="497038CD"/>
    <w:rsid w:val="497205C6"/>
    <w:rsid w:val="49730A66"/>
    <w:rsid w:val="499A66C3"/>
    <w:rsid w:val="49AC538B"/>
    <w:rsid w:val="4A532137"/>
    <w:rsid w:val="4A784075"/>
    <w:rsid w:val="4A9E208F"/>
    <w:rsid w:val="4AEC33B6"/>
    <w:rsid w:val="4B2451E8"/>
    <w:rsid w:val="4B3D4012"/>
    <w:rsid w:val="4B4A24A6"/>
    <w:rsid w:val="4B732702"/>
    <w:rsid w:val="4B905F19"/>
    <w:rsid w:val="4B945212"/>
    <w:rsid w:val="4BC2454D"/>
    <w:rsid w:val="4BF23409"/>
    <w:rsid w:val="4BF27690"/>
    <w:rsid w:val="4C204881"/>
    <w:rsid w:val="4C775DE6"/>
    <w:rsid w:val="4C82133E"/>
    <w:rsid w:val="4CA3109F"/>
    <w:rsid w:val="4CF17094"/>
    <w:rsid w:val="4D13604C"/>
    <w:rsid w:val="4D845D59"/>
    <w:rsid w:val="4D96579A"/>
    <w:rsid w:val="4DA80E22"/>
    <w:rsid w:val="4DB81F38"/>
    <w:rsid w:val="4DE92DD7"/>
    <w:rsid w:val="4DFE7BC4"/>
    <w:rsid w:val="4E0062C6"/>
    <w:rsid w:val="4E0D5475"/>
    <w:rsid w:val="4E6B6CEB"/>
    <w:rsid w:val="4EAD5D22"/>
    <w:rsid w:val="4EB55D53"/>
    <w:rsid w:val="4F074C4A"/>
    <w:rsid w:val="4F7714C8"/>
    <w:rsid w:val="4F7B6890"/>
    <w:rsid w:val="4F8D5360"/>
    <w:rsid w:val="4FA265C1"/>
    <w:rsid w:val="4FAF2ACB"/>
    <w:rsid w:val="4FF14958"/>
    <w:rsid w:val="503B5A8A"/>
    <w:rsid w:val="505852F6"/>
    <w:rsid w:val="505B42E2"/>
    <w:rsid w:val="507E72C1"/>
    <w:rsid w:val="508235A6"/>
    <w:rsid w:val="50BB3ACD"/>
    <w:rsid w:val="50DA618C"/>
    <w:rsid w:val="50DE33C7"/>
    <w:rsid w:val="512F6EC2"/>
    <w:rsid w:val="513242BC"/>
    <w:rsid w:val="513403C7"/>
    <w:rsid w:val="518B38CB"/>
    <w:rsid w:val="51A5721F"/>
    <w:rsid w:val="51E145FD"/>
    <w:rsid w:val="51E51CC3"/>
    <w:rsid w:val="52350240"/>
    <w:rsid w:val="52540370"/>
    <w:rsid w:val="52670AC3"/>
    <w:rsid w:val="529A77A5"/>
    <w:rsid w:val="53396CC8"/>
    <w:rsid w:val="53523F58"/>
    <w:rsid w:val="536C4A8A"/>
    <w:rsid w:val="53B23CBD"/>
    <w:rsid w:val="53ED6794"/>
    <w:rsid w:val="542657F3"/>
    <w:rsid w:val="542A50A2"/>
    <w:rsid w:val="542D5399"/>
    <w:rsid w:val="542E0631"/>
    <w:rsid w:val="54344BC6"/>
    <w:rsid w:val="543E14AB"/>
    <w:rsid w:val="548702A8"/>
    <w:rsid w:val="54B07CA4"/>
    <w:rsid w:val="54DD2BD3"/>
    <w:rsid w:val="54F02C86"/>
    <w:rsid w:val="553E317D"/>
    <w:rsid w:val="554D2C1E"/>
    <w:rsid w:val="554F462E"/>
    <w:rsid w:val="556D7264"/>
    <w:rsid w:val="559230BD"/>
    <w:rsid w:val="55D17498"/>
    <w:rsid w:val="55E907A3"/>
    <w:rsid w:val="55E92CB5"/>
    <w:rsid w:val="55ED4F49"/>
    <w:rsid w:val="56325307"/>
    <w:rsid w:val="5659474A"/>
    <w:rsid w:val="5670014B"/>
    <w:rsid w:val="56732B47"/>
    <w:rsid w:val="5733660F"/>
    <w:rsid w:val="573834F1"/>
    <w:rsid w:val="573F1B67"/>
    <w:rsid w:val="57463334"/>
    <w:rsid w:val="574B6739"/>
    <w:rsid w:val="574D21DE"/>
    <w:rsid w:val="578B6597"/>
    <w:rsid w:val="57942C39"/>
    <w:rsid w:val="579B088D"/>
    <w:rsid w:val="57CE3AEC"/>
    <w:rsid w:val="57D17BC2"/>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D3038FF"/>
    <w:rsid w:val="5D667D0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376F7"/>
    <w:rsid w:val="5F74528F"/>
    <w:rsid w:val="5F905960"/>
    <w:rsid w:val="5FAD0C82"/>
    <w:rsid w:val="600E16AB"/>
    <w:rsid w:val="603C6B90"/>
    <w:rsid w:val="608B4D11"/>
    <w:rsid w:val="60B146AA"/>
    <w:rsid w:val="60E930B4"/>
    <w:rsid w:val="610236D1"/>
    <w:rsid w:val="61034DA8"/>
    <w:rsid w:val="61391E0A"/>
    <w:rsid w:val="61716ECA"/>
    <w:rsid w:val="619F1CF1"/>
    <w:rsid w:val="61A00D6C"/>
    <w:rsid w:val="61EC3C39"/>
    <w:rsid w:val="62093EA3"/>
    <w:rsid w:val="620B0745"/>
    <w:rsid w:val="6229181C"/>
    <w:rsid w:val="62293292"/>
    <w:rsid w:val="625B2CD4"/>
    <w:rsid w:val="62772330"/>
    <w:rsid w:val="6290553E"/>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AC19DC"/>
    <w:rsid w:val="66B94814"/>
    <w:rsid w:val="66EA1E3B"/>
    <w:rsid w:val="671B3499"/>
    <w:rsid w:val="6774663E"/>
    <w:rsid w:val="67895629"/>
    <w:rsid w:val="67956067"/>
    <w:rsid w:val="67B71CB2"/>
    <w:rsid w:val="68031777"/>
    <w:rsid w:val="68353249"/>
    <w:rsid w:val="685272E2"/>
    <w:rsid w:val="68767A40"/>
    <w:rsid w:val="68AF340E"/>
    <w:rsid w:val="68B03C37"/>
    <w:rsid w:val="68C11D22"/>
    <w:rsid w:val="68D575AA"/>
    <w:rsid w:val="68EB7C0C"/>
    <w:rsid w:val="68F0116E"/>
    <w:rsid w:val="68F73295"/>
    <w:rsid w:val="69085BD7"/>
    <w:rsid w:val="69154FCB"/>
    <w:rsid w:val="692B645A"/>
    <w:rsid w:val="69680059"/>
    <w:rsid w:val="6A5750D0"/>
    <w:rsid w:val="6A844F4E"/>
    <w:rsid w:val="6AC26EA2"/>
    <w:rsid w:val="6AC44695"/>
    <w:rsid w:val="6B477EF6"/>
    <w:rsid w:val="6B513865"/>
    <w:rsid w:val="6B9A256C"/>
    <w:rsid w:val="6BA373FF"/>
    <w:rsid w:val="6BEB1E5F"/>
    <w:rsid w:val="6BF37762"/>
    <w:rsid w:val="6C4957FC"/>
    <w:rsid w:val="6C53730E"/>
    <w:rsid w:val="6C5534FB"/>
    <w:rsid w:val="6C61176F"/>
    <w:rsid w:val="6C666306"/>
    <w:rsid w:val="6CF70B23"/>
    <w:rsid w:val="6D387925"/>
    <w:rsid w:val="6D3E0CE6"/>
    <w:rsid w:val="6D514EE5"/>
    <w:rsid w:val="6D6E3F95"/>
    <w:rsid w:val="6D8E6F8B"/>
    <w:rsid w:val="6DB151E2"/>
    <w:rsid w:val="6DBF39F3"/>
    <w:rsid w:val="6DC0644E"/>
    <w:rsid w:val="6DC2230F"/>
    <w:rsid w:val="6DDF5CCC"/>
    <w:rsid w:val="6E137528"/>
    <w:rsid w:val="6E80463B"/>
    <w:rsid w:val="6E895A0C"/>
    <w:rsid w:val="6EC56FAA"/>
    <w:rsid w:val="6F22793F"/>
    <w:rsid w:val="6F457884"/>
    <w:rsid w:val="6F570F4E"/>
    <w:rsid w:val="6F7C1012"/>
    <w:rsid w:val="6F84190F"/>
    <w:rsid w:val="6F883155"/>
    <w:rsid w:val="6F8C7070"/>
    <w:rsid w:val="6FE70842"/>
    <w:rsid w:val="6FEA4E60"/>
    <w:rsid w:val="6FF53E70"/>
    <w:rsid w:val="700713B2"/>
    <w:rsid w:val="701A2DBF"/>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2220E4"/>
    <w:rsid w:val="754931B4"/>
    <w:rsid w:val="75706FDE"/>
    <w:rsid w:val="759077E6"/>
    <w:rsid w:val="75940C8C"/>
    <w:rsid w:val="75BB2BFD"/>
    <w:rsid w:val="75C624A0"/>
    <w:rsid w:val="75C940ED"/>
    <w:rsid w:val="76494280"/>
    <w:rsid w:val="765748C8"/>
    <w:rsid w:val="76AC7129"/>
    <w:rsid w:val="76D15FF3"/>
    <w:rsid w:val="76F01A6C"/>
    <w:rsid w:val="773C2D8E"/>
    <w:rsid w:val="77550A67"/>
    <w:rsid w:val="77B83BB6"/>
    <w:rsid w:val="77BA2D12"/>
    <w:rsid w:val="78192B77"/>
    <w:rsid w:val="7856695F"/>
    <w:rsid w:val="7866427B"/>
    <w:rsid w:val="78ED7C3B"/>
    <w:rsid w:val="78F732D8"/>
    <w:rsid w:val="790F1791"/>
    <w:rsid w:val="791F3849"/>
    <w:rsid w:val="797350BA"/>
    <w:rsid w:val="79775EC9"/>
    <w:rsid w:val="79D00415"/>
    <w:rsid w:val="79EE2754"/>
    <w:rsid w:val="7A153532"/>
    <w:rsid w:val="7A1A7F37"/>
    <w:rsid w:val="7A1C7B11"/>
    <w:rsid w:val="7A37206F"/>
    <w:rsid w:val="7A741385"/>
    <w:rsid w:val="7A7E5483"/>
    <w:rsid w:val="7AA26906"/>
    <w:rsid w:val="7AAF231C"/>
    <w:rsid w:val="7AC84743"/>
    <w:rsid w:val="7AEC20F3"/>
    <w:rsid w:val="7B2F1AD6"/>
    <w:rsid w:val="7B4A47DB"/>
    <w:rsid w:val="7B7027FC"/>
    <w:rsid w:val="7B740622"/>
    <w:rsid w:val="7B8D786E"/>
    <w:rsid w:val="7B994BC5"/>
    <w:rsid w:val="7BDC7402"/>
    <w:rsid w:val="7BE145C1"/>
    <w:rsid w:val="7C014E05"/>
    <w:rsid w:val="7C152DD9"/>
    <w:rsid w:val="7C280290"/>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0</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2023-11-13T07:12:19Z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