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2023年检维修团队声学成像仪及手持热成像仪采购发包比选文件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QG2310170057</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bookmarkStart w:id="1" w:name="_GoBack"/>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3年检维修团队声学成像仪及手持热成像仪采购</w:t>
      </w:r>
      <w:r>
        <w:rPr>
          <w:rFonts w:hint="eastAsia"/>
          <w:color w:val="000000" w:themeColor="text1"/>
          <w:u w:val="single"/>
          <w:lang w:eastAsia="zh-CN"/>
        </w:rPr>
        <w:t>发包（项目编号：QG2310170057）</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项目名称：福建福海创石油化工有限公司2023年检维修团队声学成像仪及手持热成像仪采购发包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sz w:val="24"/>
          <w:szCs w:val="24"/>
          <w:lang w:eastAsia="zh-CN"/>
        </w:rPr>
        <w:t>2.</w:t>
      </w:r>
      <w:r>
        <w:rPr>
          <w:rFonts w:hint="eastAsia"/>
          <w:sz w:val="24"/>
          <w:szCs w:val="24"/>
          <w:lang w:eastAsia="zh-CN"/>
        </w:rPr>
        <w:t>比选项目简要说明：声学成像仪及手持热成像仪</w:t>
      </w:r>
      <w:r>
        <w:rPr>
          <w:rFonts w:hint="eastAsia"/>
          <w:sz w:val="24"/>
          <w:szCs w:val="24"/>
          <w:lang w:val="en-US" w:eastAsia="zh-CN"/>
        </w:rPr>
        <w:t>各2台，具体要求见附件1《发包说明》及附件2《技术协议书》</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3.比选预算价：18万元（不含税）</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4.品牌要求：福禄克、优利德、兆华电子、海康微影</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生产商或授权代理商</w:t>
      </w:r>
      <w:r>
        <w:rPr>
          <w:rFonts w:hint="eastAsia" w:ascii="宋体" w:hAnsi="宋体" w:eastAsia="宋体" w:cs="宋体"/>
          <w:sz w:val="24"/>
          <w:szCs w:val="24"/>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日至</w:t>
      </w:r>
      <w:r>
        <w:rPr>
          <w:rFonts w:hint="eastAsia"/>
          <w:color w:val="000000" w:themeColor="text1"/>
          <w:sz w:val="24"/>
          <w:szCs w:val="24"/>
          <w:lang w:val="en-US" w:eastAsia="zh-CN"/>
        </w:rPr>
        <w:t>11月4</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val="en-US" w:eastAsia="zh-CN"/>
        </w:rPr>
        <w:t>（3）授权代理书（代理商需提供）；</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（4）提供品牌制造厂近三年其他石油化工厂使用业绩合同（扫描件）。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pStyle w:val="20"/>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3600</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福海创检维修团队声学成像仪及手持热成像仪采购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电话：0596-6311078邮箱：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技术联系人：张连伙 电话：18850266190 邮箱：lhzhang@fhcpec.com.cn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bookmarkEnd w:id="1"/>
    <w:p>
      <w:pPr>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2023年检维修团队声学成像仪及手持热成像仪采购发包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w:t>
      </w:r>
      <w:r>
        <w:rPr>
          <w:rFonts w:hint="eastAsia"/>
          <w:lang w:val="en-US" w:eastAsia="zh-CN"/>
        </w:rPr>
        <w:t>1《技术规格书》</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0596-6311078</w:t>
      </w:r>
      <w:r>
        <w:rPr>
          <w:rFonts w:hint="eastAsia"/>
          <w:lang w:val="en-US" w:eastAsia="zh-CN"/>
        </w:rPr>
        <w:t>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ascii="宋体" w:hAnsi="宋体" w:eastAsia="宋体" w:cs="宋体"/>
          <w:sz w:val="24"/>
          <w:szCs w:val="24"/>
          <w:lang w:val="en-US" w:eastAsia="zh-CN" w:bidi="ar-SA"/>
        </w:rPr>
      </w:pPr>
      <w:r>
        <w:rPr>
          <w:rFonts w:hint="eastAsia" w:cs="宋体"/>
          <w:sz w:val="24"/>
          <w:szCs w:val="24"/>
          <w:lang w:val="en-US" w:eastAsia="zh-CN" w:bidi="ar-SA"/>
        </w:rPr>
        <w:t>技术联系人：张连伙 电话：18850266190 邮箱：lhzhang@fhcpec.com.cn</w:t>
      </w:r>
      <w:r>
        <w:rPr>
          <w:rFonts w:hint="eastAsia" w:ascii="宋体" w:hAnsi="宋体" w:eastAsia="宋体" w:cs="宋体"/>
          <w:sz w:val="24"/>
          <w:szCs w:val="24"/>
          <w:lang w:val="en-US" w:eastAsia="zh-CN" w:bidi="ar-SA"/>
        </w:rPr>
        <w:t xml:space="preserve">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生产商或授权代理商</w:t>
      </w:r>
      <w:r>
        <w:rPr>
          <w:rFonts w:hint="eastAsia" w:ascii="宋体" w:hAnsi="宋体" w:eastAsia="宋体" w:cs="宋体"/>
          <w:sz w:val="24"/>
          <w:szCs w:val="24"/>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pStyle w:val="20"/>
        <w:spacing w:line="360" w:lineRule="auto"/>
        <w:ind w:right="121" w:firstLine="480"/>
        <w:jc w:val="both"/>
        <w:rPr>
          <w:rFonts w:ascii="宋体" w:hAnsi="宋体" w:eastAsia="宋体" w:cs="宋体"/>
          <w:b/>
          <w:w w:val="95"/>
          <w:sz w:val="28"/>
          <w:szCs w:val="22"/>
          <w:lang w:val="en-US" w:eastAsia="zh-CN" w:bidi="ar-SA"/>
        </w:rPr>
      </w:pPr>
      <w:r>
        <w:rPr>
          <w:rFonts w:hint="eastAsia" w:ascii="宋体" w:hAnsi="宋体" w:eastAsia="宋体" w:cs="宋体"/>
          <w:b/>
          <w:w w:val="95"/>
          <w:sz w:val="28"/>
          <w:szCs w:val="22"/>
          <w:lang w:val="en-US" w:eastAsia="zh-CN" w:bidi="ar-SA"/>
        </w:rPr>
        <w:t>七</w:t>
      </w:r>
      <w:r>
        <w:rPr>
          <w:rFonts w:ascii="宋体" w:hAnsi="宋体" w:eastAsia="宋体" w:cs="宋体"/>
          <w:b/>
          <w:w w:val="95"/>
          <w:sz w:val="28"/>
          <w:szCs w:val="22"/>
          <w:lang w:val="en-US" w:eastAsia="zh-CN" w:bidi="ar-SA"/>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3600</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福海创检维修团队声学成像仪及手持热成像仪采购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34" w:firstLineChars="200"/>
        <w:textAlignment w:val="auto"/>
        <w:rPr>
          <w:b/>
          <w:w w:val="95"/>
          <w:sz w:val="28"/>
          <w:lang w:eastAsia="zh-CN"/>
        </w:rPr>
      </w:pPr>
      <w:r>
        <w:rPr>
          <w:rFonts w:hint="eastAsia"/>
          <w:b/>
          <w:w w:val="95"/>
          <w:sz w:val="28"/>
          <w:lang w:val="en-US" w:eastAsia="zh-CN"/>
        </w:rPr>
        <w:t>八</w:t>
      </w:r>
      <w:r>
        <w:rPr>
          <w:b/>
          <w:w w:val="95"/>
          <w:sz w:val="28"/>
          <w:lang w:eastAsia="zh-CN"/>
        </w:rPr>
        <w:t>、参选文件的递交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0" w:firstLine="482" w:firstLineChars="200"/>
        <w:textAlignment w:val="auto"/>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0" w:firstLine="482" w:firstLineChars="200"/>
        <w:textAlignment w:val="auto"/>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lang w:eastAsia="zh-CN"/>
        </w:rPr>
        <w:t>联系电话</w:t>
      </w:r>
      <w:r>
        <w:rPr>
          <w:spacing w:val="-4"/>
          <w:lang w:eastAsia="zh-CN"/>
        </w:rPr>
        <w:t>：</w:t>
      </w:r>
      <w:r>
        <w:rPr>
          <w:rFonts w:hint="eastAsia"/>
          <w:spacing w:val="-4"/>
          <w:lang w:val="en-US" w:eastAsia="zh-CN"/>
        </w:rPr>
        <w:t>0596-6311078</w:t>
      </w:r>
      <w:r>
        <w:rPr>
          <w:rFonts w:hint="eastAsia"/>
          <w:spacing w:val="-4"/>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0" w:firstLine="482" w:firstLineChars="200"/>
        <w:textAlignment w:val="auto"/>
        <w:rPr>
          <w:lang w:eastAsia="zh-CN"/>
        </w:rPr>
      </w:pP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w:t>
      </w:r>
      <w:r>
        <w:rPr>
          <w:rFonts w:hint="eastAsia"/>
          <w:lang w:val="en-US" w:eastAsia="zh-CN"/>
        </w:rPr>
        <w:t>四</w:t>
      </w:r>
      <w:r>
        <w:rPr>
          <w:lang w:eastAsia="zh-CN"/>
        </w:rPr>
        <w:t>格式内容要求进行</w:t>
      </w:r>
      <w:r>
        <w:rPr>
          <w:rFonts w:hint="eastAsia"/>
          <w:lang w:val="en-US" w:eastAsia="zh-CN"/>
        </w:rPr>
        <w:t>商务报价单</w:t>
      </w:r>
      <w:r>
        <w:rPr>
          <w:lang w:eastAsia="zh-CN"/>
        </w:rPr>
        <w:t>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rPr>
          <w:lang w:eastAsia="zh-CN"/>
        </w:rPr>
      </w:pPr>
      <w:r>
        <w:rPr>
          <w:rFonts w:hint="eastAsia"/>
          <w:b/>
          <w:color w:val="FF0000"/>
          <w:lang w:eastAsia="zh-CN"/>
        </w:rPr>
        <w:t>本项目设置最高控制价</w:t>
      </w:r>
      <w:r>
        <w:rPr>
          <w:rFonts w:hint="eastAsia"/>
          <w:b/>
          <w:color w:val="FF0000"/>
          <w:lang w:val="en-US" w:eastAsia="zh-CN"/>
        </w:rPr>
        <w:t>18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480" w:leftChars="218" w:right="0" w:firstLine="0" w:firstLineChars="0"/>
        <w:jc w:val="both"/>
        <w:textAlignment w:val="auto"/>
        <w:rPr>
          <w:lang w:eastAsia="zh-CN"/>
        </w:rPr>
      </w:pP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w:t>
      </w:r>
      <w:r>
        <w:rPr>
          <w:rFonts w:hint="eastAsia"/>
          <w:lang w:val="en-US" w:eastAsia="zh-CN"/>
        </w:rPr>
        <w:t>三</w:t>
      </w:r>
      <w:r>
        <w:rPr>
          <w:lang w:eastAsia="zh-CN"/>
        </w:rPr>
        <w:t>）的规定。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三</w:t>
      </w:r>
      <w:r>
        <w:rPr>
          <w:rFonts w:hint="eastAsia" w:ascii="Times New Roman"/>
          <w:b/>
          <w:bCs/>
          <w:lang w:eastAsia="zh-CN"/>
        </w:rPr>
        <w:t>、</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w:t>
      </w:r>
      <w:r>
        <w:rPr>
          <w:rFonts w:hint="eastAsia"/>
          <w:b/>
          <w:bCs/>
          <w:sz w:val="24"/>
          <w:szCs w:val="24"/>
          <w:lang w:val="en-US" w:eastAsia="zh-CN"/>
        </w:rPr>
        <w:t>四</w:t>
      </w:r>
      <w:r>
        <w:rPr>
          <w:rFonts w:hint="eastAsia"/>
          <w:b/>
          <w:bCs/>
          <w:sz w:val="24"/>
          <w:szCs w:val="24"/>
        </w:rPr>
        <w:t>、参选文件范本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检维修团队声学成像仪及手持热成像仪</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10266" w:type="dxa"/>
        <w:tblInd w:w="515" w:type="dxa"/>
        <w:tblLayout w:type="fixed"/>
        <w:tblCellMar>
          <w:top w:w="15" w:type="dxa"/>
          <w:left w:w="15" w:type="dxa"/>
          <w:bottom w:w="15" w:type="dxa"/>
          <w:right w:w="15" w:type="dxa"/>
        </w:tblCellMar>
      </w:tblPr>
      <w:tblGrid>
        <w:gridCol w:w="766"/>
        <w:gridCol w:w="1459"/>
        <w:gridCol w:w="1241"/>
        <w:gridCol w:w="1650"/>
        <w:gridCol w:w="1595"/>
        <w:gridCol w:w="506"/>
        <w:gridCol w:w="650"/>
        <w:gridCol w:w="1009"/>
        <w:gridCol w:w="1390"/>
      </w:tblGrid>
      <w:tr>
        <w:tblPrEx>
          <w:tblCellMar>
            <w:top w:w="15" w:type="dxa"/>
            <w:left w:w="15" w:type="dxa"/>
            <w:bottom w:w="15" w:type="dxa"/>
            <w:right w:w="15" w:type="dxa"/>
          </w:tblCellMar>
        </w:tblPrEx>
        <w:trPr>
          <w:trHeight w:val="48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请购编码</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存货编码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64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QG2310170057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3399980130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手持热成像仪</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64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1"/>
                <w:szCs w:val="21"/>
                <w:lang w:val="en-US" w:eastAsia="zh-CN"/>
              </w:rPr>
            </w:pPr>
            <w:r>
              <w:rPr>
                <w:rFonts w:hint="eastAsia"/>
                <w:color w:val="000000"/>
                <w:sz w:val="21"/>
                <w:szCs w:val="21"/>
                <w:lang w:val="en-US" w:eastAsia="zh-CN"/>
              </w:rPr>
              <w:t>2</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QG2310170058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3399980131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声学成像仪</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1"/>
                <w:szCs w:val="21"/>
                <w:lang w:val="en-US" w:eastAsia="zh-CN"/>
              </w:rPr>
            </w:pPr>
            <w:r>
              <w:rPr>
                <w:rFonts w:hint="eastAsia"/>
                <w:color w:val="000000"/>
                <w:sz w:val="21"/>
                <w:szCs w:val="21"/>
                <w:lang w:val="en-US" w:eastAsia="zh-CN"/>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1"/>
                <w:szCs w:val="21"/>
                <w:lang w:val="en-US" w:eastAsia="zh-CN"/>
              </w:rPr>
            </w:pPr>
            <w:r>
              <w:rPr>
                <w:rFonts w:hint="eastAsia"/>
                <w:color w:val="000000"/>
                <w:sz w:val="21"/>
                <w:szCs w:val="21"/>
                <w:lang w:val="en-US" w:eastAsia="zh-CN"/>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648"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合计</w:t>
            </w:r>
          </w:p>
        </w:tc>
        <w:tc>
          <w:tcPr>
            <w:tcW w:w="9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检维修团队声学成像仪及手持热成像仪</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90 </w:t>
            </w:r>
            <w:r>
              <w:rPr>
                <w:rFonts w:hint="eastAsia"/>
                <w:lang w:eastAsia="zh-CN"/>
              </w:rPr>
              <w:t>%,留</w:t>
            </w:r>
            <w:r>
              <w:rPr>
                <w:rFonts w:hint="eastAsia"/>
                <w:u w:val="single"/>
                <w:lang w:val="en-US" w:eastAsia="zh-CN"/>
              </w:rPr>
              <w:t xml:space="preserve"> 10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18</w:t>
            </w:r>
            <w:r>
              <w:rPr>
                <w:rFonts w:hint="eastAsia" w:ascii="宋体" w:hAnsi="宋体" w:eastAsia="宋体" w:cs="宋体"/>
                <w:b/>
                <w:bCs/>
                <w:sz w:val="22"/>
                <w:szCs w:val="22"/>
                <w:lang w:val="en-US" w:eastAsia="zh-CN" w:bidi="ar-SA"/>
              </w:rPr>
              <w:t>万元整（</w:t>
            </w:r>
            <w:r>
              <w:rPr>
                <w:rFonts w:hint="eastAsia" w:hAnsi="宋体" w:cs="宋体"/>
                <w:b/>
                <w:bCs/>
                <w:sz w:val="22"/>
                <w:szCs w:val="22"/>
                <w:lang w:val="en-US" w:eastAsia="zh-CN" w:bidi="ar-SA"/>
              </w:rPr>
              <w:t>不</w:t>
            </w:r>
            <w:r>
              <w:rPr>
                <w:rFonts w:hint="eastAsia" w:ascii="宋体" w:hAnsi="宋体" w:eastAsia="宋体" w:cs="宋体"/>
                <w:b/>
                <w:bCs/>
                <w:sz w:val="22"/>
                <w:szCs w:val="22"/>
                <w:lang w:val="en-US" w:eastAsia="zh-CN" w:bidi="ar-SA"/>
              </w:rPr>
              <w:t>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keepNext w:val="0"/>
        <w:keepLines w:val="0"/>
        <w:pageBreakBefore w:val="0"/>
        <w:widowControl w:val="0"/>
        <w:kinsoku/>
        <w:wordWrap/>
        <w:overflowPunct/>
        <w:topLinePunct w:val="0"/>
        <w:bidi w:val="0"/>
        <w:snapToGrid/>
        <w:spacing w:line="360" w:lineRule="auto"/>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0C771D"/>
    <w:rsid w:val="05121E5F"/>
    <w:rsid w:val="052E194E"/>
    <w:rsid w:val="059E63BF"/>
    <w:rsid w:val="061139E5"/>
    <w:rsid w:val="06F50B00"/>
    <w:rsid w:val="076E1278"/>
    <w:rsid w:val="08D1141D"/>
    <w:rsid w:val="09095327"/>
    <w:rsid w:val="09311615"/>
    <w:rsid w:val="094A7BA5"/>
    <w:rsid w:val="09610811"/>
    <w:rsid w:val="0B296DE2"/>
    <w:rsid w:val="0B4F0FFE"/>
    <w:rsid w:val="0B555FF1"/>
    <w:rsid w:val="0F301631"/>
    <w:rsid w:val="10294AA3"/>
    <w:rsid w:val="109B279F"/>
    <w:rsid w:val="10E40CA0"/>
    <w:rsid w:val="1176169E"/>
    <w:rsid w:val="136130D9"/>
    <w:rsid w:val="13CE320B"/>
    <w:rsid w:val="158161EB"/>
    <w:rsid w:val="158E1ADE"/>
    <w:rsid w:val="1682251C"/>
    <w:rsid w:val="18DD4F7E"/>
    <w:rsid w:val="195B58A2"/>
    <w:rsid w:val="19F253E3"/>
    <w:rsid w:val="1A3A6DF2"/>
    <w:rsid w:val="1AE958CE"/>
    <w:rsid w:val="1B0D24D6"/>
    <w:rsid w:val="1C217EAF"/>
    <w:rsid w:val="1E085A14"/>
    <w:rsid w:val="1E0F594A"/>
    <w:rsid w:val="1FF43DDB"/>
    <w:rsid w:val="21933AA2"/>
    <w:rsid w:val="22095F53"/>
    <w:rsid w:val="24DC0EEC"/>
    <w:rsid w:val="25BF356F"/>
    <w:rsid w:val="25D8645C"/>
    <w:rsid w:val="25DB0C2D"/>
    <w:rsid w:val="263478BF"/>
    <w:rsid w:val="26886A55"/>
    <w:rsid w:val="269469E7"/>
    <w:rsid w:val="281153C3"/>
    <w:rsid w:val="28FD301E"/>
    <w:rsid w:val="29FC3B14"/>
    <w:rsid w:val="2A604DF3"/>
    <w:rsid w:val="2B11792E"/>
    <w:rsid w:val="2C9B48A1"/>
    <w:rsid w:val="2CB24EEB"/>
    <w:rsid w:val="2CD22518"/>
    <w:rsid w:val="2DE57862"/>
    <w:rsid w:val="2E9D453A"/>
    <w:rsid w:val="31C54755"/>
    <w:rsid w:val="320B25D2"/>
    <w:rsid w:val="3216608C"/>
    <w:rsid w:val="32895690"/>
    <w:rsid w:val="32E0343B"/>
    <w:rsid w:val="34606647"/>
    <w:rsid w:val="34CE14C6"/>
    <w:rsid w:val="34D84CEC"/>
    <w:rsid w:val="356D4FAD"/>
    <w:rsid w:val="37AF5AB7"/>
    <w:rsid w:val="37F824E3"/>
    <w:rsid w:val="395A672D"/>
    <w:rsid w:val="3B1C3371"/>
    <w:rsid w:val="3CC23198"/>
    <w:rsid w:val="3DDF4815"/>
    <w:rsid w:val="3E1C0833"/>
    <w:rsid w:val="3ED80D7C"/>
    <w:rsid w:val="3FB11C04"/>
    <w:rsid w:val="3FE669E5"/>
    <w:rsid w:val="40FD77F3"/>
    <w:rsid w:val="423D79BD"/>
    <w:rsid w:val="43DD7FE4"/>
    <w:rsid w:val="493350F2"/>
    <w:rsid w:val="4946347D"/>
    <w:rsid w:val="499B72BF"/>
    <w:rsid w:val="49E14F29"/>
    <w:rsid w:val="4A957DD7"/>
    <w:rsid w:val="4C3D436D"/>
    <w:rsid w:val="4D7472E9"/>
    <w:rsid w:val="4D9C1893"/>
    <w:rsid w:val="4E844153"/>
    <w:rsid w:val="4F34472E"/>
    <w:rsid w:val="4F7033BA"/>
    <w:rsid w:val="4FB40925"/>
    <w:rsid w:val="50F63E28"/>
    <w:rsid w:val="5221007F"/>
    <w:rsid w:val="52926B5A"/>
    <w:rsid w:val="52946FDD"/>
    <w:rsid w:val="545C5E51"/>
    <w:rsid w:val="5486175B"/>
    <w:rsid w:val="55010C46"/>
    <w:rsid w:val="550C121E"/>
    <w:rsid w:val="55952173"/>
    <w:rsid w:val="5604432E"/>
    <w:rsid w:val="56782911"/>
    <w:rsid w:val="57667D24"/>
    <w:rsid w:val="57CE5BC3"/>
    <w:rsid w:val="586D6C9A"/>
    <w:rsid w:val="5AE1516A"/>
    <w:rsid w:val="5B1B1D6B"/>
    <w:rsid w:val="5B6A3A79"/>
    <w:rsid w:val="5C1A5F7B"/>
    <w:rsid w:val="5C57586D"/>
    <w:rsid w:val="5EC41536"/>
    <w:rsid w:val="5EF92A9F"/>
    <w:rsid w:val="5F953B47"/>
    <w:rsid w:val="5FE40AF3"/>
    <w:rsid w:val="62084B2E"/>
    <w:rsid w:val="62397FD0"/>
    <w:rsid w:val="645771F8"/>
    <w:rsid w:val="65304BCB"/>
    <w:rsid w:val="6699700C"/>
    <w:rsid w:val="66FD5367"/>
    <w:rsid w:val="68A37498"/>
    <w:rsid w:val="692D527D"/>
    <w:rsid w:val="6A54112D"/>
    <w:rsid w:val="6AA035AE"/>
    <w:rsid w:val="6E0F2E14"/>
    <w:rsid w:val="6EBB75BF"/>
    <w:rsid w:val="6EF32C1A"/>
    <w:rsid w:val="6F1E141D"/>
    <w:rsid w:val="6F5354F8"/>
    <w:rsid w:val="72DE4E13"/>
    <w:rsid w:val="73F3359E"/>
    <w:rsid w:val="73F36024"/>
    <w:rsid w:val="740A2BDE"/>
    <w:rsid w:val="74B45F33"/>
    <w:rsid w:val="751839E0"/>
    <w:rsid w:val="75D56EB3"/>
    <w:rsid w:val="76274F93"/>
    <w:rsid w:val="798823D7"/>
    <w:rsid w:val="79EB3F2F"/>
    <w:rsid w:val="7A442103"/>
    <w:rsid w:val="7A536E9B"/>
    <w:rsid w:val="7B11789E"/>
    <w:rsid w:val="7BEA2D8E"/>
    <w:rsid w:val="7CAB0F8A"/>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4</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2023-10-25T06:18:27Z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