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0"/>
          <w:szCs w:val="40"/>
        </w:rPr>
      </w:pPr>
      <w:r>
        <w:rPr>
          <w:rFonts w:hint="eastAsia" w:ascii="宋体" w:hAnsi="宋体"/>
          <w:b/>
          <w:sz w:val="40"/>
          <w:szCs w:val="40"/>
        </w:rPr>
        <w:t>福建福海创石油化工有限公司储运团队</w:t>
      </w:r>
    </w:p>
    <w:p>
      <w:pPr>
        <w:spacing w:line="360" w:lineRule="auto"/>
        <w:jc w:val="center"/>
        <w:rPr>
          <w:rFonts w:ascii="宋体" w:hAnsi="宋体"/>
          <w:b/>
          <w:sz w:val="40"/>
          <w:szCs w:val="40"/>
        </w:rPr>
      </w:pPr>
      <w:r>
        <w:rPr>
          <w:rFonts w:hint="eastAsia" w:ascii="宋体" w:hAnsi="宋体"/>
          <w:b/>
          <w:sz w:val="40"/>
          <w:szCs w:val="40"/>
          <w:lang w:val="en-US" w:eastAsia="zh-CN"/>
        </w:rPr>
        <w:t>61-P-101叶轮、轴</w:t>
      </w:r>
      <w:r>
        <w:rPr>
          <w:rFonts w:hint="eastAsia" w:ascii="宋体" w:hAnsi="宋体"/>
          <w:b/>
          <w:sz w:val="40"/>
          <w:szCs w:val="40"/>
        </w:rPr>
        <w:t>采购要求</w:t>
      </w:r>
    </w:p>
    <w:p>
      <w:pPr>
        <w:spacing w:line="540" w:lineRule="exact"/>
        <w:jc w:val="center"/>
        <w:rPr>
          <w:rFonts w:ascii="宋体" w:hAnsi="宋体"/>
          <w:b/>
          <w:sz w:val="44"/>
          <w:szCs w:val="44"/>
        </w:rPr>
      </w:pPr>
    </w:p>
    <w:p>
      <w:pPr>
        <w:numPr>
          <w:ilvl w:val="0"/>
          <w:numId w:val="1"/>
        </w:numPr>
        <w:spacing w:line="540" w:lineRule="exact"/>
        <w:rPr>
          <w:b/>
          <w:sz w:val="28"/>
          <w:szCs w:val="28"/>
        </w:rPr>
      </w:pPr>
      <w:r>
        <w:rPr>
          <w:rFonts w:hint="eastAsia"/>
          <w:b/>
          <w:sz w:val="28"/>
          <w:szCs w:val="28"/>
        </w:rPr>
        <w:t>报名要求：</w:t>
      </w:r>
    </w:p>
    <w:p>
      <w:pPr>
        <w:pStyle w:val="3"/>
        <w:spacing w:line="360" w:lineRule="auto"/>
        <w:ind w:right="121"/>
        <w:jc w:val="both"/>
        <w:rPr>
          <w:rFonts w:hint="default" w:cs="Times New Roman"/>
          <w:kern w:val="2"/>
          <w:lang w:val="en-US" w:eastAsia="zh-CN"/>
        </w:rPr>
      </w:pPr>
      <w:r>
        <w:rPr>
          <w:rFonts w:hint="eastAsia" w:cs="Times New Roman"/>
          <w:kern w:val="2"/>
          <w:lang w:val="en-US" w:eastAsia="zh-CN"/>
        </w:rPr>
        <w:t xml:space="preserve">    1.1</w:t>
      </w:r>
      <w:r>
        <w:rPr>
          <w:rFonts w:hint="eastAsia" w:cs="Times New Roman"/>
          <w:kern w:val="2"/>
          <w:lang w:eastAsia="zh-CN"/>
        </w:rPr>
        <w:t>厂商必须为独立自主的实体制造企业，</w:t>
      </w:r>
      <w:r>
        <w:rPr>
          <w:rFonts w:cs="Times New Roman"/>
          <w:kern w:val="2"/>
          <w:lang w:eastAsia="zh-CN"/>
        </w:rPr>
        <w:t>具备独立法人资格、具备有效的企业法人营业执照</w:t>
      </w:r>
      <w:r>
        <w:rPr>
          <w:rFonts w:hint="eastAsia" w:cs="Times New Roman"/>
          <w:kern w:val="2"/>
          <w:lang w:eastAsia="zh-CN"/>
        </w:rPr>
        <w:t>，注册资金不少于1000万元。</w:t>
      </w:r>
    </w:p>
    <w:p>
      <w:pPr>
        <w:spacing w:line="480" w:lineRule="auto"/>
        <w:ind w:firstLine="480" w:firstLineChars="200"/>
        <w:rPr>
          <w:rFonts w:hint="eastAsia" w:ascii="宋体" w:hAnsi="宋体"/>
          <w:sz w:val="24"/>
        </w:rPr>
      </w:pPr>
      <w:r>
        <w:rPr>
          <w:rFonts w:hint="eastAsia" w:ascii="宋体" w:hAnsi="宋体"/>
          <w:sz w:val="24"/>
        </w:rPr>
        <w:t>1.2</w:t>
      </w:r>
      <w:r>
        <w:rPr>
          <w:rFonts w:hint="eastAsia" w:ascii="宋体" w:hAnsi="宋体"/>
          <w:sz w:val="24"/>
          <w:lang w:val="en-US" w:eastAsia="zh-CN"/>
        </w:rPr>
        <w:t>报名厂家具有离心泵制造和销售资质</w:t>
      </w:r>
      <w:r>
        <w:rPr>
          <w:rFonts w:hint="eastAsia" w:ascii="宋体" w:hAnsi="宋体"/>
          <w:sz w:val="24"/>
        </w:rPr>
        <w:t>（务必真实有效，福海创有权要求投标商提供相应佐证材料包括不限于合同和发票等复印件）；</w:t>
      </w:r>
    </w:p>
    <w:p>
      <w:pPr>
        <w:spacing w:line="480" w:lineRule="auto"/>
        <w:ind w:firstLine="480" w:firstLineChars="200"/>
        <w:rPr>
          <w:rFonts w:hint="default" w:ascii="宋体" w:hAnsi="宋体" w:eastAsia="宋体"/>
          <w:sz w:val="24"/>
          <w:lang w:val="en-US" w:eastAsia="zh-CN"/>
        </w:rPr>
      </w:pPr>
      <w:r>
        <w:rPr>
          <w:rFonts w:hint="eastAsia" w:ascii="宋体" w:hAnsi="宋体"/>
          <w:sz w:val="24"/>
          <w:lang w:val="en-US" w:eastAsia="zh-CN"/>
        </w:rPr>
        <w:t>1.3报名厂家具有PTA/PX/石油化工行业业绩经验</w:t>
      </w:r>
      <w:r>
        <w:rPr>
          <w:rFonts w:hint="eastAsia" w:ascii="宋体" w:hAnsi="宋体"/>
          <w:sz w:val="24"/>
          <w:lang w:eastAsia="zh-CN"/>
        </w:rPr>
        <w:t>；</w:t>
      </w:r>
    </w:p>
    <w:p>
      <w:pPr>
        <w:spacing w:line="48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报名厂商需提供符合此次</w:t>
      </w:r>
      <w:r>
        <w:rPr>
          <w:rFonts w:hint="eastAsia" w:ascii="宋体" w:hAnsi="宋体"/>
          <w:sz w:val="24"/>
          <w:lang w:val="en-US" w:eastAsia="zh-CN"/>
        </w:rPr>
        <w:t>叶轮、泵轴</w:t>
      </w:r>
      <w:r>
        <w:rPr>
          <w:rFonts w:hint="eastAsia" w:ascii="宋体" w:hAnsi="宋体"/>
          <w:sz w:val="24"/>
        </w:rPr>
        <w:t>的设计图纸</w:t>
      </w:r>
      <w:r>
        <w:rPr>
          <w:rFonts w:hint="eastAsia" w:ascii="宋体" w:hAnsi="宋体"/>
          <w:sz w:val="24"/>
          <w:lang w:eastAsia="zh-CN"/>
        </w:rPr>
        <w:t>、</w:t>
      </w:r>
      <w:r>
        <w:rPr>
          <w:rFonts w:hint="eastAsia" w:ascii="宋体" w:hAnsi="宋体"/>
          <w:sz w:val="24"/>
          <w:lang w:val="en-US" w:eastAsia="zh-CN"/>
        </w:rPr>
        <w:t>材料证明。</w:t>
      </w:r>
    </w:p>
    <w:p>
      <w:pPr>
        <w:pStyle w:val="11"/>
        <w:numPr>
          <w:ilvl w:val="0"/>
          <w:numId w:val="1"/>
        </w:numPr>
        <w:spacing w:line="120" w:lineRule="auto"/>
        <w:ind w:firstLine="0" w:firstLineChars="0"/>
        <w:jc w:val="left"/>
        <w:rPr>
          <w:b/>
          <w:sz w:val="28"/>
          <w:szCs w:val="28"/>
        </w:rPr>
      </w:pPr>
      <w:r>
        <w:rPr>
          <w:rFonts w:hint="eastAsia"/>
          <w:b/>
          <w:sz w:val="28"/>
          <w:szCs w:val="28"/>
        </w:rPr>
        <w:t>执行标准：</w:t>
      </w:r>
    </w:p>
    <w:p>
      <w:pPr>
        <w:pStyle w:val="11"/>
        <w:keepNext w:val="0"/>
        <w:keepLines w:val="0"/>
        <w:pageBreakBefore w:val="0"/>
        <w:widowControl w:val="0"/>
        <w:numPr>
          <w:ilvl w:val="0"/>
          <w:numId w:val="0"/>
        </w:numPr>
        <w:kinsoku/>
        <w:wordWrap/>
        <w:overflowPunct/>
        <w:topLinePunct w:val="0"/>
        <w:autoSpaceDE/>
        <w:autoSpaceDN/>
        <w:bidi w:val="0"/>
        <w:spacing w:line="400" w:lineRule="exact"/>
        <w:ind w:firstLine="560"/>
        <w:jc w:val="left"/>
        <w:textAlignment w:val="auto"/>
        <w:rPr>
          <w:rFonts w:hint="default" w:ascii="Times New Roman" w:hAnsi="宋体"/>
          <w:sz w:val="24"/>
          <w:szCs w:val="24"/>
          <w:lang w:val="en-US" w:eastAsia="zh-CN"/>
        </w:rPr>
      </w:pPr>
      <w:r>
        <w:rPr>
          <w:rFonts w:ascii="Times New Roman" w:hAnsi="宋体"/>
          <w:sz w:val="24"/>
          <w:szCs w:val="24"/>
        </w:rPr>
        <w:t>API610</w:t>
      </w:r>
      <w:r>
        <w:rPr>
          <w:rFonts w:hint="eastAsia" w:ascii="Times New Roman" w:hAnsi="宋体"/>
          <w:sz w:val="24"/>
          <w:szCs w:val="24"/>
        </w:rPr>
        <w:t>-</w:t>
      </w:r>
      <w:r>
        <w:rPr>
          <w:rFonts w:ascii="Times New Roman" w:hAnsi="宋体"/>
          <w:sz w:val="24"/>
          <w:szCs w:val="24"/>
        </w:rPr>
        <w:t>2021          《石油、重化学和天然气工业用离心泵》</w:t>
      </w:r>
    </w:p>
    <w:p>
      <w:pPr>
        <w:keepNext w:val="0"/>
        <w:keepLines w:val="0"/>
        <w:pageBreakBefore w:val="0"/>
        <w:widowControl w:val="0"/>
        <w:kinsoku/>
        <w:wordWrap/>
        <w:overflowPunct/>
        <w:topLinePunct w:val="0"/>
        <w:autoSpaceDE/>
        <w:autoSpaceDN/>
        <w:bidi w:val="0"/>
        <w:adjustRightInd w:val="0"/>
        <w:snapToGrid w:val="0"/>
        <w:spacing w:line="400" w:lineRule="exact"/>
        <w:ind w:left="538" w:leftChars="256"/>
        <w:textAlignment w:val="auto"/>
        <w:rPr>
          <w:rFonts w:hint="eastAsia" w:hAnsi="宋体"/>
          <w:kern w:val="0"/>
          <w:sz w:val="24"/>
        </w:rPr>
      </w:pPr>
      <w:r>
        <w:rPr>
          <w:rFonts w:hAnsi="宋体"/>
          <w:kern w:val="0"/>
          <w:sz w:val="24"/>
        </w:rPr>
        <w:t>GB/T3216-20</w:t>
      </w:r>
      <w:r>
        <w:rPr>
          <w:rFonts w:hint="eastAsia" w:hAnsi="宋体"/>
          <w:kern w:val="0"/>
          <w:sz w:val="24"/>
        </w:rPr>
        <w:t>16</w:t>
      </w:r>
      <w:r>
        <w:rPr>
          <w:rFonts w:hAnsi="宋体"/>
          <w:kern w:val="0"/>
          <w:sz w:val="24"/>
        </w:rPr>
        <w:t xml:space="preserve">   </w:t>
      </w:r>
      <w:r>
        <w:rPr>
          <w:rFonts w:hint="eastAsia" w:hAnsi="宋体"/>
          <w:kern w:val="0"/>
          <w:sz w:val="24"/>
        </w:rPr>
        <w:tab/>
      </w:r>
      <w:r>
        <w:rPr>
          <w:rFonts w:hint="eastAsia" w:hAnsi="宋体"/>
          <w:kern w:val="0"/>
          <w:sz w:val="24"/>
        </w:rPr>
        <w:t xml:space="preserve">    </w:t>
      </w:r>
      <w:r>
        <w:rPr>
          <w:rFonts w:hAnsi="宋体"/>
          <w:kern w:val="0"/>
          <w:sz w:val="24"/>
        </w:rPr>
        <w:t>《回转动力泵　水力性能验收试验 1级和2级》</w:t>
      </w:r>
    </w:p>
    <w:p>
      <w:pPr>
        <w:keepNext w:val="0"/>
        <w:keepLines w:val="0"/>
        <w:pageBreakBefore w:val="0"/>
        <w:widowControl w:val="0"/>
        <w:kinsoku/>
        <w:wordWrap/>
        <w:overflowPunct/>
        <w:topLinePunct w:val="0"/>
        <w:autoSpaceDE/>
        <w:autoSpaceDN/>
        <w:bidi w:val="0"/>
        <w:adjustRightInd w:val="0"/>
        <w:snapToGrid w:val="0"/>
        <w:spacing w:line="400" w:lineRule="exact"/>
        <w:ind w:left="538" w:leftChars="256"/>
        <w:textAlignment w:val="auto"/>
        <w:rPr>
          <w:rFonts w:hint="eastAsia" w:hAnsi="宋体"/>
          <w:kern w:val="0"/>
          <w:sz w:val="24"/>
        </w:rPr>
      </w:pPr>
      <w:r>
        <w:rPr>
          <w:rFonts w:hint="eastAsia" w:hAnsi="宋体"/>
          <w:kern w:val="0"/>
          <w:sz w:val="24"/>
        </w:rPr>
        <w:t>GB/T5656-</w:t>
      </w:r>
      <w:r>
        <w:rPr>
          <w:rFonts w:hAnsi="宋体"/>
          <w:kern w:val="0"/>
          <w:sz w:val="24"/>
        </w:rPr>
        <w:t>2008</w:t>
      </w:r>
      <w:r>
        <w:rPr>
          <w:rFonts w:hint="eastAsia" w:hAnsi="宋体"/>
          <w:kern w:val="0"/>
          <w:sz w:val="24"/>
        </w:rPr>
        <w:t xml:space="preserve">       《离心泵技术条件（Ⅱ类）》</w:t>
      </w:r>
    </w:p>
    <w:p>
      <w:pPr>
        <w:keepNext w:val="0"/>
        <w:keepLines w:val="0"/>
        <w:pageBreakBefore w:val="0"/>
        <w:widowControl w:val="0"/>
        <w:kinsoku/>
        <w:wordWrap/>
        <w:overflowPunct/>
        <w:topLinePunct w:val="0"/>
        <w:autoSpaceDE/>
        <w:autoSpaceDN/>
        <w:bidi w:val="0"/>
        <w:adjustRightInd w:val="0"/>
        <w:snapToGrid w:val="0"/>
        <w:spacing w:line="400" w:lineRule="exact"/>
        <w:ind w:left="538" w:leftChars="256"/>
        <w:textAlignment w:val="auto"/>
        <w:rPr>
          <w:rFonts w:hint="eastAsia" w:hAnsi="宋体"/>
          <w:kern w:val="0"/>
          <w:sz w:val="24"/>
        </w:rPr>
      </w:pPr>
      <w:r>
        <w:rPr>
          <w:rFonts w:hint="eastAsia" w:hAnsi="宋体"/>
          <w:kern w:val="0"/>
          <w:sz w:val="24"/>
        </w:rPr>
        <w:t xml:space="preserve">GB3215 </w:t>
      </w:r>
      <w:r>
        <w:rPr>
          <w:rFonts w:hAnsi="宋体"/>
          <w:kern w:val="0"/>
          <w:sz w:val="24"/>
        </w:rPr>
        <w:t>-2019</w:t>
      </w:r>
      <w:r>
        <w:rPr>
          <w:rFonts w:hint="eastAsia" w:hAnsi="宋体"/>
          <w:kern w:val="0"/>
          <w:sz w:val="24"/>
        </w:rPr>
        <w:t xml:space="preserve">         </w:t>
      </w:r>
      <w:r>
        <w:rPr>
          <w:rFonts w:hAnsi="宋体"/>
          <w:kern w:val="0"/>
          <w:sz w:val="24"/>
        </w:rPr>
        <w:t>《</w:t>
      </w:r>
      <w:r>
        <w:rPr>
          <w:rFonts w:hint="eastAsia" w:hAnsi="宋体"/>
          <w:kern w:val="0"/>
          <w:sz w:val="24"/>
        </w:rPr>
        <w:t>炼厂、化工及石油化工流程用离心泵通用技术条件</w:t>
      </w:r>
      <w:r>
        <w:rPr>
          <w:rFonts w:hAnsi="宋体"/>
          <w:kern w:val="0"/>
          <w:sz w:val="24"/>
        </w:rPr>
        <w:t>》</w:t>
      </w:r>
    </w:p>
    <w:p>
      <w:pPr>
        <w:keepNext w:val="0"/>
        <w:keepLines w:val="0"/>
        <w:pageBreakBefore w:val="0"/>
        <w:widowControl w:val="0"/>
        <w:kinsoku/>
        <w:wordWrap/>
        <w:overflowPunct/>
        <w:topLinePunct w:val="0"/>
        <w:autoSpaceDE/>
        <w:autoSpaceDN/>
        <w:bidi w:val="0"/>
        <w:adjustRightInd w:val="0"/>
        <w:snapToGrid w:val="0"/>
        <w:spacing w:line="400" w:lineRule="exact"/>
        <w:ind w:left="538" w:leftChars="256"/>
        <w:textAlignment w:val="auto"/>
        <w:rPr>
          <w:rFonts w:hint="eastAsia" w:hAnsi="宋体"/>
          <w:kern w:val="0"/>
          <w:sz w:val="24"/>
        </w:rPr>
      </w:pPr>
      <w:r>
        <w:rPr>
          <w:rFonts w:hAnsi="宋体"/>
          <w:kern w:val="0"/>
          <w:sz w:val="24"/>
        </w:rPr>
        <w:t>JB/</w:t>
      </w:r>
      <w:r>
        <w:rPr>
          <w:rFonts w:hint="eastAsia" w:hAnsi="宋体"/>
          <w:kern w:val="0"/>
          <w:sz w:val="24"/>
        </w:rPr>
        <w:t>T6879</w:t>
      </w:r>
      <w:r>
        <w:rPr>
          <w:rFonts w:hAnsi="宋体"/>
          <w:kern w:val="0"/>
          <w:sz w:val="24"/>
        </w:rPr>
        <w:t xml:space="preserve">-2021      </w:t>
      </w:r>
      <w:r>
        <w:rPr>
          <w:rFonts w:hint="eastAsia" w:hAnsi="宋体"/>
          <w:kern w:val="0"/>
          <w:sz w:val="24"/>
        </w:rPr>
        <w:tab/>
      </w:r>
      <w:r>
        <w:rPr>
          <w:rFonts w:hint="eastAsia" w:hAnsi="宋体"/>
          <w:kern w:val="0"/>
          <w:sz w:val="24"/>
        </w:rPr>
        <w:t xml:space="preserve"> </w:t>
      </w:r>
      <w:r>
        <w:rPr>
          <w:rFonts w:hAnsi="宋体"/>
          <w:kern w:val="0"/>
          <w:sz w:val="24"/>
        </w:rPr>
        <w:t>《</w:t>
      </w:r>
      <w:r>
        <w:rPr>
          <w:rFonts w:hint="eastAsia" w:hAnsi="宋体"/>
          <w:kern w:val="0"/>
          <w:sz w:val="24"/>
        </w:rPr>
        <w:t>离心泵铸件过流部位尺寸公差</w:t>
      </w:r>
      <w:r>
        <w:rPr>
          <w:rFonts w:hAnsi="宋体"/>
          <w:kern w:val="0"/>
          <w:sz w:val="24"/>
        </w:rPr>
        <w:t>》</w:t>
      </w:r>
    </w:p>
    <w:p>
      <w:pPr>
        <w:keepNext w:val="0"/>
        <w:keepLines w:val="0"/>
        <w:pageBreakBefore w:val="0"/>
        <w:widowControl w:val="0"/>
        <w:kinsoku/>
        <w:wordWrap/>
        <w:overflowPunct/>
        <w:topLinePunct w:val="0"/>
        <w:autoSpaceDE/>
        <w:autoSpaceDN/>
        <w:bidi w:val="0"/>
        <w:adjustRightInd w:val="0"/>
        <w:snapToGrid w:val="0"/>
        <w:spacing w:line="400" w:lineRule="exact"/>
        <w:ind w:left="538" w:leftChars="256"/>
        <w:textAlignment w:val="auto"/>
        <w:rPr>
          <w:rFonts w:hAnsi="宋体"/>
          <w:kern w:val="0"/>
          <w:sz w:val="24"/>
        </w:rPr>
      </w:pPr>
      <w:r>
        <w:rPr>
          <w:rFonts w:hint="eastAsia" w:hAnsi="宋体"/>
          <w:kern w:val="0"/>
          <w:sz w:val="24"/>
        </w:rPr>
        <w:t>GB11352-</w:t>
      </w:r>
      <w:r>
        <w:rPr>
          <w:rFonts w:hAnsi="宋体"/>
          <w:kern w:val="0"/>
          <w:sz w:val="24"/>
        </w:rPr>
        <w:t>2009</w:t>
      </w:r>
      <w:r>
        <w:rPr>
          <w:rFonts w:hint="eastAsia" w:hAnsi="宋体"/>
          <w:kern w:val="0"/>
          <w:sz w:val="24"/>
        </w:rPr>
        <w:t xml:space="preserve">        《一般工程用铸造碳钢件》 </w:t>
      </w:r>
    </w:p>
    <w:p>
      <w:pPr>
        <w:adjustRightInd w:val="0"/>
        <w:snapToGrid w:val="0"/>
        <w:spacing w:line="360" w:lineRule="auto"/>
        <w:rPr>
          <w:rFonts w:hint="eastAsia" w:hAnsi="宋体"/>
          <w:kern w:val="0"/>
          <w:sz w:val="24"/>
        </w:rPr>
      </w:pPr>
      <w:r>
        <w:rPr>
          <w:rFonts w:hAnsi="宋体"/>
          <w:kern w:val="0"/>
          <w:sz w:val="24"/>
        </w:rPr>
        <w:t xml:space="preserve"> </w:t>
      </w:r>
    </w:p>
    <w:p>
      <w:pPr>
        <w:numPr>
          <w:ilvl w:val="0"/>
          <w:numId w:val="1"/>
        </w:numPr>
        <w:spacing w:line="540" w:lineRule="exact"/>
        <w:ind w:left="0" w:leftChars="0" w:firstLine="0" w:firstLineChars="0"/>
        <w:rPr>
          <w:rFonts w:hint="eastAsia" w:ascii="宋体" w:hAnsi="宋体"/>
          <w:b/>
          <w:bCs/>
          <w:sz w:val="28"/>
          <w:szCs w:val="28"/>
        </w:rPr>
      </w:pPr>
      <w:r>
        <w:rPr>
          <w:rFonts w:hint="eastAsia" w:ascii="宋体" w:hAnsi="宋体"/>
          <w:b/>
          <w:bCs/>
          <w:sz w:val="28"/>
          <w:szCs w:val="28"/>
        </w:rPr>
        <w:t>技术要求：</w:t>
      </w:r>
    </w:p>
    <w:p>
      <w:pPr>
        <w:adjustRightInd w:val="0"/>
        <w:snapToGrid w:val="0"/>
        <w:spacing w:line="360" w:lineRule="auto"/>
        <w:ind w:left="480" w:hanging="480" w:hangingChars="200"/>
        <w:rPr>
          <w:sz w:val="24"/>
        </w:rPr>
      </w:pPr>
      <w:r>
        <w:rPr>
          <w:rFonts w:hint="eastAsia"/>
          <w:sz w:val="24"/>
          <w:lang w:val="en-US" w:eastAsia="zh-CN"/>
        </w:rPr>
        <w:t>3.1</w:t>
      </w:r>
      <w:r>
        <w:rPr>
          <w:sz w:val="24"/>
        </w:rPr>
        <w:t xml:space="preserve"> </w:t>
      </w:r>
      <w:r>
        <w:rPr>
          <w:rFonts w:hint="eastAsia" w:hAnsi="宋体"/>
          <w:sz w:val="24"/>
        </w:rPr>
        <w:t>叶轮单独做静平衡试验G6.3级，泵转子整体做动平衡试验G2.5级</w:t>
      </w:r>
      <w:r>
        <w:rPr>
          <w:rFonts w:hAnsi="宋体"/>
          <w:sz w:val="24"/>
        </w:rPr>
        <w:t>。</w:t>
      </w:r>
    </w:p>
    <w:p>
      <w:pPr>
        <w:adjustRightInd w:val="0"/>
        <w:snapToGrid w:val="0"/>
        <w:spacing w:line="360" w:lineRule="auto"/>
        <w:rPr>
          <w:sz w:val="24"/>
        </w:rPr>
      </w:pPr>
      <w:r>
        <w:rPr>
          <w:rFonts w:hint="eastAsia"/>
          <w:sz w:val="24"/>
          <w:lang w:val="en-US" w:eastAsia="zh-CN"/>
        </w:rPr>
        <w:t>3.2</w:t>
      </w:r>
      <w:r>
        <w:rPr>
          <w:sz w:val="24"/>
        </w:rPr>
        <w:t xml:space="preserve"> </w:t>
      </w:r>
      <w:r>
        <w:rPr>
          <w:rFonts w:hAnsi="宋体"/>
          <w:sz w:val="24"/>
        </w:rPr>
        <w:t>额定点的流量、扬程</w:t>
      </w:r>
      <w:r>
        <w:rPr>
          <w:rFonts w:hint="eastAsia" w:hAnsi="宋体"/>
          <w:sz w:val="24"/>
        </w:rPr>
        <w:t>无负偏差，汽蚀无正偏差</w:t>
      </w:r>
      <w:r>
        <w:rPr>
          <w:rFonts w:hAnsi="宋体"/>
          <w:sz w:val="24"/>
        </w:rPr>
        <w:t>。</w:t>
      </w:r>
    </w:p>
    <w:p>
      <w:pPr>
        <w:adjustRightInd w:val="0"/>
        <w:snapToGrid w:val="0"/>
        <w:spacing w:line="360" w:lineRule="auto"/>
        <w:rPr>
          <w:sz w:val="24"/>
        </w:rPr>
      </w:pPr>
      <w:r>
        <w:rPr>
          <w:rFonts w:hint="eastAsia" w:hAnsi="宋体"/>
          <w:sz w:val="24"/>
          <w:lang w:val="en-US" w:eastAsia="zh-CN"/>
        </w:rPr>
        <w:t>3.3</w:t>
      </w:r>
      <w:r>
        <w:rPr>
          <w:rFonts w:hAnsi="宋体"/>
          <w:sz w:val="24"/>
        </w:rPr>
        <w:t>叶轮作机械性能测试和化学成分分析，并出具报告。</w:t>
      </w:r>
    </w:p>
    <w:p>
      <w:pPr>
        <w:adjustRightInd w:val="0"/>
        <w:snapToGrid w:val="0"/>
        <w:spacing w:line="360" w:lineRule="auto"/>
        <w:rPr>
          <w:rFonts w:hint="eastAsia"/>
          <w:sz w:val="24"/>
        </w:rPr>
      </w:pPr>
      <w:r>
        <w:rPr>
          <w:rFonts w:hint="eastAsia"/>
          <w:sz w:val="24"/>
          <w:lang w:val="en-US" w:eastAsia="zh-CN"/>
        </w:rPr>
        <w:t>3.4</w:t>
      </w:r>
      <w:r>
        <w:rPr>
          <w:rFonts w:hint="eastAsia"/>
          <w:sz w:val="24"/>
        </w:rPr>
        <w:t xml:space="preserve"> 叶轮的外形型尺寸按现场测量值,配合满足原泵配合要求。</w:t>
      </w:r>
    </w:p>
    <w:p>
      <w:pPr>
        <w:adjustRightInd w:val="0"/>
        <w:snapToGrid w:val="0"/>
        <w:spacing w:line="360" w:lineRule="auto"/>
        <w:rPr>
          <w:rFonts w:hint="eastAsia"/>
          <w:sz w:val="24"/>
        </w:rPr>
      </w:pPr>
    </w:p>
    <w:p>
      <w:pPr>
        <w:adjustRightInd w:val="0"/>
        <w:snapToGrid w:val="0"/>
        <w:spacing w:line="360" w:lineRule="auto"/>
        <w:rPr>
          <w:rFonts w:hint="eastAsia"/>
          <w:sz w:val="24"/>
        </w:rPr>
      </w:pPr>
    </w:p>
    <w:p>
      <w:pPr>
        <w:adjustRightInd w:val="0"/>
        <w:snapToGrid w:val="0"/>
        <w:spacing w:line="360" w:lineRule="auto"/>
        <w:rPr>
          <w:rFonts w:hint="eastAsia"/>
          <w:sz w:val="24"/>
        </w:rPr>
      </w:pPr>
    </w:p>
    <w:p>
      <w:pPr>
        <w:adjustRightInd w:val="0"/>
        <w:snapToGrid w:val="0"/>
        <w:spacing w:line="360" w:lineRule="auto"/>
        <w:rPr>
          <w:rFonts w:hint="eastAsia"/>
          <w:sz w:val="24"/>
        </w:rPr>
      </w:pPr>
    </w:p>
    <w:p>
      <w:pPr>
        <w:adjustRightInd w:val="0"/>
        <w:snapToGrid w:val="0"/>
        <w:spacing w:line="360" w:lineRule="auto"/>
        <w:rPr>
          <w:rFonts w:hint="eastAsia" w:hAnsi="宋体"/>
          <w:sz w:val="24"/>
        </w:rPr>
      </w:pPr>
      <w:r>
        <w:rPr>
          <w:rFonts w:hint="eastAsia" w:hAnsi="宋体"/>
          <w:sz w:val="24"/>
          <w:lang w:val="en-US" w:eastAsia="zh-CN"/>
        </w:rPr>
        <w:t>材料</w:t>
      </w:r>
      <w:r>
        <w:rPr>
          <w:rFonts w:hAnsi="宋体"/>
          <w:sz w:val="24"/>
        </w:rPr>
        <w:t>无损检验项目要求如下，检验结果应符合相关国家标准要求并出具报告。</w:t>
      </w:r>
    </w:p>
    <w:tbl>
      <w:tblPr>
        <w:tblStyle w:val="8"/>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1895"/>
        <w:gridCol w:w="189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29" w:type="dxa"/>
            <w:vMerge w:val="restart"/>
            <w:noWrap w:val="0"/>
            <w:vAlign w:val="center"/>
          </w:tcPr>
          <w:p>
            <w:pPr>
              <w:adjustRightInd w:val="0"/>
              <w:snapToGrid w:val="0"/>
              <w:spacing w:before="80" w:after="60"/>
              <w:jc w:val="center"/>
              <w:rPr>
                <w:sz w:val="24"/>
              </w:rPr>
            </w:pPr>
            <w:r>
              <w:rPr>
                <w:rFonts w:hAnsi="宋体"/>
                <w:sz w:val="24"/>
              </w:rPr>
              <w:t>零件名称</w:t>
            </w:r>
          </w:p>
        </w:tc>
        <w:tc>
          <w:tcPr>
            <w:tcW w:w="5686" w:type="dxa"/>
            <w:gridSpan w:val="3"/>
            <w:noWrap w:val="0"/>
            <w:vAlign w:val="center"/>
          </w:tcPr>
          <w:p>
            <w:pPr>
              <w:adjustRightInd w:val="0"/>
              <w:snapToGrid w:val="0"/>
              <w:spacing w:before="80" w:after="60"/>
              <w:jc w:val="center"/>
              <w:rPr>
                <w:sz w:val="24"/>
              </w:rPr>
            </w:pPr>
            <w:r>
              <w:rPr>
                <w:rFonts w:hAnsi="宋体"/>
                <w:sz w:val="24"/>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29" w:type="dxa"/>
            <w:vMerge w:val="continue"/>
            <w:noWrap w:val="0"/>
            <w:vAlign w:val="center"/>
          </w:tcPr>
          <w:p>
            <w:pPr>
              <w:adjustRightInd w:val="0"/>
              <w:snapToGrid w:val="0"/>
              <w:spacing w:before="80" w:after="60"/>
              <w:jc w:val="center"/>
              <w:rPr>
                <w:sz w:val="24"/>
              </w:rPr>
            </w:pPr>
          </w:p>
        </w:tc>
        <w:tc>
          <w:tcPr>
            <w:tcW w:w="1895" w:type="dxa"/>
            <w:noWrap w:val="0"/>
            <w:vAlign w:val="center"/>
          </w:tcPr>
          <w:p>
            <w:pPr>
              <w:adjustRightInd w:val="0"/>
              <w:snapToGrid w:val="0"/>
              <w:spacing w:before="80" w:after="60"/>
              <w:jc w:val="center"/>
              <w:rPr>
                <w:sz w:val="24"/>
              </w:rPr>
            </w:pPr>
            <w:r>
              <w:rPr>
                <w:rFonts w:hAnsi="宋体"/>
                <w:sz w:val="24"/>
              </w:rPr>
              <w:t>磁粉</w:t>
            </w:r>
          </w:p>
        </w:tc>
        <w:tc>
          <w:tcPr>
            <w:tcW w:w="1895" w:type="dxa"/>
            <w:noWrap w:val="0"/>
            <w:vAlign w:val="center"/>
          </w:tcPr>
          <w:p>
            <w:pPr>
              <w:adjustRightInd w:val="0"/>
              <w:snapToGrid w:val="0"/>
              <w:spacing w:before="80" w:after="60"/>
              <w:jc w:val="center"/>
              <w:rPr>
                <w:sz w:val="24"/>
              </w:rPr>
            </w:pPr>
            <w:r>
              <w:rPr>
                <w:rFonts w:hAnsi="宋体"/>
                <w:sz w:val="24"/>
              </w:rPr>
              <w:t>着色</w:t>
            </w:r>
          </w:p>
        </w:tc>
        <w:tc>
          <w:tcPr>
            <w:tcW w:w="1896" w:type="dxa"/>
            <w:noWrap w:val="0"/>
            <w:vAlign w:val="center"/>
          </w:tcPr>
          <w:p>
            <w:pPr>
              <w:adjustRightInd w:val="0"/>
              <w:snapToGrid w:val="0"/>
              <w:spacing w:before="80" w:after="60"/>
              <w:jc w:val="center"/>
              <w:rPr>
                <w:color w:val="000000"/>
                <w:sz w:val="24"/>
              </w:rPr>
            </w:pPr>
            <w:r>
              <w:rPr>
                <w:rFonts w:hAnsi="宋体"/>
                <w:color w:val="000000"/>
                <w:sz w:val="24"/>
              </w:rPr>
              <w:t>超声波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29" w:type="dxa"/>
            <w:noWrap w:val="0"/>
            <w:vAlign w:val="center"/>
          </w:tcPr>
          <w:p>
            <w:pPr>
              <w:adjustRightInd w:val="0"/>
              <w:snapToGrid w:val="0"/>
              <w:spacing w:before="80" w:after="60"/>
              <w:jc w:val="center"/>
              <w:rPr>
                <w:rFonts w:hint="eastAsia" w:eastAsia="宋体"/>
                <w:sz w:val="24"/>
                <w:lang w:eastAsia="zh-CN"/>
              </w:rPr>
            </w:pPr>
            <w:r>
              <w:rPr>
                <w:rFonts w:hAnsi="宋体"/>
                <w:sz w:val="24"/>
              </w:rPr>
              <w:t>叶轮</w:t>
            </w:r>
          </w:p>
        </w:tc>
        <w:tc>
          <w:tcPr>
            <w:tcW w:w="1895" w:type="dxa"/>
            <w:noWrap w:val="0"/>
            <w:vAlign w:val="center"/>
          </w:tcPr>
          <w:p>
            <w:pPr>
              <w:adjustRightInd w:val="0"/>
              <w:snapToGrid w:val="0"/>
              <w:spacing w:before="80" w:after="60"/>
              <w:jc w:val="center"/>
              <w:rPr>
                <w:sz w:val="24"/>
              </w:rPr>
            </w:pPr>
            <w:r>
              <w:rPr>
                <w:sz w:val="24"/>
              </w:rPr>
              <w:t>√</w:t>
            </w:r>
          </w:p>
        </w:tc>
        <w:tc>
          <w:tcPr>
            <w:tcW w:w="1895" w:type="dxa"/>
            <w:noWrap w:val="0"/>
            <w:vAlign w:val="center"/>
          </w:tcPr>
          <w:p>
            <w:pPr>
              <w:adjustRightInd w:val="0"/>
              <w:snapToGrid w:val="0"/>
              <w:spacing w:before="80" w:after="60"/>
              <w:jc w:val="center"/>
              <w:rPr>
                <w:sz w:val="24"/>
              </w:rPr>
            </w:pPr>
            <w:r>
              <w:rPr>
                <w:sz w:val="24"/>
              </w:rPr>
              <w:t>√</w:t>
            </w:r>
          </w:p>
        </w:tc>
        <w:tc>
          <w:tcPr>
            <w:tcW w:w="1896" w:type="dxa"/>
            <w:noWrap w:val="0"/>
            <w:vAlign w:val="center"/>
          </w:tcPr>
          <w:p>
            <w:pPr>
              <w:adjustRightInd w:val="0"/>
              <w:snapToGrid w:val="0"/>
              <w:spacing w:before="80" w:after="6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29" w:type="dxa"/>
            <w:noWrap w:val="0"/>
            <w:vAlign w:val="center"/>
          </w:tcPr>
          <w:p>
            <w:pPr>
              <w:adjustRightInd w:val="0"/>
              <w:snapToGrid w:val="0"/>
              <w:spacing w:before="80" w:after="60"/>
              <w:jc w:val="center"/>
              <w:rPr>
                <w:rFonts w:hint="default" w:hAnsi="宋体" w:eastAsia="宋体"/>
                <w:sz w:val="24"/>
                <w:lang w:val="en-US" w:eastAsia="zh-CN"/>
              </w:rPr>
            </w:pPr>
            <w:r>
              <w:rPr>
                <w:rFonts w:hint="eastAsia" w:hAnsi="宋体"/>
                <w:sz w:val="24"/>
                <w:lang w:val="en-US" w:eastAsia="zh-CN"/>
              </w:rPr>
              <w:t>泵轴</w:t>
            </w:r>
          </w:p>
        </w:tc>
        <w:tc>
          <w:tcPr>
            <w:tcW w:w="1895" w:type="dxa"/>
            <w:noWrap w:val="0"/>
            <w:vAlign w:val="center"/>
          </w:tcPr>
          <w:p>
            <w:pPr>
              <w:adjustRightInd w:val="0"/>
              <w:snapToGrid w:val="0"/>
              <w:spacing w:before="80" w:after="60"/>
              <w:jc w:val="center"/>
              <w:rPr>
                <w:sz w:val="24"/>
              </w:rPr>
            </w:pPr>
            <w:r>
              <w:rPr>
                <w:sz w:val="24"/>
              </w:rPr>
              <w:t>√</w:t>
            </w:r>
          </w:p>
        </w:tc>
        <w:tc>
          <w:tcPr>
            <w:tcW w:w="1895" w:type="dxa"/>
            <w:noWrap w:val="0"/>
            <w:vAlign w:val="center"/>
          </w:tcPr>
          <w:p>
            <w:pPr>
              <w:adjustRightInd w:val="0"/>
              <w:snapToGrid w:val="0"/>
              <w:spacing w:before="80" w:after="60"/>
              <w:jc w:val="center"/>
              <w:rPr>
                <w:sz w:val="24"/>
              </w:rPr>
            </w:pPr>
            <w:r>
              <w:rPr>
                <w:sz w:val="24"/>
              </w:rPr>
              <w:t>√</w:t>
            </w:r>
          </w:p>
        </w:tc>
        <w:tc>
          <w:tcPr>
            <w:tcW w:w="1896" w:type="dxa"/>
            <w:noWrap w:val="0"/>
            <w:vAlign w:val="center"/>
          </w:tcPr>
          <w:p>
            <w:pPr>
              <w:adjustRightInd w:val="0"/>
              <w:snapToGrid w:val="0"/>
              <w:spacing w:before="80" w:after="60"/>
              <w:jc w:val="center"/>
              <w:rPr>
                <w:sz w:val="24"/>
              </w:rPr>
            </w:pPr>
            <w:r>
              <w:rPr>
                <w:sz w:val="24"/>
              </w:rPr>
              <w:t>√</w:t>
            </w:r>
          </w:p>
        </w:tc>
      </w:tr>
    </w:tbl>
    <w:p>
      <w:pPr>
        <w:pStyle w:val="11"/>
        <w:spacing w:line="120" w:lineRule="auto"/>
        <w:ind w:firstLine="0" w:firstLineChars="0"/>
        <w:jc w:val="left"/>
        <w:rPr>
          <w:b/>
          <w:sz w:val="28"/>
          <w:szCs w:val="28"/>
        </w:rPr>
      </w:pPr>
    </w:p>
    <w:p>
      <w:pPr>
        <w:pStyle w:val="11"/>
        <w:spacing w:line="120" w:lineRule="auto"/>
        <w:ind w:firstLine="0" w:firstLineChars="0"/>
        <w:jc w:val="left"/>
        <w:rPr>
          <w:b/>
          <w:sz w:val="28"/>
          <w:szCs w:val="28"/>
        </w:rPr>
      </w:pPr>
    </w:p>
    <w:p>
      <w:pPr>
        <w:pStyle w:val="11"/>
        <w:spacing w:line="120" w:lineRule="auto"/>
        <w:ind w:firstLine="0" w:firstLineChars="0"/>
        <w:jc w:val="left"/>
        <w:rPr>
          <w:rFonts w:hint="eastAsia"/>
          <w:b/>
          <w:sz w:val="28"/>
          <w:szCs w:val="28"/>
        </w:rPr>
      </w:pPr>
    </w:p>
    <w:p>
      <w:pPr>
        <w:spacing w:line="120" w:lineRule="auto"/>
        <w:jc w:val="left"/>
        <w:rPr>
          <w:b/>
          <w:sz w:val="28"/>
          <w:szCs w:val="28"/>
        </w:rPr>
      </w:pPr>
      <w:r>
        <w:rPr>
          <w:rFonts w:hint="eastAsia"/>
          <w:b/>
          <w:sz w:val="28"/>
          <w:szCs w:val="28"/>
          <w:highlight w:val="lightGray"/>
        </w:rPr>
        <w:t>四、</w:t>
      </w:r>
      <w:r>
        <w:rPr>
          <w:rFonts w:hint="eastAsia"/>
          <w:b/>
          <w:sz w:val="28"/>
          <w:szCs w:val="28"/>
        </w:rPr>
        <w:t>供货范围：</w:t>
      </w:r>
    </w:p>
    <w:tbl>
      <w:tblPr>
        <w:tblStyle w:val="8"/>
        <w:tblW w:w="9405" w:type="dxa"/>
        <w:jc w:val="center"/>
        <w:tblLayout w:type="fixed"/>
        <w:tblCellMar>
          <w:top w:w="0" w:type="dxa"/>
          <w:left w:w="0" w:type="dxa"/>
          <w:bottom w:w="0" w:type="dxa"/>
          <w:right w:w="0" w:type="dxa"/>
        </w:tblCellMar>
      </w:tblPr>
      <w:tblGrid>
        <w:gridCol w:w="353"/>
        <w:gridCol w:w="1079"/>
        <w:gridCol w:w="5954"/>
        <w:gridCol w:w="2019"/>
      </w:tblGrid>
      <w:tr>
        <w:tblPrEx>
          <w:tblCellMar>
            <w:top w:w="0" w:type="dxa"/>
            <w:left w:w="0" w:type="dxa"/>
            <w:bottom w:w="0" w:type="dxa"/>
            <w:right w:w="0" w:type="dxa"/>
          </w:tblCellMar>
        </w:tblPrEx>
        <w:trPr>
          <w:trHeight w:val="357" w:hRule="exact"/>
          <w:jc w:val="center"/>
        </w:trPr>
        <w:tc>
          <w:tcPr>
            <w:tcW w:w="353"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jc w:val="center"/>
              <w:rPr>
                <w:color w:val="000000"/>
                <w:sz w:val="24"/>
              </w:rPr>
            </w:pPr>
            <w:r>
              <w:rPr>
                <w:rFonts w:hint="eastAsia"/>
                <w:color w:val="000000"/>
                <w:sz w:val="24"/>
              </w:rPr>
              <w:t>序号</w:t>
            </w:r>
          </w:p>
        </w:tc>
        <w:tc>
          <w:tcPr>
            <w:tcW w:w="107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jc w:val="center"/>
              <w:rPr>
                <w:color w:val="000000"/>
                <w:sz w:val="24"/>
              </w:rPr>
            </w:pPr>
            <w:r>
              <w:rPr>
                <w:rFonts w:hint="eastAsia"/>
                <w:color w:val="000000"/>
                <w:sz w:val="24"/>
              </w:rPr>
              <w:t>备件名称</w:t>
            </w:r>
          </w:p>
        </w:tc>
        <w:tc>
          <w:tcPr>
            <w:tcW w:w="595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jc w:val="center"/>
              <w:rPr>
                <w:color w:val="000000"/>
                <w:sz w:val="24"/>
              </w:rPr>
            </w:pPr>
            <w:r>
              <w:rPr>
                <w:rFonts w:hint="eastAsia"/>
                <w:color w:val="000000"/>
                <w:sz w:val="24"/>
              </w:rPr>
              <w:t>规格型号</w:t>
            </w:r>
          </w:p>
        </w:tc>
        <w:tc>
          <w:tcPr>
            <w:tcW w:w="201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color w:val="000000"/>
              </w:rPr>
            </w:pPr>
            <w:r>
              <w:rPr>
                <w:rFonts w:hint="eastAsia"/>
                <w:color w:val="000000"/>
              </w:rPr>
              <w:t>数量</w:t>
            </w:r>
          </w:p>
        </w:tc>
      </w:tr>
      <w:tr>
        <w:tblPrEx>
          <w:tblCellMar>
            <w:top w:w="0" w:type="dxa"/>
            <w:left w:w="0" w:type="dxa"/>
            <w:bottom w:w="0" w:type="dxa"/>
            <w:right w:w="0" w:type="dxa"/>
          </w:tblCellMar>
        </w:tblPrEx>
        <w:trPr>
          <w:trHeight w:val="646" w:hRule="atLeast"/>
          <w:jc w:val="center"/>
        </w:trPr>
        <w:tc>
          <w:tcPr>
            <w:tcW w:w="353"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color w:val="000000"/>
                <w:sz w:val="24"/>
              </w:rPr>
            </w:pPr>
            <w:r>
              <w:rPr>
                <w:rFonts w:hint="eastAsia"/>
                <w:color w:val="000000"/>
                <w:sz w:val="24"/>
              </w:rPr>
              <w:t>1</w:t>
            </w:r>
          </w:p>
        </w:tc>
        <w:tc>
          <w:tcPr>
            <w:tcW w:w="107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hint="eastAsia" w:eastAsia="宋体"/>
                <w:color w:val="111111"/>
                <w:sz w:val="24"/>
                <w:lang w:eastAsia="zh-CN"/>
              </w:rPr>
            </w:pPr>
            <w:r>
              <w:rPr>
                <w:rFonts w:hint="eastAsia" w:ascii="宋体" w:hAnsi="宋体" w:cs="宋体"/>
                <w:kern w:val="0"/>
                <w:sz w:val="22"/>
                <w:szCs w:val="22"/>
                <w:lang w:val="en-US" w:eastAsia="zh-CN"/>
              </w:rPr>
              <w:t>叶轮</w:t>
            </w:r>
          </w:p>
        </w:tc>
        <w:tc>
          <w:tcPr>
            <w:tcW w:w="595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textAlignment w:val="center"/>
              <w:rPr>
                <w:rFonts w:hint="eastAsia" w:eastAsia="宋体"/>
                <w:color w:val="000000"/>
                <w:sz w:val="24"/>
                <w:lang w:eastAsia="zh-CN"/>
              </w:rPr>
            </w:pPr>
            <w:r>
              <w:rPr>
                <w:rFonts w:hint="eastAsia" w:ascii="宋体" w:hAnsi="宋体" w:cs="宋体"/>
                <w:kern w:val="0"/>
                <w:szCs w:val="21"/>
              </w:rPr>
              <w:t>物料介质:</w:t>
            </w:r>
            <w:r>
              <w:rPr>
                <w:rFonts w:hint="eastAsia" w:ascii="宋体" w:hAnsi="宋体" w:cs="宋体"/>
                <w:kern w:val="0"/>
                <w:szCs w:val="21"/>
                <w:lang w:val="en-US" w:eastAsia="zh-CN"/>
              </w:rPr>
              <w:t>常渣油，</w:t>
            </w:r>
            <w:r>
              <w:rPr>
                <w:rFonts w:hint="eastAsia" w:ascii="宋体" w:hAnsi="宋体" w:cs="宋体"/>
                <w:kern w:val="0"/>
                <w:szCs w:val="21"/>
              </w:rPr>
              <w:t xml:space="preserve"> 流量：</w:t>
            </w:r>
            <w:r>
              <w:rPr>
                <w:rFonts w:hint="eastAsia" w:ascii="宋体" w:hAnsi="宋体" w:cs="宋体"/>
                <w:kern w:val="0"/>
                <w:szCs w:val="21"/>
                <w:lang w:val="en-US" w:eastAsia="zh-CN"/>
              </w:rPr>
              <w:t>398</w:t>
            </w:r>
            <w:r>
              <w:rPr>
                <w:rFonts w:hint="eastAsia" w:ascii="宋体" w:hAnsi="宋体" w:cs="宋体"/>
                <w:kern w:val="0"/>
                <w:szCs w:val="21"/>
              </w:rPr>
              <w:t>m3/h</w:t>
            </w:r>
            <w:r>
              <w:rPr>
                <w:rFonts w:hint="eastAsia" w:ascii="宋体" w:hAnsi="宋体" w:cs="宋体"/>
                <w:kern w:val="0"/>
                <w:szCs w:val="21"/>
                <w:lang w:eastAsia="zh-CN"/>
              </w:rPr>
              <w:t>，</w:t>
            </w:r>
            <w:r>
              <w:rPr>
                <w:rFonts w:hint="eastAsia" w:ascii="宋体" w:hAnsi="宋体" w:cs="宋体"/>
                <w:kern w:val="0"/>
                <w:szCs w:val="21"/>
              </w:rPr>
              <w:t>扬程：</w:t>
            </w:r>
            <w:r>
              <w:rPr>
                <w:rFonts w:hint="eastAsia" w:ascii="宋体" w:hAnsi="宋体" w:cs="宋体"/>
                <w:kern w:val="0"/>
                <w:szCs w:val="21"/>
                <w:lang w:val="en-US" w:eastAsia="zh-CN"/>
              </w:rPr>
              <w:t>279</w:t>
            </w:r>
            <w:r>
              <w:rPr>
                <w:rFonts w:hint="eastAsia" w:ascii="宋体" w:hAnsi="宋体" w:cs="宋体"/>
                <w:kern w:val="0"/>
                <w:szCs w:val="21"/>
              </w:rPr>
              <w:t xml:space="preserve">m </w:t>
            </w:r>
            <w:r>
              <w:rPr>
                <w:rFonts w:hint="eastAsia" w:ascii="宋体" w:hAnsi="宋体" w:cs="宋体"/>
                <w:kern w:val="0"/>
                <w:szCs w:val="21"/>
                <w:lang w:eastAsia="zh-CN"/>
              </w:rPr>
              <w:t>，</w:t>
            </w:r>
            <w:r>
              <w:rPr>
                <w:rFonts w:hint="eastAsia" w:ascii="宋体" w:hAnsi="宋体" w:cs="宋体"/>
                <w:kern w:val="0"/>
                <w:szCs w:val="21"/>
                <w:lang w:val="en-US" w:eastAsia="zh-CN"/>
              </w:rPr>
              <w:t>转速2950，材质ZG1Cr1</w:t>
            </w:r>
            <w:bookmarkStart w:id="0" w:name="_GoBack"/>
            <w:bookmarkEnd w:id="0"/>
            <w:r>
              <w:rPr>
                <w:rFonts w:hint="eastAsia" w:ascii="宋体" w:hAnsi="宋体" w:cs="宋体"/>
                <w:kern w:val="0"/>
                <w:szCs w:val="21"/>
                <w:lang w:val="en-US" w:eastAsia="zh-CN"/>
              </w:rPr>
              <w:t>3，</w:t>
            </w:r>
            <w:r>
              <w:rPr>
                <w:rFonts w:hint="eastAsia" w:ascii="宋体" w:hAnsi="宋体" w:cs="宋体"/>
                <w:kern w:val="0"/>
                <w:szCs w:val="21"/>
              </w:rPr>
              <w:t xml:space="preserve"> 泵</w:t>
            </w:r>
            <w:r>
              <w:rPr>
                <w:rFonts w:hint="eastAsia" w:ascii="宋体" w:hAnsi="宋体" w:cs="宋体"/>
                <w:kern w:val="0"/>
                <w:szCs w:val="21"/>
                <w:lang w:val="en-US" w:eastAsia="zh-CN"/>
              </w:rPr>
              <w:t>型</w:t>
            </w:r>
            <w:r>
              <w:rPr>
                <w:rFonts w:hint="eastAsia" w:ascii="宋体" w:hAnsi="宋体" w:cs="宋体"/>
                <w:kern w:val="0"/>
                <w:szCs w:val="21"/>
              </w:rPr>
              <w:t>号：HYS300-180*2  61-P-</w:t>
            </w:r>
            <w:r>
              <w:rPr>
                <w:rFonts w:hint="eastAsia" w:ascii="宋体" w:hAnsi="宋体" w:cs="宋体"/>
                <w:kern w:val="0"/>
                <w:szCs w:val="21"/>
                <w:lang w:val="en-US" w:eastAsia="zh-CN"/>
              </w:rPr>
              <w:t>101</w:t>
            </w:r>
            <w:r>
              <w:rPr>
                <w:rFonts w:hint="eastAsia" w:ascii="宋体" w:hAnsi="宋体" w:cs="宋体"/>
                <w:kern w:val="0"/>
                <w:szCs w:val="21"/>
              </w:rPr>
              <w:t xml:space="preserve"> </w:t>
            </w:r>
            <w:r>
              <w:rPr>
                <w:rFonts w:hint="eastAsia" w:ascii="宋体" w:hAnsi="宋体" w:cs="宋体"/>
                <w:kern w:val="0"/>
                <w:szCs w:val="21"/>
                <w:lang w:val="en-US" w:eastAsia="zh-CN"/>
              </w:rPr>
              <w:t>叶轮</w:t>
            </w:r>
          </w:p>
        </w:tc>
        <w:tc>
          <w:tcPr>
            <w:tcW w:w="201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hint="eastAsia" w:eastAsia="宋体"/>
                <w:color w:val="111111"/>
                <w:lang w:eastAsia="zh-CN"/>
              </w:rPr>
            </w:pPr>
            <w:r>
              <w:rPr>
                <w:rFonts w:hint="eastAsia"/>
                <w:color w:val="111111"/>
                <w:lang w:val="en-US" w:eastAsia="zh-CN"/>
              </w:rPr>
              <w:t>2</w:t>
            </w:r>
          </w:p>
        </w:tc>
      </w:tr>
      <w:tr>
        <w:tblPrEx>
          <w:tblCellMar>
            <w:top w:w="0" w:type="dxa"/>
            <w:left w:w="0" w:type="dxa"/>
            <w:bottom w:w="0" w:type="dxa"/>
            <w:right w:w="0" w:type="dxa"/>
          </w:tblCellMar>
        </w:tblPrEx>
        <w:trPr>
          <w:trHeight w:val="646" w:hRule="atLeast"/>
          <w:jc w:val="center"/>
        </w:trPr>
        <w:tc>
          <w:tcPr>
            <w:tcW w:w="353"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jc w:val="center"/>
              <w:rPr>
                <w:color w:val="000000"/>
                <w:sz w:val="24"/>
              </w:rPr>
            </w:pPr>
            <w:r>
              <w:rPr>
                <w:rFonts w:hint="eastAsia"/>
                <w:color w:val="000000"/>
                <w:sz w:val="24"/>
              </w:rPr>
              <w:t>2</w:t>
            </w:r>
          </w:p>
        </w:tc>
        <w:tc>
          <w:tcPr>
            <w:tcW w:w="107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hint="eastAsia" w:eastAsia="宋体"/>
                <w:color w:val="111111"/>
                <w:sz w:val="24"/>
                <w:lang w:val="en-US" w:eastAsia="zh-CN"/>
              </w:rPr>
            </w:pPr>
            <w:r>
              <w:rPr>
                <w:rFonts w:hint="eastAsia"/>
                <w:color w:val="111111"/>
                <w:sz w:val="24"/>
                <w:lang w:val="en-US" w:eastAsia="zh-CN"/>
              </w:rPr>
              <w:t>泵轴</w:t>
            </w:r>
          </w:p>
        </w:tc>
        <w:tc>
          <w:tcPr>
            <w:tcW w:w="595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textAlignment w:val="center"/>
              <w:rPr>
                <w:rFonts w:hint="eastAsia" w:eastAsia="宋体"/>
                <w:color w:val="000000"/>
                <w:sz w:val="24"/>
                <w:lang w:eastAsia="zh-CN"/>
              </w:rPr>
            </w:pPr>
            <w:r>
              <w:rPr>
                <w:rFonts w:hint="eastAsia" w:ascii="宋体" w:hAnsi="宋体" w:cs="宋体"/>
                <w:kern w:val="0"/>
                <w:szCs w:val="21"/>
              </w:rPr>
              <w:t>物料介质:</w:t>
            </w:r>
            <w:r>
              <w:rPr>
                <w:rFonts w:hint="eastAsia" w:ascii="宋体" w:hAnsi="宋体" w:cs="宋体"/>
                <w:kern w:val="0"/>
                <w:szCs w:val="21"/>
                <w:lang w:val="en-US" w:eastAsia="zh-CN"/>
              </w:rPr>
              <w:t>常渣油，</w:t>
            </w:r>
            <w:r>
              <w:rPr>
                <w:rFonts w:hint="eastAsia" w:ascii="宋体" w:hAnsi="宋体" w:cs="宋体"/>
                <w:kern w:val="0"/>
                <w:szCs w:val="21"/>
              </w:rPr>
              <w:t xml:space="preserve"> 流量：</w:t>
            </w:r>
            <w:r>
              <w:rPr>
                <w:rFonts w:hint="eastAsia" w:ascii="宋体" w:hAnsi="宋体" w:cs="宋体"/>
                <w:kern w:val="0"/>
                <w:szCs w:val="21"/>
                <w:lang w:val="en-US" w:eastAsia="zh-CN"/>
              </w:rPr>
              <w:t>398</w:t>
            </w:r>
            <w:r>
              <w:rPr>
                <w:rFonts w:hint="eastAsia" w:ascii="宋体" w:hAnsi="宋体" w:cs="宋体"/>
                <w:kern w:val="0"/>
                <w:szCs w:val="21"/>
              </w:rPr>
              <w:t>m3/h</w:t>
            </w:r>
            <w:r>
              <w:rPr>
                <w:rFonts w:hint="eastAsia" w:ascii="宋体" w:hAnsi="宋体" w:cs="宋体"/>
                <w:kern w:val="0"/>
                <w:szCs w:val="21"/>
                <w:lang w:eastAsia="zh-CN"/>
              </w:rPr>
              <w:t>，</w:t>
            </w:r>
            <w:r>
              <w:rPr>
                <w:rFonts w:hint="eastAsia" w:ascii="宋体" w:hAnsi="宋体" w:cs="宋体"/>
                <w:kern w:val="0"/>
                <w:szCs w:val="21"/>
              </w:rPr>
              <w:t>扬程：</w:t>
            </w:r>
            <w:r>
              <w:rPr>
                <w:rFonts w:hint="eastAsia" w:ascii="宋体" w:hAnsi="宋体" w:cs="宋体"/>
                <w:kern w:val="0"/>
                <w:szCs w:val="21"/>
                <w:lang w:val="en-US" w:eastAsia="zh-CN"/>
              </w:rPr>
              <w:t>279</w:t>
            </w:r>
            <w:r>
              <w:rPr>
                <w:rFonts w:hint="eastAsia" w:ascii="宋体" w:hAnsi="宋体" w:cs="宋体"/>
                <w:kern w:val="0"/>
                <w:szCs w:val="21"/>
              </w:rPr>
              <w:t xml:space="preserve">m </w:t>
            </w:r>
            <w:r>
              <w:rPr>
                <w:rFonts w:hint="eastAsia" w:ascii="宋体" w:hAnsi="宋体" w:cs="宋体"/>
                <w:kern w:val="0"/>
                <w:szCs w:val="21"/>
                <w:lang w:eastAsia="zh-CN"/>
              </w:rPr>
              <w:t>，</w:t>
            </w:r>
            <w:r>
              <w:rPr>
                <w:rFonts w:hint="eastAsia" w:ascii="宋体" w:hAnsi="宋体" w:cs="宋体"/>
                <w:kern w:val="0"/>
                <w:szCs w:val="21"/>
                <w:lang w:val="en-US" w:eastAsia="zh-CN"/>
              </w:rPr>
              <w:t>转速2950，材质：42CrMO,</w:t>
            </w:r>
            <w:r>
              <w:rPr>
                <w:rFonts w:hint="eastAsia" w:ascii="宋体" w:hAnsi="宋体" w:cs="宋体"/>
                <w:kern w:val="0"/>
                <w:szCs w:val="21"/>
              </w:rPr>
              <w:t xml:space="preserve"> 泵型号：HYS300-180*2  61-P-</w:t>
            </w:r>
            <w:r>
              <w:rPr>
                <w:rFonts w:hint="eastAsia" w:ascii="宋体" w:hAnsi="宋体" w:cs="宋体"/>
                <w:kern w:val="0"/>
                <w:szCs w:val="21"/>
                <w:lang w:val="en-US" w:eastAsia="zh-CN"/>
              </w:rPr>
              <w:t>101</w:t>
            </w:r>
            <w:r>
              <w:rPr>
                <w:rFonts w:hint="eastAsia" w:ascii="宋体" w:hAnsi="宋体" w:cs="宋体"/>
                <w:kern w:val="0"/>
                <w:szCs w:val="21"/>
              </w:rPr>
              <w:t xml:space="preserve"> </w:t>
            </w:r>
            <w:r>
              <w:rPr>
                <w:rFonts w:hint="eastAsia" w:ascii="宋体" w:hAnsi="宋体" w:cs="宋体"/>
                <w:kern w:val="0"/>
                <w:szCs w:val="21"/>
                <w:lang w:val="en-US" w:eastAsia="zh-CN"/>
              </w:rPr>
              <w:t>泵轴</w:t>
            </w:r>
          </w:p>
        </w:tc>
        <w:tc>
          <w:tcPr>
            <w:tcW w:w="201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color w:val="111111"/>
              </w:rPr>
            </w:pPr>
            <w:r>
              <w:rPr>
                <w:rFonts w:hint="eastAsia"/>
                <w:color w:val="111111"/>
              </w:rPr>
              <w:t>1</w:t>
            </w:r>
          </w:p>
        </w:tc>
      </w:tr>
    </w:tbl>
    <w:p>
      <w:pPr>
        <w:pStyle w:val="11"/>
        <w:spacing w:line="120" w:lineRule="auto"/>
        <w:ind w:firstLine="0" w:firstLineChars="0"/>
        <w:jc w:val="left"/>
        <w:rPr>
          <w:b/>
          <w:sz w:val="28"/>
          <w:szCs w:val="28"/>
        </w:rPr>
      </w:pPr>
    </w:p>
    <w:p>
      <w:pPr>
        <w:pStyle w:val="11"/>
        <w:spacing w:line="120" w:lineRule="auto"/>
        <w:ind w:firstLine="0" w:firstLineChars="0"/>
        <w:jc w:val="left"/>
        <w:rPr>
          <w:b/>
          <w:sz w:val="28"/>
          <w:szCs w:val="28"/>
        </w:rPr>
      </w:pPr>
      <w:r>
        <w:rPr>
          <w:rFonts w:hint="eastAsia"/>
          <w:b/>
          <w:sz w:val="28"/>
          <w:szCs w:val="28"/>
        </w:rPr>
        <w:t>五、交货期</w:t>
      </w:r>
    </w:p>
    <w:p>
      <w:pPr>
        <w:spacing w:line="480" w:lineRule="auto"/>
        <w:ind w:firstLine="480" w:firstLineChars="200"/>
        <w:rPr>
          <w:rFonts w:ascii="宋体" w:hAnsi="宋体"/>
          <w:sz w:val="24"/>
        </w:rPr>
      </w:pPr>
      <w:r>
        <w:rPr>
          <w:rFonts w:hint="eastAsia" w:ascii="宋体" w:hAnsi="宋体"/>
          <w:sz w:val="24"/>
        </w:rPr>
        <w:t>交货期：合同签订后</w:t>
      </w:r>
      <w:r>
        <w:rPr>
          <w:rFonts w:hint="eastAsia" w:ascii="宋体" w:hAnsi="宋体"/>
          <w:sz w:val="24"/>
          <w:lang w:val="en-US" w:eastAsia="zh-CN"/>
        </w:rPr>
        <w:t>6</w:t>
      </w:r>
      <w:r>
        <w:rPr>
          <w:rFonts w:hint="eastAsia" w:ascii="宋体" w:hAnsi="宋体"/>
          <w:sz w:val="24"/>
        </w:rPr>
        <w:t>0天内；</w:t>
      </w:r>
    </w:p>
    <w:p>
      <w:pPr>
        <w:spacing w:line="480" w:lineRule="auto"/>
        <w:rPr>
          <w:rFonts w:hint="eastAsia" w:ascii="宋体" w:hAnsi="宋体"/>
          <w:sz w:val="24"/>
        </w:rPr>
      </w:pPr>
    </w:p>
    <w:p>
      <w:pPr>
        <w:rPr>
          <w:rFonts w:hint="eastAsia"/>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840" w:type="dxa"/>
          </w:tcPr>
          <w:p>
            <w:pPr>
              <w:widowControl/>
              <w:jc w:val="left"/>
            </w:pPr>
            <w:r>
              <w:rPr>
                <w:rFonts w:hint="eastAsia"/>
              </w:rPr>
              <w:t xml:space="preserve">储运团队经办：     </w:t>
            </w:r>
          </w:p>
        </w:tc>
        <w:tc>
          <w:tcPr>
            <w:tcW w:w="2841" w:type="dxa"/>
          </w:tcPr>
          <w:p>
            <w:pPr>
              <w:widowControl/>
              <w:jc w:val="left"/>
            </w:pPr>
            <w:r>
              <w:rPr>
                <w:rFonts w:hint="eastAsia"/>
              </w:rPr>
              <w:t>审核：</w:t>
            </w:r>
          </w:p>
        </w:tc>
        <w:tc>
          <w:tcPr>
            <w:tcW w:w="2841" w:type="dxa"/>
          </w:tcPr>
          <w:p>
            <w:pPr>
              <w:widowControl/>
              <w:jc w:val="left"/>
            </w:pPr>
            <w:r>
              <w:rPr>
                <w:rFonts w:hint="eastAsia"/>
              </w:rPr>
              <w:t>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840" w:type="dxa"/>
          </w:tcPr>
          <w:p>
            <w:pPr>
              <w:widowControl/>
              <w:jc w:val="left"/>
            </w:pPr>
            <w:r>
              <w:rPr>
                <w:rFonts w:hint="eastAsia"/>
              </w:rPr>
              <w:t>设备管理部经办：</w:t>
            </w:r>
          </w:p>
        </w:tc>
        <w:tc>
          <w:tcPr>
            <w:tcW w:w="2841" w:type="dxa"/>
          </w:tcPr>
          <w:p>
            <w:pPr>
              <w:widowControl/>
              <w:jc w:val="left"/>
            </w:pPr>
            <w:r>
              <w:rPr>
                <w:rFonts w:hint="eastAsia"/>
              </w:rPr>
              <w:t>审核：</w:t>
            </w:r>
          </w:p>
        </w:tc>
        <w:tc>
          <w:tcPr>
            <w:tcW w:w="2841" w:type="dxa"/>
          </w:tcPr>
          <w:p>
            <w:pPr>
              <w:widowControl/>
              <w:jc w:val="left"/>
            </w:pPr>
            <w:r>
              <w:rPr>
                <w:rFonts w:hint="eastAsia"/>
              </w:rPr>
              <w:t>核准：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81229"/>
    <w:multiLevelType w:val="singleLevel"/>
    <w:tmpl w:val="977812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EzZTcxZjk1MDAxMTAwZjA0NjQ1NWNhMjg1NTQ5OTIifQ=="/>
  </w:docVars>
  <w:rsids>
    <w:rsidRoot w:val="00172A27"/>
    <w:rsid w:val="0002103F"/>
    <w:rsid w:val="000D210E"/>
    <w:rsid w:val="00172A27"/>
    <w:rsid w:val="0027354B"/>
    <w:rsid w:val="0032153C"/>
    <w:rsid w:val="00452D49"/>
    <w:rsid w:val="005B5812"/>
    <w:rsid w:val="00701CEA"/>
    <w:rsid w:val="007D4CA2"/>
    <w:rsid w:val="00873269"/>
    <w:rsid w:val="008D5F40"/>
    <w:rsid w:val="009001FF"/>
    <w:rsid w:val="00A026F0"/>
    <w:rsid w:val="00A21DD8"/>
    <w:rsid w:val="00CE41B1"/>
    <w:rsid w:val="00D1783F"/>
    <w:rsid w:val="00F94167"/>
    <w:rsid w:val="05964CD1"/>
    <w:rsid w:val="0E5E319D"/>
    <w:rsid w:val="11707C46"/>
    <w:rsid w:val="11AA3420"/>
    <w:rsid w:val="11CE072B"/>
    <w:rsid w:val="14401878"/>
    <w:rsid w:val="1DED4F9A"/>
    <w:rsid w:val="202E5085"/>
    <w:rsid w:val="283006CB"/>
    <w:rsid w:val="2B8862E1"/>
    <w:rsid w:val="2C573520"/>
    <w:rsid w:val="2D9C0BD5"/>
    <w:rsid w:val="2EF7784D"/>
    <w:rsid w:val="3756404C"/>
    <w:rsid w:val="3B077FD6"/>
    <w:rsid w:val="3B48555A"/>
    <w:rsid w:val="450F7CCC"/>
    <w:rsid w:val="46C618AF"/>
    <w:rsid w:val="48EB07B8"/>
    <w:rsid w:val="4D936D87"/>
    <w:rsid w:val="4F015CE8"/>
    <w:rsid w:val="508922C5"/>
    <w:rsid w:val="50AE3097"/>
    <w:rsid w:val="516E08B3"/>
    <w:rsid w:val="5D703AA3"/>
    <w:rsid w:val="5E837E67"/>
    <w:rsid w:val="5F795A7D"/>
    <w:rsid w:val="60AF4518"/>
    <w:rsid w:val="63F85AB2"/>
    <w:rsid w:val="6D6C7D17"/>
    <w:rsid w:val="6EDD2D07"/>
    <w:rsid w:val="6F211CA4"/>
    <w:rsid w:val="70663794"/>
    <w:rsid w:val="724B3288"/>
    <w:rsid w:val="735D2FC3"/>
    <w:rsid w:val="742A6B92"/>
    <w:rsid w:val="75D40CC4"/>
    <w:rsid w:val="75F767DF"/>
    <w:rsid w:val="78F77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1"/>
    <w:pPr>
      <w:autoSpaceDE w:val="0"/>
      <w:autoSpaceDN w:val="0"/>
      <w:jc w:val="left"/>
    </w:pPr>
    <w:rPr>
      <w:rFonts w:ascii="宋体" w:hAnsi="宋体" w:cs="宋体"/>
      <w:kern w:val="0"/>
      <w:sz w:val="24"/>
      <w:lang w:eastAsia="en-US"/>
    </w:rPr>
  </w:style>
  <w:style w:type="paragraph" w:styleId="4">
    <w:name w:val="Balloon Text"/>
    <w:basedOn w:val="1"/>
    <w:link w:val="18"/>
    <w:semiHidden/>
    <w:unhideWhenUsed/>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0"/>
    <w:pPr>
      <w:spacing w:line="360" w:lineRule="auto"/>
      <w:jc w:val="center"/>
    </w:pPr>
    <w:rPr>
      <w:rFonts w:eastAsia="黑体"/>
      <w:b/>
      <w:bCs/>
      <w:color w:val="000000"/>
      <w:sz w:val="36"/>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paragraph" w:customStyle="1" w:styleId="12">
    <w:name w:val="_Style 20"/>
    <w:basedOn w:val="1"/>
    <w:next w:val="11"/>
    <w:qFormat/>
    <w:uiPriority w:val="34"/>
    <w:pPr>
      <w:ind w:firstLine="420" w:firstLineChars="200"/>
    </w:p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heme="minorBidi"/>
      <w:color w:val="000000"/>
      <w:sz w:val="24"/>
      <w:szCs w:val="24"/>
      <w:lang w:val="en-US" w:eastAsia="zh-CN"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 w:type="character" w:customStyle="1" w:styleId="15">
    <w:name w:val="页脚 Char"/>
    <w:basedOn w:val="10"/>
    <w:link w:val="5"/>
    <w:qFormat/>
    <w:uiPriority w:val="0"/>
    <w:rPr>
      <w:rFonts w:ascii="Times New Roman" w:hAnsi="Times New Roman" w:eastAsia="宋体" w:cs="Times New Roman"/>
      <w:kern w:val="2"/>
      <w:sz w:val="18"/>
      <w:szCs w:val="18"/>
    </w:rPr>
  </w:style>
  <w:style w:type="character" w:customStyle="1" w:styleId="16">
    <w:name w:val="正文文本 Char"/>
    <w:basedOn w:val="10"/>
    <w:qFormat/>
    <w:uiPriority w:val="0"/>
    <w:rPr>
      <w:rFonts w:ascii="Times New Roman" w:hAnsi="Times New Roman" w:eastAsia="宋体" w:cs="Times New Roman"/>
      <w:kern w:val="2"/>
      <w:sz w:val="21"/>
      <w:szCs w:val="24"/>
    </w:rPr>
  </w:style>
  <w:style w:type="character" w:customStyle="1" w:styleId="17">
    <w:name w:val="正文文本 Char1"/>
    <w:basedOn w:val="10"/>
    <w:link w:val="3"/>
    <w:qFormat/>
    <w:uiPriority w:val="1"/>
    <w:rPr>
      <w:rFonts w:ascii="宋体" w:hAnsi="宋体" w:eastAsia="宋体" w:cs="宋体"/>
      <w:sz w:val="24"/>
      <w:szCs w:val="24"/>
      <w:lang w:eastAsia="en-US"/>
    </w:rPr>
  </w:style>
  <w:style w:type="character" w:customStyle="1" w:styleId="18">
    <w:name w:val="批注框文本 Char"/>
    <w:basedOn w:val="10"/>
    <w:link w:val="4"/>
    <w:semiHidden/>
    <w:qFormat/>
    <w:uiPriority w:val="0"/>
    <w:rPr>
      <w:rFonts w:ascii="Times New Roman" w:hAnsi="Times New Roman" w:eastAsia="宋体" w:cs="Times New Roman"/>
      <w:kern w:val="2"/>
      <w:sz w:val="18"/>
      <w:szCs w:val="18"/>
    </w:rPr>
  </w:style>
  <w:style w:type="paragraph" w:customStyle="1" w:styleId="1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615</Words>
  <Characters>792</Characters>
  <Lines>8</Lines>
  <Paragraphs>2</Paragraphs>
  <TotalTime>9</TotalTime>
  <ScaleCrop>false</ScaleCrop>
  <LinksUpToDate>false</LinksUpToDate>
  <CharactersWithSpaces>871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2022-05-18T00:47:00Z</dcterms:created>
  <dc:creator>qybai</dc:creator>
  <cp:lastModifiedBy>   </cp:lastModifiedBy>
  <cp:lastPrinted>2022-05-18T05:30:00Z</cp:lastPrinted>
  <dcterms:modified xsi:type="dcterms:W3CDTF">2022-06-07T00:34:14Z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98853AEF1B9447C5B94C2ABA5F50FB05</vt:lpwstr>
  </property>
</Properties>
</file>