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p>
    <w:p>
      <w:pPr>
        <w:pStyle w:val="18"/>
        <w:spacing w:line="360" w:lineRule="auto"/>
        <w:ind w:firstLine="0" w:firstLineChars="0"/>
        <w:jc w:val="left"/>
        <w:rPr>
          <w:rFonts w:ascii="宋体" w:hAnsi="宋体"/>
          <w:sz w:val="24"/>
        </w:rPr>
      </w:pPr>
    </w:p>
    <w:p>
      <w:pPr>
        <w:jc w:val="center"/>
        <w:rPr>
          <w:rFonts w:ascii="Arial" w:hAnsi="Arial"/>
          <w:b/>
          <w:color w:val="000000" w:themeColor="text1"/>
          <w:sz w:val="44"/>
          <w:szCs w:val="44"/>
          <w14:textFill>
            <w14:solidFill>
              <w14:schemeClr w14:val="tx1"/>
            </w14:solidFill>
          </w14:textFill>
        </w:rPr>
      </w:pPr>
      <w:r>
        <w:rPr>
          <w:rFonts w:hint="eastAsia" w:ascii="Arial" w:hAnsi="Arial" w:eastAsia="仿宋"/>
          <w:b/>
          <w:color w:val="000000" w:themeColor="text1"/>
          <w:sz w:val="44"/>
          <w:szCs w:val="44"/>
          <w14:textFill>
            <w14:solidFill>
              <w14:schemeClr w14:val="tx1"/>
            </w14:solidFill>
          </w14:textFill>
        </w:rPr>
        <w:t>福建福海创石油化工有限公司</w:t>
      </w:r>
    </w:p>
    <w:p>
      <w:pPr>
        <w:jc w:val="center"/>
        <w:rPr>
          <w:rFonts w:ascii="Arial" w:hAnsi="Arial" w:eastAsia="仿宋"/>
          <w:b/>
          <w:color w:val="000000" w:themeColor="text1"/>
          <w:sz w:val="44"/>
          <w:szCs w:val="44"/>
          <w14:textFill>
            <w14:solidFill>
              <w14:schemeClr w14:val="tx1"/>
            </w14:solidFill>
          </w14:textFill>
        </w:rPr>
      </w:pPr>
      <w:r>
        <w:rPr>
          <w:rFonts w:hint="eastAsia" w:ascii="Arial" w:hAnsi="Arial" w:eastAsia="仿宋"/>
          <w:b/>
          <w:color w:val="000000" w:themeColor="text1"/>
          <w:sz w:val="44"/>
          <w:szCs w:val="44"/>
          <w14:textFill>
            <w14:solidFill>
              <w14:schemeClr w14:val="tx1"/>
            </w14:solidFill>
          </w14:textFill>
        </w:rPr>
        <w:t>原料适应性技改项目</w:t>
      </w:r>
    </w:p>
    <w:p>
      <w:pPr>
        <w:jc w:val="center"/>
        <w:rPr>
          <w:rFonts w:ascii="Arial" w:hAnsi="Arial" w:eastAsia="仿宋"/>
          <w:b/>
          <w:color w:val="000000" w:themeColor="text1"/>
          <w:sz w:val="44"/>
          <w:szCs w:val="44"/>
          <w14:textFill>
            <w14:solidFill>
              <w14:schemeClr w14:val="tx1"/>
            </w14:solidFill>
          </w14:textFill>
        </w:rPr>
      </w:pPr>
      <w:r>
        <w:rPr>
          <w:rFonts w:hint="eastAsia" w:ascii="Arial" w:hAnsi="Arial" w:eastAsia="仿宋"/>
          <w:b/>
          <w:color w:val="000000" w:themeColor="text1"/>
          <w:sz w:val="44"/>
          <w:szCs w:val="44"/>
          <w14:textFill>
            <w14:solidFill>
              <w14:schemeClr w14:val="tx1"/>
            </w14:solidFill>
          </w14:textFill>
        </w:rPr>
        <w:t>储运凝析油罐区新增混合、调和设施工程</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管件招标策略</w:t>
      </w:r>
    </w:p>
    <w:p>
      <w:pPr>
        <w:rPr>
          <w:rFonts w:ascii="仿宋" w:hAnsi="仿宋" w:eastAsia="仿宋"/>
          <w:b/>
          <w:color w:val="000000" w:themeColor="text1"/>
          <w:sz w:val="44"/>
          <w:szCs w:val="44"/>
          <w14:textFill>
            <w14:solidFill>
              <w14:schemeClr w14:val="tx1"/>
            </w14:solidFill>
          </w14:textFill>
        </w:rPr>
      </w:pPr>
    </w:p>
    <w:p>
      <w:pPr>
        <w:rPr>
          <w:rFonts w:ascii="仿宋" w:hAnsi="仿宋" w:eastAsia="仿宋"/>
          <w:b/>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p>
    <w:p>
      <w:pPr>
        <w:ind w:firstLine="420"/>
        <w:jc w:val="left"/>
        <w:rPr>
          <w:rFonts w:ascii="仿宋" w:hAnsi="仿宋" w:eastAsia="仿宋"/>
          <w:b/>
          <w:color w:val="000000" w:themeColor="text1"/>
          <w:sz w:val="32"/>
          <w:szCs w:val="28"/>
          <w14:textFill>
            <w14:solidFill>
              <w14:schemeClr w14:val="tx1"/>
            </w14:solidFill>
          </w14:textFill>
        </w:rPr>
      </w:pPr>
    </w:p>
    <w:p>
      <w:pPr>
        <w:pStyle w:val="2"/>
        <w:rPr>
          <w:rFonts w:ascii="仿宋" w:hAnsi="仿宋" w:eastAsia="仿宋"/>
          <w:color w:val="000000" w:themeColor="text1"/>
          <w:sz w:val="32"/>
          <w:szCs w:val="28"/>
          <w14:textFill>
            <w14:solidFill>
              <w14:schemeClr w14:val="tx1"/>
            </w14:solidFill>
          </w14:textFill>
        </w:rPr>
      </w:pPr>
    </w:p>
    <w:p>
      <w:pPr>
        <w:pStyle w:val="2"/>
        <w:rPr>
          <w:color w:val="000000" w:themeColor="text1"/>
          <w14:textFill>
            <w14:solidFill>
              <w14:schemeClr w14:val="tx1"/>
            </w14:solidFill>
          </w14:textFill>
        </w:rPr>
      </w:pPr>
    </w:p>
    <w:tbl>
      <w:tblPr>
        <w:tblStyle w:val="12"/>
        <w:tblW w:w="4996" w:type="pct"/>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520"/>
        <w:gridCol w:w="985"/>
        <w:gridCol w:w="1402"/>
        <w:gridCol w:w="868"/>
        <w:gridCol w:w="868"/>
        <w:gridCol w:w="868"/>
        <w:gridCol w:w="867"/>
        <w:gridCol w:w="396"/>
        <w:gridCol w:w="753"/>
        <w:gridCol w:w="81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2" w:hRule="atLeast"/>
          <w:jc w:val="center"/>
        </w:trPr>
        <w:tc>
          <w:tcPr>
            <w:tcW w:w="347" w:type="pct"/>
            <w:tcBorders>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625" w:type="pct"/>
            <w:tcBorders>
              <w:left w:val="single" w:color="000000" w:sz="6" w:space="0"/>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599" w:type="pct"/>
            <w:tcBorders>
              <w:left w:val="single" w:color="000000" w:sz="6" w:space="0"/>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555" w:type="pct"/>
            <w:tcBorders>
              <w:left w:val="single" w:color="000000" w:sz="6" w:space="0"/>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555" w:type="pct"/>
            <w:tcBorders>
              <w:left w:val="single" w:color="000000" w:sz="6" w:space="0"/>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555" w:type="pct"/>
            <w:tcBorders>
              <w:left w:val="single" w:color="000000" w:sz="6" w:space="0"/>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554" w:type="pct"/>
            <w:tcBorders>
              <w:left w:val="single" w:color="000000" w:sz="6" w:space="0"/>
              <w:bottom w:val="single" w:color="000000" w:sz="6" w:space="0"/>
            </w:tcBorders>
          </w:tcPr>
          <w:p>
            <w:pPr>
              <w:pStyle w:val="22"/>
              <w:rPr>
                <w:rFonts w:ascii="Times New Roman"/>
                <w:color w:val="000000" w:themeColor="text1"/>
                <w:sz w:val="16"/>
                <w14:textFill>
                  <w14:solidFill>
                    <w14:schemeClr w14:val="tx1"/>
                  </w14:solidFill>
                </w14:textFill>
              </w:rPr>
            </w:pPr>
          </w:p>
        </w:tc>
        <w:tc>
          <w:tcPr>
            <w:tcW w:w="194" w:type="pct"/>
            <w:vMerge w:val="restart"/>
          </w:tcPr>
          <w:p>
            <w:pPr>
              <w:pStyle w:val="22"/>
              <w:rPr>
                <w:rFonts w:ascii="Times New Roman"/>
                <w:b/>
                <w:color w:val="000000" w:themeColor="text1"/>
                <w:sz w:val="18"/>
                <w14:textFill>
                  <w14:solidFill>
                    <w14:schemeClr w14:val="tx1"/>
                  </w14:solidFill>
                </w14:textFill>
              </w:rPr>
            </w:pPr>
          </w:p>
          <w:p>
            <w:pPr>
              <w:pStyle w:val="22"/>
              <w:spacing w:before="5"/>
              <w:rPr>
                <w:rFonts w:ascii="Times New Roman"/>
                <w:b/>
                <w:color w:val="000000" w:themeColor="text1"/>
                <w:sz w:val="25"/>
                <w14:textFill>
                  <w14:solidFill>
                    <w14:schemeClr w14:val="tx1"/>
                  </w14:solidFill>
                </w14:textFill>
              </w:rPr>
            </w:pPr>
          </w:p>
          <w:p>
            <w:pPr>
              <w:pStyle w:val="22"/>
              <w:spacing w:line="244" w:lineRule="auto"/>
              <w:ind w:left="109" w:right="61"/>
              <w:rPr>
                <w:color w:val="000000" w:themeColor="text1"/>
                <w:sz w:val="18"/>
                <w14:textFill>
                  <w14:solidFill>
                    <w14:schemeClr w14:val="tx1"/>
                  </w14:solidFill>
                </w14:textFill>
              </w:rPr>
            </w:pPr>
            <w:r>
              <w:rPr>
                <w:color w:val="000000" w:themeColor="text1"/>
                <w:sz w:val="18"/>
                <w14:textFill>
                  <w14:solidFill>
                    <w14:schemeClr w14:val="tx1"/>
                  </w14:solidFill>
                </w14:textFill>
              </w:rPr>
              <w:t>会签</w:t>
            </w:r>
          </w:p>
        </w:tc>
        <w:tc>
          <w:tcPr>
            <w:tcW w:w="486" w:type="pct"/>
            <w:tcBorders>
              <w:bottom w:val="single" w:color="000000" w:sz="6" w:space="0"/>
              <w:right w:val="single" w:color="000000" w:sz="6" w:space="0"/>
            </w:tcBorders>
          </w:tcPr>
          <w:p>
            <w:pPr>
              <w:pStyle w:val="22"/>
              <w:rPr>
                <w:rFonts w:ascii="Times New Roman"/>
                <w:color w:val="000000" w:themeColor="text1"/>
                <w:sz w:val="16"/>
                <w14:textFill>
                  <w14:solidFill>
                    <w14:schemeClr w14:val="tx1"/>
                  </w14:solidFill>
                </w14:textFill>
              </w:rPr>
            </w:pPr>
          </w:p>
        </w:tc>
        <w:tc>
          <w:tcPr>
            <w:tcW w:w="525" w:type="pct"/>
            <w:tcBorders>
              <w:left w:val="single" w:color="000000" w:sz="6" w:space="0"/>
              <w:bottom w:val="single" w:color="000000" w:sz="6" w:space="0"/>
            </w:tcBorders>
          </w:tcPr>
          <w:p>
            <w:pPr>
              <w:pStyle w:val="22"/>
              <w:rPr>
                <w:rFonts w:ascii="Times New Roman"/>
                <w:color w:val="000000" w:themeColor="text1"/>
                <w:sz w:val="16"/>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7" w:hRule="atLeast"/>
          <w:jc w:val="center"/>
        </w:trPr>
        <w:tc>
          <w:tcPr>
            <w:tcW w:w="347" w:type="pct"/>
            <w:tcBorders>
              <w:top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62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99"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4" w:type="pct"/>
            <w:tcBorders>
              <w:top w:val="single" w:color="000000" w:sz="6" w:space="0"/>
              <w:left w:val="single" w:color="000000" w:sz="6" w:space="0"/>
              <w:bottom w:val="single" w:color="000000" w:sz="6" w:space="0"/>
            </w:tcBorders>
          </w:tcPr>
          <w:p>
            <w:pPr>
              <w:pStyle w:val="22"/>
              <w:rPr>
                <w:rFonts w:ascii="Times New Roman"/>
                <w:color w:val="000000" w:themeColor="text1"/>
                <w:sz w:val="18"/>
                <w14:textFill>
                  <w14:solidFill>
                    <w14:schemeClr w14:val="tx1"/>
                  </w14:solidFill>
                </w14:textFill>
              </w:rPr>
            </w:pPr>
          </w:p>
        </w:tc>
        <w:tc>
          <w:tcPr>
            <w:tcW w:w="194" w:type="pct"/>
            <w:vMerge w:val="continue"/>
            <w:tcBorders>
              <w:top w:val="nil"/>
            </w:tcBorders>
          </w:tcPr>
          <w:p>
            <w:pPr>
              <w:rPr>
                <w:color w:val="000000" w:themeColor="text1"/>
                <w:sz w:val="2"/>
                <w:szCs w:val="2"/>
                <w14:textFill>
                  <w14:solidFill>
                    <w14:schemeClr w14:val="tx1"/>
                  </w14:solidFill>
                </w14:textFill>
              </w:rPr>
            </w:pPr>
          </w:p>
        </w:tc>
        <w:tc>
          <w:tcPr>
            <w:tcW w:w="486" w:type="pct"/>
            <w:tcBorders>
              <w:top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25" w:type="pct"/>
            <w:tcBorders>
              <w:top w:val="single" w:color="000000" w:sz="6" w:space="0"/>
              <w:left w:val="single" w:color="000000" w:sz="6" w:space="0"/>
              <w:bottom w:val="single" w:color="000000" w:sz="6" w:space="0"/>
            </w:tcBorders>
          </w:tcPr>
          <w:p>
            <w:pPr>
              <w:pStyle w:val="22"/>
              <w:rPr>
                <w:rFonts w:ascii="Times New Roman"/>
                <w:color w:val="000000" w:themeColor="text1"/>
                <w:sz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7" w:hRule="atLeast"/>
          <w:jc w:val="center"/>
        </w:trPr>
        <w:tc>
          <w:tcPr>
            <w:tcW w:w="347" w:type="pct"/>
            <w:tcBorders>
              <w:top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62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99"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4" w:type="pct"/>
            <w:tcBorders>
              <w:top w:val="single" w:color="000000" w:sz="6" w:space="0"/>
              <w:left w:val="single" w:color="000000" w:sz="6" w:space="0"/>
              <w:bottom w:val="single" w:color="000000" w:sz="6" w:space="0"/>
            </w:tcBorders>
          </w:tcPr>
          <w:p>
            <w:pPr>
              <w:pStyle w:val="22"/>
              <w:rPr>
                <w:rFonts w:ascii="Times New Roman"/>
                <w:color w:val="000000" w:themeColor="text1"/>
                <w:sz w:val="18"/>
                <w14:textFill>
                  <w14:solidFill>
                    <w14:schemeClr w14:val="tx1"/>
                  </w14:solidFill>
                </w14:textFill>
              </w:rPr>
            </w:pPr>
          </w:p>
        </w:tc>
        <w:tc>
          <w:tcPr>
            <w:tcW w:w="194" w:type="pct"/>
            <w:vMerge w:val="continue"/>
            <w:tcBorders>
              <w:top w:val="nil"/>
            </w:tcBorders>
          </w:tcPr>
          <w:p>
            <w:pPr>
              <w:rPr>
                <w:color w:val="000000" w:themeColor="text1"/>
                <w:sz w:val="2"/>
                <w:szCs w:val="2"/>
                <w14:textFill>
                  <w14:solidFill>
                    <w14:schemeClr w14:val="tx1"/>
                  </w14:solidFill>
                </w14:textFill>
              </w:rPr>
            </w:pPr>
          </w:p>
        </w:tc>
        <w:tc>
          <w:tcPr>
            <w:tcW w:w="486" w:type="pct"/>
            <w:tcBorders>
              <w:top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25" w:type="pct"/>
            <w:tcBorders>
              <w:top w:val="single" w:color="000000" w:sz="6" w:space="0"/>
              <w:left w:val="single" w:color="000000" w:sz="6" w:space="0"/>
              <w:bottom w:val="single" w:color="000000" w:sz="6" w:space="0"/>
            </w:tcBorders>
          </w:tcPr>
          <w:p>
            <w:pPr>
              <w:pStyle w:val="22"/>
              <w:rPr>
                <w:rFonts w:ascii="Times New Roman"/>
                <w:color w:val="000000" w:themeColor="text1"/>
                <w:sz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7" w:hRule="atLeast"/>
          <w:jc w:val="center"/>
        </w:trPr>
        <w:tc>
          <w:tcPr>
            <w:tcW w:w="347" w:type="pct"/>
            <w:tcBorders>
              <w:top w:val="single" w:color="000000" w:sz="6" w:space="0"/>
              <w:bottom w:val="single" w:color="000000" w:sz="6" w:space="0"/>
              <w:right w:val="single" w:color="000000" w:sz="6" w:space="0"/>
            </w:tcBorders>
          </w:tcPr>
          <w:p>
            <w:pPr>
              <w:pStyle w:val="22"/>
              <w:spacing w:before="28" w:line="210" w:lineRule="exact"/>
              <w:ind w:left="29"/>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0</w:t>
            </w:r>
          </w:p>
        </w:tc>
        <w:tc>
          <w:tcPr>
            <w:tcW w:w="62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99" w:type="pct"/>
            <w:tcBorders>
              <w:top w:val="single" w:color="000000" w:sz="6" w:space="0"/>
              <w:left w:val="single" w:color="000000" w:sz="6" w:space="0"/>
              <w:bottom w:val="single" w:color="000000" w:sz="6" w:space="0"/>
              <w:right w:val="single" w:color="000000" w:sz="6" w:space="0"/>
            </w:tcBorders>
          </w:tcPr>
          <w:p>
            <w:pPr>
              <w:pStyle w:val="22"/>
              <w:spacing w:before="18" w:line="219" w:lineRule="exact"/>
              <w:ind w:left="244" w:right="203"/>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20</w:t>
            </w:r>
            <w:r>
              <w:rPr>
                <w:rFonts w:hint="eastAsia"/>
                <w:color w:val="000000" w:themeColor="text1"/>
                <w:sz w:val="18"/>
                <w14:textFill>
                  <w14:solidFill>
                    <w14:schemeClr w14:val="tx1"/>
                  </w14:solidFill>
                </w14:textFill>
              </w:rPr>
              <w:t>22</w:t>
            </w:r>
            <w:r>
              <w:rPr>
                <w:color w:val="000000" w:themeColor="text1"/>
                <w:sz w:val="18"/>
                <w14:textFill>
                  <w14:solidFill>
                    <w14:schemeClr w14:val="tx1"/>
                  </w14:solidFill>
                </w14:textFill>
              </w:rPr>
              <w:t>-12-10</w:t>
            </w:r>
          </w:p>
        </w:tc>
        <w:tc>
          <w:tcPr>
            <w:tcW w:w="555" w:type="pct"/>
            <w:tcBorders>
              <w:top w:val="single" w:color="000000" w:sz="6" w:space="0"/>
              <w:left w:val="single" w:color="000000" w:sz="6" w:space="0"/>
              <w:bottom w:val="single" w:color="000000" w:sz="6" w:space="0"/>
              <w:right w:val="single" w:color="000000" w:sz="6" w:space="0"/>
            </w:tcBorders>
          </w:tcPr>
          <w:p>
            <w:pPr>
              <w:pStyle w:val="22"/>
              <w:ind w:firstLine="441"/>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5" w:type="pct"/>
            <w:tcBorders>
              <w:top w:val="single" w:color="000000" w:sz="6" w:space="0"/>
              <w:left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54" w:type="pct"/>
            <w:tcBorders>
              <w:top w:val="single" w:color="000000" w:sz="6" w:space="0"/>
              <w:left w:val="single" w:color="000000" w:sz="6" w:space="0"/>
              <w:bottom w:val="single" w:color="000000" w:sz="6" w:space="0"/>
            </w:tcBorders>
          </w:tcPr>
          <w:p>
            <w:pPr>
              <w:pStyle w:val="22"/>
              <w:rPr>
                <w:rFonts w:ascii="Times New Roman"/>
                <w:color w:val="000000" w:themeColor="text1"/>
                <w:sz w:val="18"/>
                <w14:textFill>
                  <w14:solidFill>
                    <w14:schemeClr w14:val="tx1"/>
                  </w14:solidFill>
                </w14:textFill>
              </w:rPr>
            </w:pPr>
          </w:p>
        </w:tc>
        <w:tc>
          <w:tcPr>
            <w:tcW w:w="194" w:type="pct"/>
            <w:vMerge w:val="continue"/>
            <w:tcBorders>
              <w:top w:val="nil"/>
            </w:tcBorders>
          </w:tcPr>
          <w:p>
            <w:pPr>
              <w:rPr>
                <w:color w:val="000000" w:themeColor="text1"/>
                <w:sz w:val="2"/>
                <w:szCs w:val="2"/>
                <w14:textFill>
                  <w14:solidFill>
                    <w14:schemeClr w14:val="tx1"/>
                  </w14:solidFill>
                </w14:textFill>
              </w:rPr>
            </w:pPr>
          </w:p>
        </w:tc>
        <w:tc>
          <w:tcPr>
            <w:tcW w:w="486" w:type="pct"/>
            <w:tcBorders>
              <w:top w:val="single" w:color="000000" w:sz="6" w:space="0"/>
              <w:bottom w:val="single" w:color="000000" w:sz="6" w:space="0"/>
              <w:right w:val="single" w:color="000000" w:sz="6" w:space="0"/>
            </w:tcBorders>
          </w:tcPr>
          <w:p>
            <w:pPr>
              <w:pStyle w:val="22"/>
              <w:rPr>
                <w:rFonts w:ascii="Times New Roman"/>
                <w:color w:val="000000" w:themeColor="text1"/>
                <w:sz w:val="18"/>
                <w14:textFill>
                  <w14:solidFill>
                    <w14:schemeClr w14:val="tx1"/>
                  </w14:solidFill>
                </w14:textFill>
              </w:rPr>
            </w:pPr>
          </w:p>
        </w:tc>
        <w:tc>
          <w:tcPr>
            <w:tcW w:w="525" w:type="pct"/>
            <w:tcBorders>
              <w:top w:val="single" w:color="000000" w:sz="6" w:space="0"/>
              <w:left w:val="single" w:color="000000" w:sz="6" w:space="0"/>
              <w:bottom w:val="single" w:color="000000" w:sz="6" w:space="0"/>
            </w:tcBorders>
          </w:tcPr>
          <w:p>
            <w:pPr>
              <w:pStyle w:val="22"/>
              <w:rPr>
                <w:rFonts w:ascii="Times New Roman"/>
                <w:color w:val="000000" w:themeColor="text1"/>
                <w:sz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 w:hRule="atLeast"/>
          <w:jc w:val="center"/>
        </w:trPr>
        <w:tc>
          <w:tcPr>
            <w:tcW w:w="347" w:type="pct"/>
            <w:tcBorders>
              <w:top w:val="single" w:color="000000" w:sz="6" w:space="0"/>
              <w:right w:val="single" w:color="000000" w:sz="6" w:space="0"/>
            </w:tcBorders>
          </w:tcPr>
          <w:p>
            <w:pPr>
              <w:pStyle w:val="22"/>
              <w:spacing w:before="28" w:line="225" w:lineRule="exact"/>
              <w:ind w:left="154" w:right="126"/>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修改</w:t>
            </w:r>
          </w:p>
        </w:tc>
        <w:tc>
          <w:tcPr>
            <w:tcW w:w="625" w:type="pct"/>
            <w:tcBorders>
              <w:top w:val="single" w:color="000000" w:sz="6" w:space="0"/>
              <w:left w:val="single" w:color="000000" w:sz="6" w:space="0"/>
              <w:right w:val="single" w:color="000000" w:sz="6" w:space="0"/>
            </w:tcBorders>
          </w:tcPr>
          <w:p>
            <w:pPr>
              <w:pStyle w:val="22"/>
              <w:spacing w:before="28" w:line="225" w:lineRule="exact"/>
              <w:ind w:left="427"/>
              <w:rPr>
                <w:color w:val="000000" w:themeColor="text1"/>
                <w:sz w:val="18"/>
                <w14:textFill>
                  <w14:solidFill>
                    <w14:schemeClr w14:val="tx1"/>
                  </w14:solidFill>
                </w14:textFill>
              </w:rPr>
            </w:pPr>
            <w:r>
              <w:rPr>
                <w:color w:val="000000" w:themeColor="text1"/>
                <w:sz w:val="18"/>
                <w14:textFill>
                  <w14:solidFill>
                    <w14:schemeClr w14:val="tx1"/>
                  </w14:solidFill>
                </w14:textFill>
              </w:rPr>
              <w:t>说 明</w:t>
            </w:r>
          </w:p>
        </w:tc>
        <w:tc>
          <w:tcPr>
            <w:tcW w:w="599" w:type="pct"/>
            <w:tcBorders>
              <w:top w:val="single" w:color="000000" w:sz="6" w:space="0"/>
              <w:left w:val="single" w:color="000000" w:sz="6" w:space="0"/>
              <w:right w:val="single" w:color="000000" w:sz="6" w:space="0"/>
            </w:tcBorders>
          </w:tcPr>
          <w:p>
            <w:pPr>
              <w:pStyle w:val="22"/>
              <w:spacing w:before="28" w:line="225" w:lineRule="exact"/>
              <w:ind w:left="244" w:right="201"/>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日 期</w:t>
            </w:r>
          </w:p>
        </w:tc>
        <w:tc>
          <w:tcPr>
            <w:tcW w:w="555" w:type="pct"/>
            <w:tcBorders>
              <w:top w:val="single" w:color="000000" w:sz="6" w:space="0"/>
              <w:left w:val="single" w:color="000000" w:sz="6" w:space="0"/>
              <w:right w:val="single" w:color="000000" w:sz="6" w:space="0"/>
            </w:tcBorders>
          </w:tcPr>
          <w:p>
            <w:pPr>
              <w:pStyle w:val="22"/>
              <w:spacing w:before="28" w:line="225" w:lineRule="exact"/>
              <w:ind w:left="355"/>
              <w:rPr>
                <w:color w:val="000000" w:themeColor="text1"/>
                <w:sz w:val="18"/>
                <w14:textFill>
                  <w14:solidFill>
                    <w14:schemeClr w14:val="tx1"/>
                  </w14:solidFill>
                </w14:textFill>
              </w:rPr>
            </w:pPr>
            <w:r>
              <w:rPr>
                <w:color w:val="000000" w:themeColor="text1"/>
                <w:sz w:val="18"/>
                <w14:textFill>
                  <w14:solidFill>
                    <w14:schemeClr w14:val="tx1"/>
                  </w14:solidFill>
                </w14:textFill>
              </w:rPr>
              <w:t>编 制</w:t>
            </w:r>
          </w:p>
        </w:tc>
        <w:tc>
          <w:tcPr>
            <w:tcW w:w="555" w:type="pct"/>
            <w:tcBorders>
              <w:top w:val="single" w:color="000000" w:sz="6" w:space="0"/>
              <w:left w:val="single" w:color="000000" w:sz="6" w:space="0"/>
              <w:right w:val="single" w:color="000000" w:sz="6" w:space="0"/>
            </w:tcBorders>
          </w:tcPr>
          <w:p>
            <w:pPr>
              <w:pStyle w:val="22"/>
              <w:spacing w:before="28" w:line="225" w:lineRule="exact"/>
              <w:ind w:left="355"/>
              <w:rPr>
                <w:color w:val="000000" w:themeColor="text1"/>
                <w:sz w:val="18"/>
                <w14:textFill>
                  <w14:solidFill>
                    <w14:schemeClr w14:val="tx1"/>
                  </w14:solidFill>
                </w14:textFill>
              </w:rPr>
            </w:pPr>
            <w:r>
              <w:rPr>
                <w:color w:val="000000" w:themeColor="text1"/>
                <w:sz w:val="18"/>
                <w14:textFill>
                  <w14:solidFill>
                    <w14:schemeClr w14:val="tx1"/>
                  </w14:solidFill>
                </w14:textFill>
              </w:rPr>
              <w:t>校 核</w:t>
            </w:r>
          </w:p>
        </w:tc>
        <w:tc>
          <w:tcPr>
            <w:tcW w:w="555" w:type="pct"/>
            <w:tcBorders>
              <w:top w:val="single" w:color="000000" w:sz="6" w:space="0"/>
              <w:left w:val="single" w:color="000000" w:sz="6" w:space="0"/>
              <w:right w:val="single" w:color="000000" w:sz="6" w:space="0"/>
            </w:tcBorders>
          </w:tcPr>
          <w:p>
            <w:pPr>
              <w:pStyle w:val="22"/>
              <w:spacing w:before="28" w:line="225" w:lineRule="exact"/>
              <w:ind w:left="355"/>
              <w:rPr>
                <w:color w:val="000000" w:themeColor="text1"/>
                <w:sz w:val="18"/>
                <w14:textFill>
                  <w14:solidFill>
                    <w14:schemeClr w14:val="tx1"/>
                  </w14:solidFill>
                </w14:textFill>
              </w:rPr>
            </w:pPr>
            <w:r>
              <w:rPr>
                <w:color w:val="000000" w:themeColor="text1"/>
                <w:sz w:val="18"/>
                <w14:textFill>
                  <w14:solidFill>
                    <w14:schemeClr w14:val="tx1"/>
                  </w14:solidFill>
                </w14:textFill>
              </w:rPr>
              <w:t>审 核</w:t>
            </w:r>
          </w:p>
        </w:tc>
        <w:tc>
          <w:tcPr>
            <w:tcW w:w="554" w:type="pct"/>
            <w:tcBorders>
              <w:top w:val="single" w:color="000000" w:sz="6" w:space="0"/>
              <w:left w:val="single" w:color="000000" w:sz="6" w:space="0"/>
            </w:tcBorders>
          </w:tcPr>
          <w:p>
            <w:pPr>
              <w:pStyle w:val="22"/>
              <w:rPr>
                <w:rFonts w:ascii="Times New Roman"/>
                <w:color w:val="000000" w:themeColor="text1"/>
                <w:sz w:val="20"/>
                <w14:textFill>
                  <w14:solidFill>
                    <w14:schemeClr w14:val="tx1"/>
                  </w14:solidFill>
                </w14:textFill>
              </w:rPr>
            </w:pPr>
          </w:p>
        </w:tc>
        <w:tc>
          <w:tcPr>
            <w:tcW w:w="194" w:type="pct"/>
            <w:vMerge w:val="continue"/>
            <w:tcBorders>
              <w:top w:val="nil"/>
            </w:tcBorders>
          </w:tcPr>
          <w:p>
            <w:pPr>
              <w:rPr>
                <w:color w:val="000000" w:themeColor="text1"/>
                <w:sz w:val="2"/>
                <w:szCs w:val="2"/>
                <w14:textFill>
                  <w14:solidFill>
                    <w14:schemeClr w14:val="tx1"/>
                  </w14:solidFill>
                </w14:textFill>
              </w:rPr>
            </w:pPr>
          </w:p>
        </w:tc>
        <w:tc>
          <w:tcPr>
            <w:tcW w:w="486" w:type="pct"/>
            <w:tcBorders>
              <w:top w:val="single" w:color="000000" w:sz="6" w:space="0"/>
              <w:right w:val="single" w:color="000000" w:sz="6" w:space="0"/>
            </w:tcBorders>
          </w:tcPr>
          <w:p>
            <w:pPr>
              <w:pStyle w:val="22"/>
              <w:spacing w:before="28" w:line="225" w:lineRule="exact"/>
              <w:ind w:left="137"/>
              <w:rPr>
                <w:color w:val="000000" w:themeColor="text1"/>
                <w:sz w:val="18"/>
                <w14:textFill>
                  <w14:solidFill>
                    <w14:schemeClr w14:val="tx1"/>
                  </w14:solidFill>
                </w14:textFill>
              </w:rPr>
            </w:pPr>
            <w:r>
              <w:rPr>
                <w:color w:val="000000" w:themeColor="text1"/>
                <w:sz w:val="18"/>
                <w14:textFill>
                  <w14:solidFill>
                    <w14:schemeClr w14:val="tx1"/>
                  </w14:solidFill>
                </w14:textFill>
              </w:rPr>
              <w:t>会签专业</w:t>
            </w:r>
          </w:p>
        </w:tc>
        <w:tc>
          <w:tcPr>
            <w:tcW w:w="525" w:type="pct"/>
            <w:tcBorders>
              <w:top w:val="single" w:color="000000" w:sz="6" w:space="0"/>
              <w:left w:val="single" w:color="000000" w:sz="6" w:space="0"/>
            </w:tcBorders>
          </w:tcPr>
          <w:p>
            <w:pPr>
              <w:pStyle w:val="22"/>
              <w:spacing w:before="28" w:line="225" w:lineRule="exact"/>
              <w:ind w:left="279"/>
              <w:rPr>
                <w:color w:val="000000" w:themeColor="text1"/>
                <w:sz w:val="18"/>
                <w14:textFill>
                  <w14:solidFill>
                    <w14:schemeClr w14:val="tx1"/>
                  </w14:solidFill>
                </w14:textFill>
              </w:rPr>
            </w:pPr>
            <w:r>
              <w:rPr>
                <w:color w:val="000000" w:themeColor="text1"/>
                <w:sz w:val="18"/>
                <w14:textFill>
                  <w14:solidFill>
                    <w14:schemeClr w14:val="tx1"/>
                  </w14:solidFill>
                </w14:textFill>
              </w:rPr>
              <w:t>会签人</w:t>
            </w:r>
          </w:p>
        </w:tc>
      </w:tr>
    </w:tbl>
    <w:p>
      <w:pPr>
        <w:pStyle w:val="18"/>
        <w:spacing w:line="360" w:lineRule="auto"/>
        <w:ind w:firstLine="0" w:firstLineChars="0"/>
        <w:jc w:val="left"/>
        <w:rPr>
          <w:rFonts w:ascii="宋体" w:hAnsi="宋体"/>
          <w:color w:val="000000" w:themeColor="text1"/>
          <w:sz w:val="28"/>
          <w:szCs w:val="28"/>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p>
    <w:p>
      <w:pPr>
        <w:pStyle w:val="18"/>
        <w:spacing w:line="360" w:lineRule="auto"/>
        <w:ind w:firstLine="0" w:firstLineChars="0"/>
        <w:jc w:val="left"/>
        <w:rPr>
          <w:rFonts w:ascii="宋体" w:hAnsi="宋体"/>
          <w:color w:val="000000" w:themeColor="text1"/>
          <w:sz w:val="28"/>
          <w:szCs w:val="28"/>
          <w14:textFill>
            <w14:solidFill>
              <w14:schemeClr w14:val="tx1"/>
            </w14:solidFill>
          </w14:textFill>
        </w:rPr>
      </w:pPr>
    </w:p>
    <w:p>
      <w:pPr>
        <w:pStyle w:val="18"/>
        <w:spacing w:line="360" w:lineRule="auto"/>
        <w:ind w:firstLine="0" w:firstLineChars="0"/>
        <w:jc w:val="left"/>
        <w:rPr>
          <w:rFonts w:ascii="宋体" w:hAnsi="宋体" w:eastAsia="宋体" w:cs="宋体"/>
          <w:color w:val="000000" w:themeColor="text1"/>
          <w:sz w:val="28"/>
          <w:szCs w:val="28"/>
          <w14:textFill>
            <w14:solidFill>
              <w14:schemeClr w14:val="tx1"/>
            </w14:solidFill>
          </w14:textFill>
        </w:rPr>
      </w:pPr>
    </w:p>
    <w:sdt>
      <w:sdtPr>
        <w:rPr>
          <w:rFonts w:hint="eastAsia" w:ascii="宋体" w:hAnsi="宋体" w:eastAsia="宋体" w:cs="宋体"/>
          <w:color w:val="000000" w:themeColor="text1"/>
          <w:sz w:val="28"/>
          <w:szCs w:val="28"/>
          <w14:textFill>
            <w14:solidFill>
              <w14:schemeClr w14:val="tx1"/>
            </w14:solidFill>
          </w14:textFill>
        </w:rPr>
        <w:id w:val="147480852"/>
        <w15:color w:val="DBDBDB"/>
        <w:docPartObj>
          <w:docPartGallery w:val="Table of Contents"/>
          <w:docPartUnique/>
        </w:docPartObj>
      </w:sdtPr>
      <w:sdtEndPr>
        <w:rPr>
          <w:rFonts w:hint="eastAsia" w:ascii="宋体" w:hAnsi="宋体" w:cs="宋体" w:eastAsiaTheme="minorEastAsia"/>
          <w:b/>
          <w:color w:val="000000" w:themeColor="text1"/>
          <w:sz w:val="21"/>
          <w:szCs w:val="22"/>
          <w14:textFill>
            <w14:solidFill>
              <w14:schemeClr w14:val="tx1"/>
            </w14:solidFill>
          </w14:textFill>
        </w:rPr>
      </w:sdtEndPr>
      <w:sdtContent>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目录</w:t>
          </w:r>
        </w:p>
        <w:p>
          <w:pPr>
            <w:pStyle w:val="11"/>
            <w:tabs>
              <w:tab w:val="right" w:leader="dot" w:pos="8306"/>
            </w:tabs>
            <w:rPr>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"1-2" \h \u </w:instrText>
          </w:r>
          <w:r>
            <w:rPr>
              <w:rFonts w:hint="eastAsia" w:ascii="宋体" w:hAnsi="宋体" w:eastAsia="宋体" w:cs="宋体"/>
              <w:color w:val="000000" w:themeColor="text1"/>
              <w:sz w:val="28"/>
              <w:szCs w:val="28"/>
              <w14:textFill>
                <w14:solidFill>
                  <w14:schemeClr w14:val="tx1"/>
                </w14:solidFill>
              </w14:textFill>
            </w:rPr>
            <w:fldChar w:fldCharType="separate"/>
          </w:r>
          <w:r>
            <w:fldChar w:fldCharType="begin"/>
          </w:r>
          <w:r>
            <w:instrText xml:space="preserve"> HYPERLINK \l "_Toc21943" </w:instrText>
          </w:r>
          <w:r>
            <w:fldChar w:fldCharType="separate"/>
          </w:r>
          <w:r>
            <w:rPr>
              <w:rFonts w:ascii="宋体" w:hAnsi="宋体" w:eastAsia="宋体" w:cs="宋体"/>
              <w:color w:val="000000" w:themeColor="text1"/>
              <w:sz w:val="28"/>
              <w:szCs w:val="28"/>
              <w14:textFill>
                <w14:solidFill>
                  <w14:schemeClr w14:val="tx1"/>
                </w14:solidFill>
              </w14:textFill>
            </w:rPr>
            <w:t xml:space="preserve">一、 </w:t>
          </w:r>
          <w:r>
            <w:rPr>
              <w:rFonts w:hint="eastAsia" w:ascii="宋体" w:hAnsi="宋体" w:eastAsia="宋体" w:cs="宋体"/>
              <w:color w:val="000000" w:themeColor="text1"/>
              <w:sz w:val="28"/>
              <w:szCs w:val="28"/>
              <w14:textFill>
                <w14:solidFill>
                  <w14:schemeClr w14:val="tx1"/>
                </w14:solidFill>
              </w14:textFill>
            </w:rPr>
            <w:t>情况介绍</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_Toc21943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8306"/>
            </w:tabs>
            <w:rPr>
              <w:color w:val="000000" w:themeColor="text1"/>
              <w:sz w:val="28"/>
              <w:szCs w:val="28"/>
              <w14:textFill>
                <w14:solidFill>
                  <w14:schemeClr w14:val="tx1"/>
                </w14:solidFill>
              </w14:textFill>
            </w:rPr>
          </w:pPr>
          <w:r>
            <w:fldChar w:fldCharType="begin"/>
          </w:r>
          <w:r>
            <w:instrText xml:space="preserve"> HYPERLINK \l "_Toc25600" </w:instrText>
          </w:r>
          <w:r>
            <w:fldChar w:fldCharType="separate"/>
          </w:r>
          <w:r>
            <w:rPr>
              <w:rFonts w:ascii="宋体" w:hAnsi="宋体" w:eastAsia="宋体" w:cs="宋体"/>
              <w:color w:val="000000" w:themeColor="text1"/>
              <w:sz w:val="28"/>
              <w:szCs w:val="28"/>
              <w14:textFill>
                <w14:solidFill>
                  <w14:schemeClr w14:val="tx1"/>
                </w14:solidFill>
              </w14:textFill>
            </w:rPr>
            <w:t xml:space="preserve">二、 </w:t>
          </w:r>
          <w:r>
            <w:rPr>
              <w:rFonts w:hint="eastAsia" w:ascii="宋体" w:hAnsi="宋体" w:eastAsia="宋体" w:cs="宋体"/>
              <w:color w:val="000000" w:themeColor="text1"/>
              <w:sz w:val="28"/>
              <w:szCs w:val="28"/>
              <w14:textFill>
                <w14:solidFill>
                  <w14:schemeClr w14:val="tx1"/>
                </w14:solidFill>
              </w14:textFill>
            </w:rPr>
            <w:t>采购方式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_Toc25600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8306"/>
            </w:tabs>
            <w:rPr>
              <w:color w:val="000000" w:themeColor="text1"/>
              <w:sz w:val="28"/>
              <w:szCs w:val="28"/>
              <w14:textFill>
                <w14:solidFill>
                  <w14:schemeClr w14:val="tx1"/>
                </w14:solidFill>
              </w14:textFill>
            </w:rPr>
          </w:pPr>
          <w:r>
            <w:fldChar w:fldCharType="begin"/>
          </w:r>
          <w:r>
            <w:instrText xml:space="preserve"> HYPERLINK \l "_Toc25995" </w:instrText>
          </w:r>
          <w:r>
            <w:fldChar w:fldCharType="separate"/>
          </w:r>
          <w:r>
            <w:rPr>
              <w:rFonts w:ascii="宋体" w:hAnsi="宋体" w:eastAsia="宋体" w:cs="宋体"/>
              <w:color w:val="000000" w:themeColor="text1"/>
              <w:sz w:val="28"/>
              <w:szCs w:val="28"/>
              <w14:textFill>
                <w14:solidFill>
                  <w14:schemeClr w14:val="tx1"/>
                </w14:solidFill>
              </w14:textFill>
            </w:rPr>
            <w:t xml:space="preserve">三、 </w:t>
          </w:r>
          <w:r>
            <w:rPr>
              <w:rFonts w:hint="eastAsia" w:ascii="宋体" w:hAnsi="宋体" w:eastAsia="宋体" w:cs="宋体"/>
              <w:color w:val="000000" w:themeColor="text1"/>
              <w:sz w:val="28"/>
              <w:szCs w:val="28"/>
              <w14:textFill>
                <w14:solidFill>
                  <w14:schemeClr w14:val="tx1"/>
                </w14:solidFill>
              </w14:textFill>
            </w:rPr>
            <w:t>招标范围</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_Toc25995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8306"/>
            </w:tabs>
            <w:rPr>
              <w:color w:val="000000" w:themeColor="text1"/>
              <w:sz w:val="28"/>
              <w:szCs w:val="28"/>
              <w14:textFill>
                <w14:solidFill>
                  <w14:schemeClr w14:val="tx1"/>
                </w14:solidFill>
              </w14:textFill>
            </w:rPr>
          </w:pPr>
          <w:r>
            <w:fldChar w:fldCharType="begin"/>
          </w:r>
          <w:r>
            <w:instrText xml:space="preserve"> HYPERLINK \l "_Toc32295" </w:instrText>
          </w:r>
          <w:r>
            <w:fldChar w:fldCharType="separate"/>
          </w:r>
          <w:r>
            <w:rPr>
              <w:color w:val="000000" w:themeColor="text1"/>
              <w:sz w:val="28"/>
              <w:szCs w:val="28"/>
              <w14:textFill>
                <w14:solidFill>
                  <w14:schemeClr w14:val="tx1"/>
                </w14:solidFill>
              </w14:textFill>
            </w:rPr>
            <w:t xml:space="preserve">四、 </w:t>
          </w:r>
          <w:r>
            <w:rPr>
              <w:rFonts w:hint="eastAsia" w:ascii="宋体" w:hAnsi="宋体" w:eastAsia="宋体" w:cs="宋体"/>
              <w:color w:val="000000" w:themeColor="text1"/>
              <w:sz w:val="28"/>
              <w:szCs w:val="28"/>
              <w14:textFill>
                <w14:solidFill>
                  <w14:schemeClr w14:val="tx1"/>
                </w14:solidFill>
              </w14:textFill>
            </w:rPr>
            <w:t>入围</w:t>
          </w:r>
          <w:r>
            <w:rPr>
              <w:rFonts w:hint="eastAsia"/>
              <w:color w:val="000000" w:themeColor="text1"/>
              <w:sz w:val="28"/>
              <w:szCs w:val="28"/>
              <w14:textFill>
                <w14:solidFill>
                  <w14:schemeClr w14:val="tx1"/>
                </w14:solidFill>
              </w14:textFill>
            </w:rPr>
            <w:t>资格要求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_Toc32295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8306"/>
            </w:tabs>
            <w:rPr>
              <w:color w:val="000000" w:themeColor="text1"/>
              <w:sz w:val="28"/>
              <w:szCs w:val="28"/>
              <w14:textFill>
                <w14:solidFill>
                  <w14:schemeClr w14:val="tx1"/>
                </w14:solidFill>
              </w14:textFill>
            </w:rPr>
          </w:pPr>
          <w:r>
            <w:fldChar w:fldCharType="begin"/>
          </w:r>
          <w:r>
            <w:instrText xml:space="preserve"> HYPERLINK \l "_Toc13640" </w:instrText>
          </w:r>
          <w:r>
            <w:fldChar w:fldCharType="separate"/>
          </w:r>
          <w:r>
            <w:rPr>
              <w:rFonts w:ascii="宋体" w:hAnsi="宋体" w:eastAsia="宋体" w:cs="宋体"/>
              <w:color w:val="000000" w:themeColor="text1"/>
              <w:sz w:val="28"/>
              <w:szCs w:val="28"/>
              <w14:textFill>
                <w14:solidFill>
                  <w14:schemeClr w14:val="tx1"/>
                </w14:solidFill>
              </w14:textFill>
            </w:rPr>
            <w:t xml:space="preserve">五、 </w:t>
          </w:r>
          <w:r>
            <w:rPr>
              <w:rFonts w:hint="eastAsia" w:ascii="宋体" w:hAnsi="宋体" w:eastAsia="宋体" w:cs="宋体"/>
              <w:color w:val="000000" w:themeColor="text1"/>
              <w:sz w:val="28"/>
              <w:szCs w:val="28"/>
              <w14:textFill>
                <w14:solidFill>
                  <w14:schemeClr w14:val="tx1"/>
                </w14:solidFill>
              </w14:textFill>
            </w:rPr>
            <w:t>评标办法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_Toc13640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1"/>
            <w:tabs>
              <w:tab w:val="right" w:leader="dot" w:pos="8306"/>
            </w:tabs>
            <w:rPr>
              <w:color w:val="000000" w:themeColor="text1"/>
              <w:sz w:val="28"/>
              <w:szCs w:val="28"/>
              <w14:textFill>
                <w14:solidFill>
                  <w14:schemeClr w14:val="tx1"/>
                </w14:solidFill>
              </w14:textFill>
            </w:rPr>
          </w:pPr>
          <w:r>
            <w:fldChar w:fldCharType="begin"/>
          </w:r>
          <w:r>
            <w:instrText xml:space="preserve"> HYPERLINK \l "_Toc17143" </w:instrText>
          </w:r>
          <w:r>
            <w:fldChar w:fldCharType="separate"/>
          </w:r>
          <w:r>
            <w:rPr>
              <w:rFonts w:ascii="宋体" w:hAnsi="宋体" w:eastAsia="宋体" w:cs="宋体"/>
              <w:color w:val="000000" w:themeColor="text1"/>
              <w:sz w:val="28"/>
              <w:szCs w:val="28"/>
              <w14:textFill>
                <w14:solidFill>
                  <w14:schemeClr w14:val="tx1"/>
                </w14:solidFill>
              </w14:textFill>
            </w:rPr>
            <w:t xml:space="preserve">六、 </w:t>
          </w:r>
          <w:r>
            <w:rPr>
              <w:rFonts w:hint="eastAsia" w:ascii="宋体" w:hAnsi="宋体" w:eastAsia="宋体" w:cs="宋体"/>
              <w:color w:val="000000" w:themeColor="text1"/>
              <w:sz w:val="28"/>
              <w:szCs w:val="28"/>
              <w14:textFill>
                <w14:solidFill>
                  <w14:schemeClr w14:val="tx1"/>
                </w14:solidFill>
              </w14:textFill>
            </w:rPr>
            <w:t>质保条件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_Toc17143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8"/>
            <w:spacing w:line="360" w:lineRule="auto"/>
            <w:ind w:firstLine="0" w:firstLineChars="0"/>
            <w:jc w:val="left"/>
            <w:rPr>
              <w:rFonts w:ascii="宋体" w:hAnsi="宋体"/>
              <w:b/>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sdtContent>
    </w:sdt>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18"/>
        <w:spacing w:line="360" w:lineRule="auto"/>
        <w:ind w:firstLine="0" w:firstLineChars="0"/>
        <w:jc w:val="left"/>
        <w:rPr>
          <w:rFonts w:ascii="宋体" w:hAnsi="宋体"/>
          <w:b/>
          <w:color w:val="000000" w:themeColor="text1"/>
          <w14:textFill>
            <w14:solidFill>
              <w14:schemeClr w14:val="tx1"/>
            </w14:solidFill>
          </w14:textFill>
        </w:rPr>
      </w:pPr>
    </w:p>
    <w:p>
      <w:pPr>
        <w:pStyle w:val="2"/>
        <w:rPr>
          <w:rFonts w:ascii="宋体" w:hAnsi="宋体" w:eastAsia="宋体" w:cs="宋体"/>
          <w:color w:val="000000" w:themeColor="text1"/>
          <w:sz w:val="24"/>
          <w:szCs w:val="24"/>
          <w14:textFill>
            <w14:solidFill>
              <w14:schemeClr w14:val="tx1"/>
            </w14:solidFill>
          </w14:textFill>
        </w:rPr>
        <w:sectPr>
          <w:headerReference r:id="rId4"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spacing w:before="60" w:after="60" w:line="360" w:lineRule="auto"/>
        <w:rPr>
          <w:rFonts w:ascii="宋体" w:hAnsi="宋体" w:eastAsia="宋体" w:cs="宋体"/>
          <w:color w:val="000000" w:themeColor="text1"/>
          <w:sz w:val="24"/>
          <w:szCs w:val="24"/>
          <w14:textFill>
            <w14:solidFill>
              <w14:schemeClr w14:val="tx1"/>
            </w14:solidFill>
          </w14:textFill>
        </w:rPr>
      </w:pPr>
      <w:bookmarkStart w:id="0" w:name="_Toc21943"/>
      <w:r>
        <w:rPr>
          <w:rFonts w:hint="eastAsia" w:ascii="宋体" w:hAnsi="宋体" w:eastAsia="宋体" w:cs="宋体"/>
          <w:color w:val="000000" w:themeColor="text1"/>
          <w:sz w:val="24"/>
          <w:szCs w:val="24"/>
          <w14:textFill>
            <w14:solidFill>
              <w14:schemeClr w14:val="tx1"/>
            </w14:solidFill>
          </w14:textFill>
        </w:rPr>
        <w:t>情况介绍</w:t>
      </w:r>
      <w:bookmarkEnd w:id="0"/>
    </w:p>
    <w:p>
      <w:pPr>
        <w:pStyle w:val="18"/>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本策略适用于福建福海创石油化工有限公司原料适应性技改项目储运凝析油罐区新增混合、调和设施工程管件的采购招标。</w:t>
      </w:r>
    </w:p>
    <w:p>
      <w:pPr>
        <w:pStyle w:val="2"/>
        <w:numPr>
          <w:ilvl w:val="0"/>
          <w:numId w:val="1"/>
        </w:numPr>
        <w:spacing w:before="60" w:after="60" w:line="360" w:lineRule="auto"/>
        <w:rPr>
          <w:rFonts w:ascii="宋体" w:hAnsi="宋体" w:eastAsia="宋体" w:cs="宋体"/>
          <w:color w:val="000000" w:themeColor="text1"/>
          <w:sz w:val="24"/>
          <w:szCs w:val="24"/>
          <w14:textFill>
            <w14:solidFill>
              <w14:schemeClr w14:val="tx1"/>
            </w14:solidFill>
          </w14:textFill>
        </w:rPr>
      </w:pPr>
      <w:bookmarkStart w:id="1" w:name="_Toc25600"/>
      <w:r>
        <w:rPr>
          <w:rFonts w:hint="eastAsia" w:ascii="宋体" w:hAnsi="宋体" w:eastAsia="宋体" w:cs="宋体"/>
          <w:color w:val="000000" w:themeColor="text1"/>
          <w:sz w:val="24"/>
          <w:szCs w:val="24"/>
          <w14:textFill>
            <w14:solidFill>
              <w14:schemeClr w14:val="tx1"/>
            </w14:solidFill>
          </w14:textFill>
        </w:rPr>
        <w:t>采购方式</w:t>
      </w:r>
      <w:bookmarkEnd w:id="1"/>
    </w:p>
    <w:p>
      <w:pPr>
        <w:pStyle w:val="18"/>
        <w:numPr>
          <w:ilvl w:val="0"/>
          <w:numId w:val="2"/>
        </w:numPr>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评标方式采用综合评价法。</w:t>
      </w:r>
    </w:p>
    <w:p>
      <w:pPr>
        <w:pStyle w:val="18"/>
        <w:numPr>
          <w:ilvl w:val="0"/>
          <w:numId w:val="2"/>
        </w:numPr>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项目采用公开比选。</w:t>
      </w:r>
    </w:p>
    <w:p>
      <w:pPr>
        <w:pStyle w:val="2"/>
        <w:numPr>
          <w:ilvl w:val="0"/>
          <w:numId w:val="1"/>
        </w:numPr>
        <w:spacing w:before="60" w:after="60" w:line="360" w:lineRule="auto"/>
        <w:rPr>
          <w:rFonts w:ascii="宋体" w:hAnsi="宋体" w:eastAsia="宋体" w:cs="宋体"/>
          <w:color w:val="000000" w:themeColor="text1"/>
          <w:sz w:val="24"/>
          <w:szCs w:val="24"/>
          <w14:textFill>
            <w14:solidFill>
              <w14:schemeClr w14:val="tx1"/>
            </w14:solidFill>
          </w14:textFill>
        </w:rPr>
      </w:pPr>
      <w:bookmarkStart w:id="2" w:name="_Toc25995"/>
      <w:r>
        <w:rPr>
          <w:rFonts w:hint="eastAsia" w:ascii="宋体" w:hAnsi="宋体" w:eastAsia="宋体" w:cs="宋体"/>
          <w:color w:val="000000" w:themeColor="text1"/>
          <w:sz w:val="24"/>
          <w:szCs w:val="24"/>
          <w14:textFill>
            <w14:solidFill>
              <w14:schemeClr w14:val="tx1"/>
            </w14:solidFill>
          </w14:textFill>
        </w:rPr>
        <w:t>招标范围</w:t>
      </w:r>
      <w:bookmarkEnd w:id="2"/>
    </w:p>
    <w:p>
      <w:pPr>
        <w:pStyle w:val="18"/>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1、采购物资名称及数量：</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17"/>
        <w:gridCol w:w="2299"/>
        <w:gridCol w:w="1248"/>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731" w:type="pct"/>
            <w:tcBorders>
              <w:tl2br w:val="nil"/>
              <w:tr2bl w:val="nil"/>
            </w:tcBorders>
            <w:shd w:val="clear" w:color="auto" w:fill="FFFFFF"/>
            <w:vAlign w:val="center"/>
          </w:tcPr>
          <w:p>
            <w:pPr>
              <w:pStyle w:val="32"/>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序号</w:t>
            </w:r>
          </w:p>
        </w:tc>
        <w:tc>
          <w:tcPr>
            <w:tcW w:w="1381" w:type="pct"/>
            <w:tcBorders>
              <w:tl2br w:val="nil"/>
              <w:tr2bl w:val="nil"/>
            </w:tcBorders>
            <w:shd w:val="clear" w:color="auto" w:fill="FFFFFF"/>
            <w:vAlign w:val="center"/>
          </w:tcPr>
          <w:p>
            <w:pPr>
              <w:pStyle w:val="32"/>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名称</w:t>
            </w:r>
          </w:p>
        </w:tc>
        <w:tc>
          <w:tcPr>
            <w:tcW w:w="750" w:type="pct"/>
            <w:tcBorders>
              <w:tl2br w:val="nil"/>
              <w:tr2bl w:val="nil"/>
            </w:tcBorders>
            <w:shd w:val="clear" w:color="auto" w:fill="FFFFFF"/>
            <w:vAlign w:val="center"/>
          </w:tcPr>
          <w:p>
            <w:pPr>
              <w:pStyle w:val="32"/>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数量</w:t>
            </w:r>
          </w:p>
        </w:tc>
        <w:tc>
          <w:tcPr>
            <w:tcW w:w="2138" w:type="pct"/>
            <w:tcBorders>
              <w:tl2br w:val="nil"/>
              <w:tr2bl w:val="nil"/>
            </w:tcBorders>
            <w:shd w:val="clear" w:color="auto" w:fill="FFFFFF"/>
            <w:vAlign w:val="center"/>
          </w:tcPr>
          <w:p>
            <w:pPr>
              <w:pStyle w:val="32"/>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bookmarkStart w:id="3" w:name="OLE_LINK1" w:colFirst="1" w:colLast="1"/>
            <w:r>
              <w:rPr>
                <w:rFonts w:hint="eastAsia"/>
                <w:color w:val="000000" w:themeColor="text1"/>
                <w:sz w:val="18"/>
                <w:szCs w:val="18"/>
                <w:lang w:val="en-US" w:eastAsia="zh-CN" w:bidi="ar-SA"/>
                <w14:textFill>
                  <w14:solidFill>
                    <w14:schemeClr w14:val="tx1"/>
                  </w14:solidFill>
                </w14:textFill>
              </w:rPr>
              <w:t>1</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凝析油调和项目储运专业管件材料</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0"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2</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凝析油分离装置及减压蒸馏装置消缺改造项目</w:t>
            </w:r>
            <w:r>
              <w:rPr>
                <w:rFonts w:ascii="宋体" w:hAnsi="宋体" w:eastAsia="宋体" w:cs="宋体"/>
                <w:color w:val="000000" w:themeColor="text1"/>
                <w:sz w:val="18"/>
                <w:szCs w:val="18"/>
                <w14:textFill>
                  <w14:solidFill>
                    <w14:schemeClr w14:val="tx1"/>
                  </w14:solidFill>
                </w14:textFill>
              </w:rPr>
              <w:t>-蜡油至蜡油加氢裂化</w:t>
            </w:r>
            <w:r>
              <w:rPr>
                <w:rFonts w:hint="eastAsia" w:ascii="宋体" w:hAnsi="宋体" w:eastAsia="宋体" w:cs="宋体"/>
                <w:color w:val="000000" w:themeColor="text1"/>
                <w:sz w:val="18"/>
                <w:szCs w:val="18"/>
                <w14:textFill>
                  <w14:solidFill>
                    <w14:schemeClr w14:val="tx1"/>
                  </w14:solidFill>
                </w14:textFill>
              </w:rPr>
              <w:t>管件材料</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2"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3</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凝析油分离装置及减压蒸馏装置消缺改造项目</w:t>
            </w:r>
            <w:r>
              <w:rPr>
                <w:rFonts w:ascii="宋体" w:hAnsi="宋体" w:eastAsia="宋体" w:cs="宋体"/>
                <w:color w:val="000000" w:themeColor="text1"/>
                <w:sz w:val="18"/>
                <w:szCs w:val="18"/>
                <w14:textFill>
                  <w14:solidFill>
                    <w14:schemeClr w14:val="tx1"/>
                  </w14:solidFill>
                </w14:textFill>
              </w:rPr>
              <w:t>-成品油罐区</w:t>
            </w:r>
            <w:r>
              <w:rPr>
                <w:rFonts w:hint="eastAsia" w:ascii="宋体" w:hAnsi="宋体" w:eastAsia="宋体" w:cs="宋体"/>
                <w:color w:val="000000" w:themeColor="text1"/>
                <w:sz w:val="18"/>
                <w:szCs w:val="18"/>
                <w14:textFill>
                  <w14:solidFill>
                    <w14:schemeClr w14:val="tx1"/>
                  </w14:solidFill>
                </w14:textFill>
              </w:rPr>
              <w:t>管件材料</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4</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凝析油分离装置及减压蒸馏装置消缺改造项目</w:t>
            </w:r>
            <w:r>
              <w:rPr>
                <w:rFonts w:ascii="宋体" w:hAnsi="宋体" w:eastAsia="宋体" w:cs="宋体"/>
                <w:color w:val="000000" w:themeColor="text1"/>
                <w:sz w:val="18"/>
                <w:szCs w:val="18"/>
                <w14:textFill>
                  <w14:solidFill>
                    <w14:schemeClr w14:val="tx1"/>
                  </w14:solidFill>
                </w14:textFill>
              </w:rPr>
              <w:t>-管廊</w:t>
            </w:r>
            <w:r>
              <w:rPr>
                <w:rFonts w:hint="eastAsia" w:ascii="宋体" w:hAnsi="宋体" w:eastAsia="宋体" w:cs="宋体"/>
                <w:color w:val="000000" w:themeColor="text1"/>
                <w:sz w:val="18"/>
                <w:szCs w:val="18"/>
                <w14:textFill>
                  <w14:solidFill>
                    <w14:schemeClr w14:val="tx1"/>
                  </w14:solidFill>
                </w14:textFill>
              </w:rPr>
              <w:t>管件材料</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5</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凝析油减压装置新增材料汇总表</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6</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储运管廊至抽提管件</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731"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7</w:t>
            </w:r>
          </w:p>
        </w:tc>
        <w:tc>
          <w:tcPr>
            <w:tcW w:w="1381" w:type="pct"/>
            <w:tcBorders>
              <w:tl2br w:val="nil"/>
              <w:tr2bl w:val="nil"/>
            </w:tcBorders>
            <w:shd w:val="clear" w:color="auto" w:fill="FFFFFF"/>
            <w:vAlign w:val="center"/>
          </w:tcPr>
          <w:p>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抽提外围管网预发料管件材料</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731" w:type="pct"/>
            <w:tcBorders>
              <w:tl2br w:val="nil"/>
              <w:tr2bl w:val="nil"/>
            </w:tcBorders>
            <w:shd w:val="clear" w:color="auto" w:fill="FFFFFF"/>
            <w:vAlign w:val="center"/>
          </w:tcPr>
          <w:p>
            <w:pPr>
              <w:pStyle w:val="32"/>
              <w:jc w:val="center"/>
              <w:rPr>
                <w:rFonts w:hint="eastAsia"/>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8</w:t>
            </w:r>
          </w:p>
        </w:tc>
        <w:tc>
          <w:tcPr>
            <w:tcW w:w="1381" w:type="pct"/>
            <w:tcBorders>
              <w:tl2br w:val="nil"/>
              <w:tr2bl w:val="nil"/>
            </w:tcBorders>
            <w:shd w:val="clear" w:color="auto" w:fill="FFFFFF"/>
            <w:vAlign w:val="center"/>
          </w:tcPr>
          <w:p>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火炬甩头项目</w:t>
            </w:r>
          </w:p>
        </w:tc>
        <w:tc>
          <w:tcPr>
            <w:tcW w:w="750" w:type="pct"/>
            <w:tcBorders>
              <w:tl2br w:val="nil"/>
              <w:tr2bl w:val="nil"/>
            </w:tcBorders>
            <w:shd w:val="clear" w:color="auto" w:fill="FFFFFF"/>
            <w:vAlign w:val="center"/>
          </w:tcPr>
          <w:p>
            <w:pPr>
              <w:pStyle w:val="32"/>
              <w:jc w:val="center"/>
              <w:rPr>
                <w:color w:val="000000" w:themeColor="text1"/>
                <w:sz w:val="18"/>
                <w:szCs w:val="18"/>
                <w:lang w:val="en-US" w:eastAsia="zh-CN" w:bidi="ar-SA"/>
                <w14:textFill>
                  <w14:solidFill>
                    <w14:schemeClr w14:val="tx1"/>
                  </w14:solidFill>
                </w14:textFill>
              </w:rPr>
            </w:pPr>
            <w:r>
              <w:rPr>
                <w:rFonts w:hint="eastAsia"/>
                <w:color w:val="000000" w:themeColor="text1"/>
                <w:sz w:val="18"/>
                <w:szCs w:val="18"/>
                <w:lang w:val="en-US" w:eastAsia="zh-CN" w:bidi="ar-SA"/>
                <w14:textFill>
                  <w14:solidFill>
                    <w14:schemeClr w14:val="tx1"/>
                  </w14:solidFill>
                </w14:textFill>
              </w:rPr>
              <w:t>1批</w:t>
            </w:r>
          </w:p>
        </w:tc>
        <w:tc>
          <w:tcPr>
            <w:tcW w:w="2138" w:type="pct"/>
            <w:tcBorders>
              <w:tl2br w:val="nil"/>
              <w:tr2bl w:val="nil"/>
            </w:tcBorders>
            <w:shd w:val="clear" w:color="auto" w:fill="FFFFFF"/>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具体见附件</w:t>
            </w:r>
          </w:p>
        </w:tc>
      </w:tr>
      <w:bookmarkEnd w:id="3"/>
    </w:tbl>
    <w:p>
      <w:pPr>
        <w:pStyle w:val="18"/>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2、交货期：40天</w:t>
      </w:r>
      <w:r>
        <w:rPr>
          <w:rFonts w:hint="eastAsia" w:ascii="宋体" w:hAnsi="宋体" w:eastAsia="宋体" w:cs="宋体"/>
          <w:color w:val="FF0000"/>
          <w:sz w:val="24"/>
          <w:szCs w:val="24"/>
        </w:rPr>
        <w:t>（从中标通知书时间算起）</w:t>
      </w:r>
      <w:r>
        <w:rPr>
          <w:rFonts w:hint="eastAsia" w:ascii="宋体" w:hAnsi="宋体" w:eastAsia="宋体" w:cs="宋体"/>
          <w:color w:val="000000" w:themeColor="text1"/>
          <w:sz w:val="24"/>
          <w:szCs w:val="24"/>
          <w14:textFill>
            <w14:solidFill>
              <w14:schemeClr w14:val="tx1"/>
            </w14:solidFill>
          </w14:textFill>
        </w:rPr>
        <w:t>。</w:t>
      </w:r>
    </w:p>
    <w:p>
      <w:pPr>
        <w:pStyle w:val="18"/>
        <w:numPr>
          <w:ilvl w:val="0"/>
          <w:numId w:val="2"/>
        </w:numPr>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交货地点：福建福海创石油化工有限公司厂内指定地点车板交货。</w:t>
      </w:r>
    </w:p>
    <w:p>
      <w:pPr>
        <w:pStyle w:val="2"/>
        <w:numPr>
          <w:ilvl w:val="0"/>
          <w:numId w:val="1"/>
        </w:numPr>
        <w:spacing w:before="60" w:after="60" w:line="360" w:lineRule="auto"/>
        <w:rPr>
          <w:color w:val="000000" w:themeColor="text1"/>
          <w:sz w:val="24"/>
          <w:szCs w:val="24"/>
          <w14:textFill>
            <w14:solidFill>
              <w14:schemeClr w14:val="tx1"/>
            </w14:solidFill>
          </w14:textFill>
        </w:rPr>
      </w:pPr>
      <w:bookmarkStart w:id="4" w:name="_Toc32295"/>
      <w:r>
        <w:rPr>
          <w:rFonts w:hint="eastAsia"/>
          <w:color w:val="000000" w:themeColor="text1"/>
          <w:sz w:val="24"/>
          <w:szCs w:val="24"/>
          <w14:textFill>
            <w14:solidFill>
              <w14:schemeClr w14:val="tx1"/>
            </w14:solidFill>
          </w14:textFill>
        </w:rPr>
        <w:t>入围资格要求</w:t>
      </w:r>
      <w:bookmarkEnd w:id="4"/>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投标人应具备独立法人资格，且有能力承担本项目的制造商。</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投标人应持有有效的资格证：</w:t>
      </w:r>
    </w:p>
    <w:p>
      <w:pPr>
        <w:pStyle w:val="18"/>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要求具有覆盖招标物资大类范围的有效ISO9001</w:t>
      </w:r>
      <w:r>
        <w:rPr>
          <w:rFonts w:hint="eastAsia" w:ascii="宋体" w:hAnsi="宋体" w:eastAsia="宋体" w:cs="宋体"/>
          <w:color w:val="000000" w:themeColor="text1"/>
          <w:sz w:val="24"/>
          <w:szCs w:val="24"/>
          <w14:textFill>
            <w14:solidFill>
              <w14:schemeClr w14:val="tx1"/>
            </w14:solidFill>
          </w14:textFill>
        </w:rPr>
        <w:t>或GB/T19001</w:t>
      </w:r>
      <w:r>
        <w:rPr>
          <w:rFonts w:ascii="宋体" w:hAnsi="宋体" w:eastAsia="宋体" w:cs="宋体"/>
          <w:color w:val="000000" w:themeColor="text1"/>
          <w:sz w:val="24"/>
          <w:szCs w:val="24"/>
          <w14:textFill>
            <w14:solidFill>
              <w14:schemeClr w14:val="tx1"/>
            </w14:solidFill>
          </w14:textFill>
        </w:rPr>
        <w:t>质量管理体系认证</w:t>
      </w:r>
      <w:r>
        <w:rPr>
          <w:rFonts w:hint="eastAsia" w:ascii="宋体" w:hAnsi="宋体" w:eastAsia="宋体" w:cs="宋体"/>
          <w:color w:val="000000" w:themeColor="text1"/>
          <w:sz w:val="24"/>
          <w:szCs w:val="24"/>
          <w14:textFill>
            <w14:solidFill>
              <w14:schemeClr w14:val="tx1"/>
            </w14:solidFill>
          </w14:textFill>
        </w:rPr>
        <w:t>，提供证书复印件并在有效期内。</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类似项目业绩：</w:t>
      </w:r>
    </w:p>
    <w:p>
      <w:pPr>
        <w:pStyle w:val="18"/>
        <w:numPr>
          <w:numId w:val="0"/>
        </w:numPr>
        <w:spacing w:line="360" w:lineRule="auto"/>
        <w:ind w:left="210" w:left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投标人在2017-2021年，具有在装置规模不小于800万吨/年炼油或80万吨/年乙烯或80万吨/年PX的项目中，不少于2个管件（含）合同业绩。（业绩证明需含管件型号、供货时间、合同复印件（含合同封皮、签字页、供货范围页，价格可隐藏）并加盖投标人公章）。</w:t>
      </w:r>
    </w:p>
    <w:p>
      <w:pPr>
        <w:pStyle w:val="18"/>
        <w:numPr>
          <w:numId w:val="0"/>
        </w:numPr>
        <w:spacing w:line="360" w:lineRule="auto"/>
        <w:ind w:left="210" w:left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投标人需要提供的其他资质（需要提供证明材料）：</w:t>
      </w:r>
      <w:r>
        <w:rPr>
          <w:rFonts w:hint="eastAsia" w:ascii="宋体" w:hAnsi="宋体" w:eastAsia="宋体"/>
          <w:sz w:val="24"/>
        </w:rPr>
        <w:t>投标人为中石化、中石油及中海油的合格供应商；</w:t>
      </w:r>
      <w:r>
        <w:rPr>
          <w:rFonts w:hint="eastAsia" w:ascii="宋体" w:hAnsi="宋体" w:eastAsia="宋体"/>
          <w:color w:val="000000" w:themeColor="text1"/>
          <w:sz w:val="24"/>
          <w14:textFill>
            <w14:solidFill>
              <w14:schemeClr w14:val="tx1"/>
            </w14:solidFill>
          </w14:textFill>
        </w:rPr>
        <w:t xml:space="preserve"> </w:t>
      </w:r>
    </w:p>
    <w:p>
      <w:pPr>
        <w:pStyle w:val="18"/>
        <w:numPr>
          <w:numId w:val="0"/>
        </w:numPr>
        <w:spacing w:line="360" w:lineRule="auto"/>
        <w:ind w:left="210" w:left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与招标人存在利害关系可能影响招标公正性的法人、其他组织或者个人，不得参加投标。</w:t>
      </w:r>
    </w:p>
    <w:p>
      <w:pPr>
        <w:pStyle w:val="18"/>
        <w:numPr>
          <w:numId w:val="0"/>
        </w:numPr>
        <w:spacing w:line="360" w:lineRule="auto"/>
        <w:ind w:left="210" w:left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4</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单位负责人为同一人或者存在控股、管理关系的不同单位，不得参加同一招标项目投标。</w:t>
      </w:r>
    </w:p>
    <w:p>
      <w:pPr>
        <w:pStyle w:val="18"/>
        <w:numPr>
          <w:numId w:val="0"/>
        </w:numPr>
        <w:spacing w:line="360" w:lineRule="auto"/>
        <w:ind w:left="210" w:left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本项目投标截止时投标人未处于被有关行政主管部门、司法机关暂停或者取消投标资格状态的。</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bookmarkStart w:id="7" w:name="_GoBack"/>
      <w:bookmarkEnd w:id="7"/>
      <w:r>
        <w:rPr>
          <w:rFonts w:hint="eastAsia" w:ascii="宋体" w:hAnsi="宋体" w:eastAsia="宋体"/>
          <w:color w:val="000000" w:themeColor="text1"/>
          <w:sz w:val="24"/>
          <w14:textFill>
            <w14:solidFill>
              <w14:schemeClr w14:val="tx1"/>
            </w14:solidFill>
          </w14:textFill>
        </w:rPr>
        <w:t>本项目不接受联合体投标；不接受代理商投标；因资金规模、制造周期、国际形势等因素本采购案不接受国外企业投标。</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能够满足福海创到货验收技术要求。</w:t>
      </w:r>
    </w:p>
    <w:p>
      <w:pPr>
        <w:pStyle w:val="18"/>
        <w:numPr>
          <w:ilvl w:val="0"/>
          <w:numId w:val="3"/>
        </w:numPr>
        <w:spacing w:line="360" w:lineRule="auto"/>
        <w:ind w:left="630" w:leftChars="0" w:firstLineChars="0"/>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其他资格要求。投标人不得存在下列情形之一：</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与招标人存在利害关系且可能影响招标公正性；</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与本招标项目的其他投标人为同一个单位负责人；</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与本招标项目的其他投标人存在控股、管理关系；</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与本招标项目其他投标人代理同一个制造商同一品牌同一型号的设备投标；</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为本招标项目提供过设计、编制技术规范和其他文件的咨询服务；</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为本招标项目的相关监理人，或者与本工程项目的相关监理人存在隶属关系或者其他利害关系；</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为本招标项目的代建人；</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为本招标项目的招标代理机构；</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与本招标项目的监理人或代建人或招标代理机构同为一个法定代表人；</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与本招标项目的监理人或代建人或招标代理机构存在控股或参股关系；</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被依法暂停或者取消投标资格；</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被责令停产停业、暂扣或者吊销许可证、暂扣或者吊销执照；</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进入清算程序，或被宣告破产，或其他丧失履约能力的情形；</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在最近三年内发生重大产品质量问题（以相关行业主管部门的行政处罚决定或司法机关出具的有关法律文书为准）；</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被市场监督管理机关在全国企业信用信息公示系统中列入严重违法失信企业名单；</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被最高人民法院在“信用中国”网站（</w:t>
      </w:r>
      <w:r>
        <w:fldChar w:fldCharType="begin"/>
      </w:r>
      <w:r>
        <w:instrText xml:space="preserve"> HYPERLINK "http://www.creditchina.gov.cn/" \h </w:instrText>
      </w:r>
      <w:r>
        <w:fldChar w:fldCharType="separate"/>
      </w:r>
      <w:r>
        <w:rPr>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）或各级信用信息共享平台中列入失信被执行人名单；</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在近三年内投标人或其法定代表人、拟委任的项目负责人有行贿犯罪行为的（以检察机关职务犯罪预防部门出具的查询结果为准）；</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与招标人无诉讼纠纷。</w:t>
      </w:r>
    </w:p>
    <w:p>
      <w:pPr>
        <w:pStyle w:val="37"/>
        <w:numPr>
          <w:ilvl w:val="0"/>
          <w:numId w:val="4"/>
        </w:numPr>
        <w:adjustRightInd w:val="0"/>
        <w:spacing w:line="360" w:lineRule="auto"/>
        <w:ind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法律法规或投标人须知前附表规定的其他情形。</w:t>
      </w:r>
    </w:p>
    <w:p>
      <w:pPr>
        <w:pStyle w:val="2"/>
        <w:numPr>
          <w:ilvl w:val="0"/>
          <w:numId w:val="1"/>
        </w:numPr>
        <w:spacing w:before="60" w:after="60" w:line="360" w:lineRule="auto"/>
        <w:rPr>
          <w:rFonts w:ascii="宋体" w:hAnsi="宋体" w:eastAsia="宋体" w:cs="宋体"/>
          <w:color w:val="000000" w:themeColor="text1"/>
          <w:sz w:val="24"/>
          <w:szCs w:val="24"/>
          <w14:textFill>
            <w14:solidFill>
              <w14:schemeClr w14:val="tx1"/>
            </w14:solidFill>
          </w14:textFill>
        </w:rPr>
      </w:pPr>
      <w:bookmarkStart w:id="5" w:name="_Toc13640"/>
      <w:r>
        <w:rPr>
          <w:rFonts w:hint="eastAsia" w:ascii="宋体" w:hAnsi="宋体" w:eastAsia="宋体" w:cs="宋体"/>
          <w:color w:val="000000" w:themeColor="text1"/>
          <w:sz w:val="24"/>
          <w:szCs w:val="24"/>
          <w14:textFill>
            <w14:solidFill>
              <w14:schemeClr w14:val="tx1"/>
            </w14:solidFill>
          </w14:textFill>
        </w:rPr>
        <w:t>评标办法</w:t>
      </w:r>
      <w:bookmarkEnd w:id="5"/>
    </w:p>
    <w:p>
      <w:pPr>
        <w:pStyle w:val="18"/>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评标采用综合评标法：</w:t>
      </w:r>
    </w:p>
    <w:p>
      <w:pPr>
        <w:pStyle w:val="18"/>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商务评分及技术评分依据项目具体情况编制评分细则（参考如下），合计**分。</w:t>
      </w:r>
    </w:p>
    <w:p>
      <w:pPr>
        <w:pStyle w:val="18"/>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报价分为**分。</w:t>
      </w:r>
    </w:p>
    <w:tbl>
      <w:tblPr>
        <w:tblStyle w:val="12"/>
        <w:tblpPr w:leftFromText="180" w:rightFromText="180" w:vertAnchor="text" w:horzAnchor="page" w:tblpXSpec="center" w:tblpY="491"/>
        <w:tblOverlap w:val="never"/>
        <w:tblW w:w="4998"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43"/>
        <w:gridCol w:w="1062"/>
        <w:gridCol w:w="487"/>
        <w:gridCol w:w="626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97" w:hRule="atLeast"/>
          <w:jc w:val="center"/>
        </w:trPr>
        <w:tc>
          <w:tcPr>
            <w:tcW w:w="380" w:type="pct"/>
            <w:tcBorders>
              <w:top w:val="outset" w:color="auto" w:sz="6" w:space="0"/>
              <w:left w:val="outset" w:color="auto" w:sz="6" w:space="0"/>
              <w:bottom w:val="outset" w:color="auto" w:sz="6" w:space="0"/>
              <w:right w:val="outset" w:color="auto" w:sz="6" w:space="0"/>
            </w:tcBorders>
            <w:vAlign w:val="center"/>
          </w:tcPr>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tc>
        <w:tc>
          <w:tcPr>
            <w:tcW w:w="62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评分因素</w:t>
            </w:r>
          </w:p>
        </w:tc>
        <w:tc>
          <w:tcPr>
            <w:tcW w:w="28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分数</w:t>
            </w:r>
          </w:p>
        </w:tc>
        <w:tc>
          <w:tcPr>
            <w:tcW w:w="3703"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0" w:hRule="atLeast"/>
          <w:jc w:val="center"/>
        </w:trPr>
        <w:tc>
          <w:tcPr>
            <w:tcW w:w="380" w:type="pct"/>
            <w:vMerge w:val="restart"/>
            <w:tcBorders>
              <w:top w:val="outset" w:color="auto" w:sz="6" w:space="0"/>
              <w:left w:val="outset" w:color="auto" w:sz="6" w:space="0"/>
              <w:bottom w:val="outset" w:color="auto" w:sz="6" w:space="0"/>
              <w:right w:val="outset" w:color="auto" w:sz="6" w:space="0"/>
            </w:tcBorders>
            <w:vAlign w:val="center"/>
          </w:tcPr>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p>
          <w:p>
            <w:pPr>
              <w:spacing w:line="340" w:lineRule="exact"/>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商务评分标准</w:t>
            </w:r>
          </w:p>
        </w:tc>
        <w:tc>
          <w:tcPr>
            <w:tcW w:w="628"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投标人综合实力</w:t>
            </w:r>
          </w:p>
          <w:p>
            <w:pPr>
              <w:jc w:val="center"/>
              <w:rPr>
                <w:rFonts w:ascii="宋体" w:hAnsi="宋体" w:eastAsia="宋体" w:cs="宋体"/>
                <w:color w:val="000000" w:themeColor="text1"/>
                <w:sz w:val="18"/>
                <w:szCs w:val="18"/>
                <w14:textFill>
                  <w14:solidFill>
                    <w14:schemeClr w14:val="tx1"/>
                  </w14:solidFill>
                </w14:textFill>
              </w:rPr>
            </w:pPr>
          </w:p>
        </w:tc>
        <w:tc>
          <w:tcPr>
            <w:tcW w:w="288"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3703" w:type="pct"/>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根据投标人企业规模、企业的专业性、</w:t>
            </w:r>
            <w:r>
              <w:rPr>
                <w:rFonts w:hint="eastAsia" w:ascii="宋体" w:hAnsi="宋体" w:eastAsia="宋体" w:cs="宋体"/>
                <w:sz w:val="18"/>
                <w:szCs w:val="18"/>
              </w:rPr>
              <w:t>技术创新能力及持有发明专利情况</w:t>
            </w:r>
            <w:r>
              <w:rPr>
                <w:rFonts w:hint="eastAsia" w:ascii="宋体" w:hAnsi="宋体" w:eastAsia="宋体" w:cs="宋体"/>
                <w:color w:val="000000" w:themeColor="text1"/>
                <w:sz w:val="18"/>
                <w:szCs w:val="18"/>
                <w14:textFill>
                  <w14:solidFill>
                    <w14:schemeClr w14:val="tx1"/>
                  </w14:solidFill>
                </w14:textFill>
              </w:rPr>
              <w:t>、管理体系认证以及近几年（2019年～2021年）财务报表状况、由评委进行评议并在</w:t>
            </w:r>
            <w:r>
              <w:rPr>
                <w:rFonts w:hint="eastAsia" w:ascii="宋体" w:hAnsi="宋体" w:eastAsia="宋体" w:cs="宋体"/>
                <w:color w:val="FF0000"/>
                <w:sz w:val="18"/>
                <w:szCs w:val="18"/>
              </w:rPr>
              <w:t>****</w:t>
            </w:r>
            <w:r>
              <w:rPr>
                <w:rFonts w:hint="eastAsia" w:ascii="宋体" w:hAnsi="宋体" w:eastAsia="宋体" w:cs="宋体"/>
                <w:color w:val="000000" w:themeColor="text1"/>
                <w:sz w:val="18"/>
                <w:szCs w:val="18"/>
                <w14:textFill>
                  <w14:solidFill>
                    <w14:schemeClr w14:val="tx1"/>
                  </w14:solidFill>
                </w14:textFill>
              </w:rPr>
              <w:t>分之间进行评分。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96" w:hRule="atLeast"/>
          <w:jc w:val="center"/>
        </w:trPr>
        <w:tc>
          <w:tcPr>
            <w:tcW w:w="380" w:type="pct"/>
            <w:vMerge w:val="continue"/>
            <w:tcBorders>
              <w:top w:val="outset" w:color="auto" w:sz="6" w:space="0"/>
              <w:left w:val="outset" w:color="auto" w:sz="6" w:space="0"/>
              <w:bottom w:val="outset" w:color="auto" w:sz="6" w:space="0"/>
              <w:right w:val="outset" w:color="auto" w:sz="6" w:space="0"/>
            </w:tcBorders>
            <w:vAlign w:val="center"/>
          </w:tcPr>
          <w:p>
            <w:pPr>
              <w:spacing w:line="340" w:lineRule="exact"/>
              <w:jc w:val="left"/>
              <w:rPr>
                <w:rFonts w:asciiTheme="minorEastAsia" w:hAnsiTheme="minorEastAsia" w:cstheme="minorEastAsia"/>
                <w:color w:val="000000" w:themeColor="text1"/>
                <w:sz w:val="18"/>
                <w:szCs w:val="18"/>
                <w14:textFill>
                  <w14:solidFill>
                    <w14:schemeClr w14:val="tx1"/>
                  </w14:solidFill>
                </w14:textFill>
              </w:rPr>
            </w:pPr>
          </w:p>
        </w:tc>
        <w:tc>
          <w:tcPr>
            <w:tcW w:w="628" w:type="pct"/>
            <w:tcBorders>
              <w:top w:val="outset" w:color="auto" w:sz="6" w:space="0"/>
              <w:left w:val="outset" w:color="auto" w:sz="6" w:space="0"/>
              <w:bottom w:val="outset" w:color="auto" w:sz="6" w:space="0"/>
              <w:right w:val="outset" w:color="auto" w:sz="6" w:space="0"/>
            </w:tcBorders>
            <w:vAlign w:val="center"/>
          </w:tcPr>
          <w:p>
            <w:pPr>
              <w:ind w:firstLine="180" w:firstLineChars="10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供货期</w:t>
            </w:r>
          </w:p>
        </w:tc>
        <w:tc>
          <w:tcPr>
            <w:tcW w:w="288"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3703" w:type="pct"/>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在满足招标文件要求的到货期基础上，到货期最短得</w:t>
            </w:r>
            <w:r>
              <w:rPr>
                <w:rFonts w:hint="eastAsia" w:ascii="宋体" w:hAnsi="宋体" w:eastAsia="宋体" w:cs="宋体"/>
                <w:color w:val="FF0000"/>
                <w:sz w:val="18"/>
                <w:szCs w:val="18"/>
              </w:rPr>
              <w:t>****</w:t>
            </w:r>
            <w:r>
              <w:rPr>
                <w:rFonts w:hint="eastAsia" w:ascii="宋体" w:hAnsi="宋体" w:eastAsia="宋体" w:cs="宋体"/>
                <w:color w:val="000000" w:themeColor="text1"/>
                <w:sz w:val="18"/>
                <w:szCs w:val="18"/>
                <w14:textFill>
                  <w14:solidFill>
                    <w14:schemeClr w14:val="tx1"/>
                  </w14:solidFill>
                </w14:textFill>
              </w:rPr>
              <w:t>分，第二名得</w:t>
            </w:r>
            <w:r>
              <w:rPr>
                <w:rFonts w:hint="eastAsia" w:ascii="宋体" w:hAnsi="宋体" w:eastAsia="宋体" w:cs="宋体"/>
                <w:color w:val="FF0000"/>
                <w:sz w:val="18"/>
                <w:szCs w:val="18"/>
              </w:rPr>
              <w:t>****</w:t>
            </w:r>
            <w:r>
              <w:rPr>
                <w:rFonts w:hint="eastAsia" w:ascii="宋体" w:hAnsi="宋体" w:eastAsia="宋体" w:cs="宋体"/>
                <w:color w:val="000000" w:themeColor="text1"/>
                <w:sz w:val="18"/>
                <w:szCs w:val="18"/>
                <w14:textFill>
                  <w14:solidFill>
                    <w14:schemeClr w14:val="tx1"/>
                  </w14:solidFill>
                </w14:textFill>
              </w:rPr>
              <w:t>分，第三名得</w:t>
            </w:r>
            <w:r>
              <w:rPr>
                <w:rFonts w:hint="eastAsia" w:ascii="宋体" w:hAnsi="宋体" w:eastAsia="宋体" w:cs="宋体"/>
                <w:color w:val="FF0000"/>
                <w:sz w:val="18"/>
                <w:szCs w:val="18"/>
              </w:rPr>
              <w:t>****</w:t>
            </w:r>
            <w:r>
              <w:rPr>
                <w:rFonts w:hint="eastAsia" w:ascii="宋体" w:hAnsi="宋体" w:eastAsia="宋体" w:cs="宋体"/>
                <w:color w:val="000000" w:themeColor="text1"/>
                <w:sz w:val="18"/>
                <w:szCs w:val="18"/>
                <w14:textFill>
                  <w14:solidFill>
                    <w14:schemeClr w14:val="tx1"/>
                  </w14:solidFill>
                </w14:textFill>
              </w:rPr>
              <w:t>分，第四名得</w:t>
            </w:r>
            <w:r>
              <w:rPr>
                <w:rFonts w:hint="eastAsia" w:ascii="宋体" w:hAnsi="宋体" w:eastAsia="宋体" w:cs="宋体"/>
                <w:color w:val="FF0000"/>
                <w:sz w:val="18"/>
                <w:szCs w:val="18"/>
              </w:rPr>
              <w:t>****</w:t>
            </w:r>
            <w:r>
              <w:rPr>
                <w:rFonts w:hint="eastAsia" w:ascii="宋体" w:hAnsi="宋体" w:eastAsia="宋体" w:cs="宋体"/>
                <w:color w:val="000000" w:themeColor="text1"/>
                <w:sz w:val="18"/>
                <w:szCs w:val="18"/>
                <w14:textFill>
                  <w14:solidFill>
                    <w14:schemeClr w14:val="tx1"/>
                  </w14:solidFill>
                </w14:textFill>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0" w:type="pct"/>
            <w:vMerge w:val="continue"/>
            <w:tcBorders>
              <w:top w:val="outset" w:color="auto" w:sz="6" w:space="0"/>
              <w:left w:val="outset" w:color="auto" w:sz="6" w:space="0"/>
              <w:bottom w:val="outset" w:color="auto" w:sz="6" w:space="0"/>
              <w:right w:val="outset" w:color="auto" w:sz="6" w:space="0"/>
            </w:tcBorders>
            <w:vAlign w:val="center"/>
          </w:tcPr>
          <w:p>
            <w:pPr>
              <w:spacing w:line="340" w:lineRule="exact"/>
              <w:jc w:val="left"/>
              <w:rPr>
                <w:rFonts w:asciiTheme="minorEastAsia" w:hAnsiTheme="minorEastAsia" w:cstheme="minorEastAsia"/>
                <w:color w:val="000000" w:themeColor="text1"/>
                <w:sz w:val="18"/>
                <w:szCs w:val="18"/>
                <w14:textFill>
                  <w14:solidFill>
                    <w14:schemeClr w14:val="tx1"/>
                  </w14:solidFill>
                </w14:textFill>
              </w:rPr>
            </w:pPr>
          </w:p>
        </w:tc>
        <w:tc>
          <w:tcPr>
            <w:tcW w:w="628"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eastAsia="宋体" w:cs="宋体"/>
                <w:color w:val="000000" w:themeColor="text1"/>
                <w:sz w:val="18"/>
                <w:szCs w:val="18"/>
                <w14:textFill>
                  <w14:solidFill>
                    <w14:schemeClr w14:val="tx1"/>
                  </w14:solidFill>
                </w14:textFill>
              </w:rPr>
            </w:pPr>
          </w:p>
          <w:p>
            <w:pPr>
              <w:jc w:val="left"/>
              <w:rPr>
                <w:rFonts w:ascii="宋体" w:hAnsi="宋体" w:eastAsia="宋体" w:cs="宋体"/>
                <w:color w:val="000000" w:themeColor="text1"/>
                <w:sz w:val="18"/>
                <w:szCs w:val="18"/>
                <w14:textFill>
                  <w14:solidFill>
                    <w14:schemeClr w14:val="tx1"/>
                  </w14:solidFill>
                </w14:textFill>
              </w:rPr>
            </w:pPr>
          </w:p>
          <w:p>
            <w:pPr>
              <w:jc w:val="left"/>
              <w:rPr>
                <w:rFonts w:ascii="宋体" w:hAnsi="宋体" w:eastAsia="宋体" w:cs="宋体"/>
                <w:color w:val="000000" w:themeColor="text1"/>
                <w:sz w:val="18"/>
                <w:szCs w:val="18"/>
                <w14:textFill>
                  <w14:solidFill>
                    <w14:schemeClr w14:val="tx1"/>
                  </w14:solidFill>
                </w14:textFill>
              </w:rPr>
            </w:pPr>
          </w:p>
          <w:p>
            <w:pPr>
              <w:jc w:val="left"/>
              <w:rPr>
                <w:rFonts w:ascii="宋体" w:hAnsi="宋体" w:eastAsia="宋体" w:cs="宋体"/>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类似业绩情况</w:t>
            </w:r>
          </w:p>
        </w:tc>
        <w:tc>
          <w:tcPr>
            <w:tcW w:w="288"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3703" w:type="pct"/>
            <w:tcBorders>
              <w:top w:val="outset" w:color="auto" w:sz="6" w:space="0"/>
              <w:left w:val="outset" w:color="auto" w:sz="6" w:space="0"/>
              <w:bottom w:val="outset" w:color="auto" w:sz="6" w:space="0"/>
              <w:right w:val="outset" w:color="auto" w:sz="6" w:space="0"/>
            </w:tcBorders>
            <w:vAlign w:val="center"/>
          </w:tcPr>
          <w:p>
            <w:pPr>
              <w:pStyle w:val="6"/>
              <w:ind w:firstLine="36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投标人提供的近五年（2017至2021年度)在800万吨/年炼油、80万吨/年乙烯或80万吨/年PX项目管件的供货业绩情况，重点考虑所提供业绩对应的装置的相似程度、装置规模、合同的数量、合同的大小、与本招标内容的契合度等，由评委进行评议并在</w:t>
            </w:r>
            <w:r>
              <w:rPr>
                <w:rFonts w:hint="eastAsia" w:ascii="宋体" w:hAnsi="宋体" w:eastAsia="宋体" w:cs="宋体"/>
                <w:color w:val="FF0000"/>
              </w:rPr>
              <w:t>****</w:t>
            </w:r>
            <w:r>
              <w:rPr>
                <w:rFonts w:hint="eastAsia" w:ascii="宋体" w:hAnsi="宋体" w:eastAsia="宋体" w:cs="宋体"/>
                <w:color w:val="000000" w:themeColor="text1"/>
                <w14:textFill>
                  <w14:solidFill>
                    <w14:schemeClr w14:val="tx1"/>
                  </w14:solidFill>
                </w14:textFill>
              </w:rPr>
              <w:t>分之间进行评分</w:t>
            </w:r>
          </w:p>
          <w:p>
            <w:pPr>
              <w:pStyle w:val="22"/>
              <w:spacing w:line="420" w:lineRule="exact"/>
              <w:ind w:firstLine="360" w:firstLineChars="20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此项须提供业绩表，业绩表内容不限于管件型号、供货时间、合同复印件（含合同封皮、签字页、供货范围页）及加盖投标人公章。</w:t>
            </w:r>
          </w:p>
          <w:p>
            <w:pPr>
              <w:pStyle w:val="22"/>
              <w:spacing w:line="420" w:lineRule="exact"/>
              <w:ind w:firstLine="360" w:firstLineChars="20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投标人应对申报业绩的真实性和准确性负责。在招标过程中，招标人和招标代理有权对投标人申报的项目业绩进行核实和澄清，若投标人所申报资料内容有失实情况，则该投标人即被取消投标或中标资格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0" w:type="pct"/>
            <w:vMerge w:val="continue"/>
            <w:tcBorders>
              <w:left w:val="outset" w:color="auto" w:sz="6" w:space="0"/>
              <w:right w:val="outset" w:color="auto" w:sz="6" w:space="0"/>
            </w:tcBorders>
            <w:vAlign w:val="center"/>
          </w:tcPr>
          <w:p>
            <w:pPr>
              <w:spacing w:line="340" w:lineRule="exact"/>
              <w:jc w:val="left"/>
              <w:rPr>
                <w:rFonts w:asciiTheme="minorEastAsia" w:hAnsiTheme="minorEastAsia" w:cstheme="minorEastAsia"/>
                <w:color w:val="000000" w:themeColor="text1"/>
                <w:sz w:val="18"/>
                <w:szCs w:val="18"/>
                <w14:textFill>
                  <w14:solidFill>
                    <w14:schemeClr w14:val="tx1"/>
                  </w14:solidFill>
                </w14:textFill>
              </w:rPr>
            </w:pPr>
          </w:p>
        </w:tc>
        <w:tc>
          <w:tcPr>
            <w:tcW w:w="628" w:type="pct"/>
            <w:tcBorders>
              <w:top w:val="outset" w:color="auto" w:sz="6" w:space="0"/>
              <w:left w:val="outset" w:color="auto" w:sz="6" w:space="0"/>
              <w:bottom w:val="outset" w:color="auto" w:sz="6" w:space="0"/>
              <w:right w:val="outset" w:color="auto" w:sz="6" w:space="0"/>
            </w:tcBorders>
            <w:vAlign w:val="center"/>
          </w:tcPr>
          <w:p>
            <w:pPr>
              <w:pStyle w:val="22"/>
              <w:spacing w:line="42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制造能力</w:t>
            </w:r>
          </w:p>
        </w:tc>
        <w:tc>
          <w:tcPr>
            <w:tcW w:w="288" w:type="pct"/>
            <w:tcBorders>
              <w:top w:val="outset" w:color="auto" w:sz="6" w:space="0"/>
              <w:left w:val="outset" w:color="auto" w:sz="6" w:space="0"/>
              <w:bottom w:val="outset" w:color="auto" w:sz="6" w:space="0"/>
              <w:right w:val="outset" w:color="auto" w:sz="6" w:space="0"/>
            </w:tcBorders>
            <w:vAlign w:val="center"/>
          </w:tcPr>
          <w:p>
            <w:pPr>
              <w:pStyle w:val="22"/>
              <w:spacing w:line="420" w:lineRule="exact"/>
              <w:jc w:val="center"/>
              <w:rPr>
                <w:rFonts w:ascii="宋体" w:hAnsi="宋体" w:eastAsia="宋体" w:cs="宋体"/>
                <w:color w:val="000000" w:themeColor="text1"/>
                <w:sz w:val="18"/>
                <w:szCs w:val="18"/>
                <w14:textFill>
                  <w14:solidFill>
                    <w14:schemeClr w14:val="tx1"/>
                  </w14:solidFill>
                </w14:textFill>
              </w:rPr>
            </w:pPr>
          </w:p>
        </w:tc>
        <w:tc>
          <w:tcPr>
            <w:tcW w:w="3703" w:type="pct"/>
            <w:tcBorders>
              <w:top w:val="outset" w:color="auto" w:sz="6" w:space="0"/>
              <w:left w:val="outset" w:color="auto" w:sz="6" w:space="0"/>
              <w:bottom w:val="outset" w:color="auto" w:sz="6" w:space="0"/>
              <w:right w:val="outset" w:color="auto" w:sz="6" w:space="0"/>
            </w:tcBorders>
            <w:vAlign w:val="center"/>
          </w:tcPr>
          <w:p>
            <w:pPr>
              <w:adjustRightInd w:val="0"/>
              <w:spacing w:line="360" w:lineRule="auto"/>
              <w:ind w:firstLine="360" w:firstLineChars="200"/>
              <w:rPr>
                <w:rFonts w:ascii="宋体" w:hAnsi="宋体" w:eastAsia="宋体" w:cs="宋体"/>
                <w:sz w:val="18"/>
                <w:szCs w:val="18"/>
              </w:rPr>
            </w:pPr>
            <w:r>
              <w:rPr>
                <w:rFonts w:hint="eastAsia" w:ascii="宋体" w:hAnsi="宋体" w:eastAsia="宋体" w:cs="宋体"/>
                <w:sz w:val="18"/>
                <w:szCs w:val="18"/>
              </w:rPr>
              <w:t>根据投标人是否具备压力机、推制机、热处理炉、焊接设备等，具有10000吨压力机、具有中频加热推制机、具有自动焊接设备、具有酸洗钝化车间，具有得化学成份分析，硬度仪，超声检测UT、磁粉检测MT和液体渗透检测PT等无损检测能力，具有得强度试验能力，热处理自有制造能力、由评委进行评议并在</w:t>
            </w:r>
            <w:r>
              <w:rPr>
                <w:rFonts w:hint="eastAsia" w:ascii="宋体" w:hAnsi="宋体" w:eastAsia="宋体" w:cs="宋体"/>
                <w:color w:val="FF0000"/>
                <w:sz w:val="18"/>
                <w:szCs w:val="18"/>
              </w:rPr>
              <w:t>****</w:t>
            </w:r>
            <w:r>
              <w:rPr>
                <w:rFonts w:hint="eastAsia" w:ascii="宋体" w:hAnsi="宋体" w:eastAsia="宋体" w:cs="宋体"/>
                <w:sz w:val="18"/>
                <w:szCs w:val="18"/>
              </w:rPr>
              <w:t>分之间进行评分。以上需要投标人提供相关证明（如照片等），不提供者不得分。</w:t>
            </w:r>
          </w:p>
          <w:p>
            <w:pPr>
              <w:pStyle w:val="6"/>
              <w:jc w:val="both"/>
              <w:rPr>
                <w:rFonts w:ascii="宋体" w:hAnsi="宋体" w:eastAsia="宋体" w:cs="宋体"/>
                <w:color w:val="000000" w:themeColor="text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008" w:type="pct"/>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42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商务部分</w:t>
            </w:r>
          </w:p>
        </w:tc>
        <w:tc>
          <w:tcPr>
            <w:tcW w:w="288"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420" w:lineRule="exact"/>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 </w:t>
            </w:r>
          </w:p>
        </w:tc>
        <w:tc>
          <w:tcPr>
            <w:tcW w:w="3703" w:type="pct"/>
            <w:tcBorders>
              <w:top w:val="outset" w:color="auto" w:sz="6" w:space="0"/>
              <w:left w:val="outset" w:color="auto" w:sz="6" w:space="0"/>
              <w:bottom w:val="outset" w:color="auto" w:sz="6" w:space="0"/>
              <w:right w:val="outset" w:color="auto" w:sz="6" w:space="0"/>
            </w:tcBorders>
            <w:vAlign w:val="center"/>
          </w:tcPr>
          <w:p>
            <w:pPr>
              <w:pStyle w:val="18"/>
              <w:ind w:firstLine="36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由采购管理部综合评定</w:t>
            </w:r>
          </w:p>
        </w:tc>
      </w:tr>
    </w:tbl>
    <w:p>
      <w:pPr>
        <w:pStyle w:val="5"/>
        <w:ind w:firstLine="0" w:firstLineChars="0"/>
        <w:rPr>
          <w:rFonts w:ascii="宋体" w:hAnsi="宋体" w:cs="宋体"/>
          <w:color w:val="000000" w:themeColor="text1"/>
          <w:szCs w:val="24"/>
          <w14:textFill>
            <w14:solidFill>
              <w14:schemeClr w14:val="tx1"/>
            </w14:solidFill>
          </w14:textFill>
        </w:rPr>
      </w:pPr>
    </w:p>
    <w:p>
      <w:pPr>
        <w:pStyle w:val="6"/>
        <w:rPr>
          <w:color w:val="000000" w:themeColor="text1"/>
          <w14:textFill>
            <w14:solidFill>
              <w14:schemeClr w14:val="tx1"/>
            </w14:solidFill>
          </w14:textFill>
        </w:rPr>
      </w:pPr>
    </w:p>
    <w:p>
      <w:pPr>
        <w:pStyle w:val="2"/>
        <w:numPr>
          <w:ilvl w:val="0"/>
          <w:numId w:val="1"/>
        </w:numPr>
        <w:spacing w:before="60" w:after="60" w:line="360" w:lineRule="auto"/>
        <w:rPr>
          <w:rFonts w:ascii="宋体" w:hAnsi="宋体" w:eastAsia="宋体" w:cs="宋体"/>
          <w:color w:val="000000" w:themeColor="text1"/>
          <w:sz w:val="24"/>
          <w:szCs w:val="24"/>
          <w14:textFill>
            <w14:solidFill>
              <w14:schemeClr w14:val="tx1"/>
            </w14:solidFill>
          </w14:textFill>
        </w:rPr>
      </w:pPr>
      <w:bookmarkStart w:id="6" w:name="_Toc17143"/>
      <w:r>
        <w:rPr>
          <w:rFonts w:hint="eastAsia" w:ascii="宋体" w:hAnsi="宋体" w:eastAsia="宋体" w:cs="宋体"/>
          <w:color w:val="000000" w:themeColor="text1"/>
          <w:sz w:val="24"/>
          <w:szCs w:val="24"/>
          <w14:textFill>
            <w14:solidFill>
              <w14:schemeClr w14:val="tx1"/>
            </w14:solidFill>
          </w14:textFill>
        </w:rPr>
        <w:t>质保条件</w:t>
      </w:r>
      <w:bookmarkEnd w:id="6"/>
    </w:p>
    <w:p>
      <w:pPr>
        <w:pStyle w:val="18"/>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本合同所供计质保期为最后一批管件到货后12 个月（以买方签收为准）。质保期内，因投标人制造质量问题引起的零部件损坏，投标人负责免费更换，更换后的保证期自更换正常投用之日起一年内有效。</w:t>
      </w:r>
    </w:p>
    <w:p>
      <w:pPr>
        <w:pStyle w:val="6"/>
        <w:rPr>
          <w:color w:val="000000" w:themeColor="text1"/>
          <w14:textFill>
            <w14:solidFill>
              <w14:schemeClr w14:val="tx1"/>
            </w14:solidFill>
          </w14:textFill>
        </w:rPr>
      </w:pPr>
    </w:p>
    <w:p>
      <w:pPr>
        <w:spacing w:line="360" w:lineRule="auto"/>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rPr>
                            <w:t>4</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rPr>
                      <w:t>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1A4E"/>
    <w:multiLevelType w:val="multilevel"/>
    <w:tmpl w:val="07D81A4E"/>
    <w:lvl w:ilvl="0" w:tentative="0">
      <w:start w:val="1"/>
      <w:numFmt w:val="lowerLetter"/>
      <w:lvlText w:val="%1)"/>
      <w:lvlJc w:val="left"/>
      <w:pPr>
        <w:ind w:left="845" w:hanging="420"/>
      </w:pPr>
    </w:lvl>
    <w:lvl w:ilvl="1" w:tentative="0">
      <w:start w:val="11"/>
      <w:numFmt w:val="bullet"/>
      <w:lvlText w:val="▲"/>
      <w:lvlJc w:val="left"/>
      <w:pPr>
        <w:ind w:left="1205" w:hanging="360"/>
      </w:pPr>
      <w:rPr>
        <w:rFonts w:hint="eastAsia" w:ascii="宋体" w:hAnsi="宋体" w:eastAsia="宋体"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3815388E"/>
    <w:multiLevelType w:val="multilevel"/>
    <w:tmpl w:val="3815388E"/>
    <w:lvl w:ilvl="0" w:tentative="0">
      <w:start w:val="1"/>
      <w:numFmt w:val="decimal"/>
      <w:lvlText w:val="%1."/>
      <w:lvlJc w:val="left"/>
      <w:pPr>
        <w:ind w:left="63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2941B3"/>
    <w:multiLevelType w:val="multilevel"/>
    <w:tmpl w:val="472941B3"/>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869A3"/>
    <w:multiLevelType w:val="multilevel"/>
    <w:tmpl w:val="725869A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NDY3NGQzMmJmYjUwZTljNjJiMDRmYmQ5YWM0MjMifQ=="/>
  </w:docVars>
  <w:rsids>
    <w:rsidRoot w:val="004C4C1F"/>
    <w:rsid w:val="00000A8F"/>
    <w:rsid w:val="000024F7"/>
    <w:rsid w:val="000108CB"/>
    <w:rsid w:val="0001297E"/>
    <w:rsid w:val="00021A20"/>
    <w:rsid w:val="000726EF"/>
    <w:rsid w:val="000A1D67"/>
    <w:rsid w:val="000C62C8"/>
    <w:rsid w:val="000D0A22"/>
    <w:rsid w:val="000D4928"/>
    <w:rsid w:val="000E5841"/>
    <w:rsid w:val="000F719A"/>
    <w:rsid w:val="0011436E"/>
    <w:rsid w:val="00126C31"/>
    <w:rsid w:val="00164E4E"/>
    <w:rsid w:val="0017606A"/>
    <w:rsid w:val="00190D78"/>
    <w:rsid w:val="001B65C2"/>
    <w:rsid w:val="001B6E34"/>
    <w:rsid w:val="001C320A"/>
    <w:rsid w:val="001C6810"/>
    <w:rsid w:val="001D207C"/>
    <w:rsid w:val="001D3143"/>
    <w:rsid w:val="001E223E"/>
    <w:rsid w:val="001E6DBD"/>
    <w:rsid w:val="001F535F"/>
    <w:rsid w:val="00200E90"/>
    <w:rsid w:val="00202204"/>
    <w:rsid w:val="00206F3A"/>
    <w:rsid w:val="00207CE5"/>
    <w:rsid w:val="00216D23"/>
    <w:rsid w:val="002211DF"/>
    <w:rsid w:val="00236863"/>
    <w:rsid w:val="002505A8"/>
    <w:rsid w:val="00251835"/>
    <w:rsid w:val="002741BC"/>
    <w:rsid w:val="0028069B"/>
    <w:rsid w:val="00280BB9"/>
    <w:rsid w:val="00281729"/>
    <w:rsid w:val="00296707"/>
    <w:rsid w:val="002A7A76"/>
    <w:rsid w:val="002B73B8"/>
    <w:rsid w:val="002E7FFB"/>
    <w:rsid w:val="002F2432"/>
    <w:rsid w:val="002F37BE"/>
    <w:rsid w:val="00304338"/>
    <w:rsid w:val="00304482"/>
    <w:rsid w:val="00304862"/>
    <w:rsid w:val="003065DA"/>
    <w:rsid w:val="00325420"/>
    <w:rsid w:val="003457A2"/>
    <w:rsid w:val="003609A6"/>
    <w:rsid w:val="00391235"/>
    <w:rsid w:val="0039693E"/>
    <w:rsid w:val="003A3853"/>
    <w:rsid w:val="003A3A0A"/>
    <w:rsid w:val="003A586C"/>
    <w:rsid w:val="003C00F2"/>
    <w:rsid w:val="00431B02"/>
    <w:rsid w:val="0043206F"/>
    <w:rsid w:val="00434479"/>
    <w:rsid w:val="00435739"/>
    <w:rsid w:val="004357F6"/>
    <w:rsid w:val="004360D4"/>
    <w:rsid w:val="00450738"/>
    <w:rsid w:val="004711B7"/>
    <w:rsid w:val="00491A80"/>
    <w:rsid w:val="004A1011"/>
    <w:rsid w:val="004A365B"/>
    <w:rsid w:val="004B00FE"/>
    <w:rsid w:val="004B2C52"/>
    <w:rsid w:val="004B5D93"/>
    <w:rsid w:val="004B78DC"/>
    <w:rsid w:val="004C4C1F"/>
    <w:rsid w:val="004D1119"/>
    <w:rsid w:val="004D6899"/>
    <w:rsid w:val="004E1FB9"/>
    <w:rsid w:val="004E358E"/>
    <w:rsid w:val="0050458B"/>
    <w:rsid w:val="00540A96"/>
    <w:rsid w:val="005436AB"/>
    <w:rsid w:val="005820E4"/>
    <w:rsid w:val="00583BCF"/>
    <w:rsid w:val="00585E65"/>
    <w:rsid w:val="00597F96"/>
    <w:rsid w:val="005A045D"/>
    <w:rsid w:val="005A13E7"/>
    <w:rsid w:val="005E248E"/>
    <w:rsid w:val="005E3489"/>
    <w:rsid w:val="006943B3"/>
    <w:rsid w:val="006C141E"/>
    <w:rsid w:val="006E1129"/>
    <w:rsid w:val="00741254"/>
    <w:rsid w:val="007452EE"/>
    <w:rsid w:val="00747261"/>
    <w:rsid w:val="0077240A"/>
    <w:rsid w:val="0077463D"/>
    <w:rsid w:val="007A3A61"/>
    <w:rsid w:val="007B6AA1"/>
    <w:rsid w:val="007B734E"/>
    <w:rsid w:val="007D7009"/>
    <w:rsid w:val="007E2A73"/>
    <w:rsid w:val="00803EC1"/>
    <w:rsid w:val="00831570"/>
    <w:rsid w:val="00831598"/>
    <w:rsid w:val="00832E7B"/>
    <w:rsid w:val="00840D11"/>
    <w:rsid w:val="008414C4"/>
    <w:rsid w:val="008827E9"/>
    <w:rsid w:val="00885666"/>
    <w:rsid w:val="00890CB4"/>
    <w:rsid w:val="008C0DFA"/>
    <w:rsid w:val="008D216C"/>
    <w:rsid w:val="0090660F"/>
    <w:rsid w:val="0091488F"/>
    <w:rsid w:val="00923FFE"/>
    <w:rsid w:val="00935786"/>
    <w:rsid w:val="00943521"/>
    <w:rsid w:val="00946E48"/>
    <w:rsid w:val="00966BDB"/>
    <w:rsid w:val="0098239A"/>
    <w:rsid w:val="00985BE4"/>
    <w:rsid w:val="00992582"/>
    <w:rsid w:val="009D578D"/>
    <w:rsid w:val="009E1F3C"/>
    <w:rsid w:val="00A03477"/>
    <w:rsid w:val="00A04492"/>
    <w:rsid w:val="00A05A6D"/>
    <w:rsid w:val="00A265EB"/>
    <w:rsid w:val="00A27BCD"/>
    <w:rsid w:val="00A30B2B"/>
    <w:rsid w:val="00A366DA"/>
    <w:rsid w:val="00A4653C"/>
    <w:rsid w:val="00A857C0"/>
    <w:rsid w:val="00AB55F5"/>
    <w:rsid w:val="00AC359C"/>
    <w:rsid w:val="00AD1307"/>
    <w:rsid w:val="00AF0403"/>
    <w:rsid w:val="00B12579"/>
    <w:rsid w:val="00B12675"/>
    <w:rsid w:val="00B168B8"/>
    <w:rsid w:val="00B25845"/>
    <w:rsid w:val="00B41953"/>
    <w:rsid w:val="00B56FFC"/>
    <w:rsid w:val="00B618DD"/>
    <w:rsid w:val="00B71E55"/>
    <w:rsid w:val="00B82080"/>
    <w:rsid w:val="00B976A5"/>
    <w:rsid w:val="00BA10B7"/>
    <w:rsid w:val="00BA59D4"/>
    <w:rsid w:val="00BC016F"/>
    <w:rsid w:val="00BD0F79"/>
    <w:rsid w:val="00BD45F9"/>
    <w:rsid w:val="00BD4602"/>
    <w:rsid w:val="00BF1EF9"/>
    <w:rsid w:val="00BF74CD"/>
    <w:rsid w:val="00C06C2A"/>
    <w:rsid w:val="00C109C5"/>
    <w:rsid w:val="00C2137C"/>
    <w:rsid w:val="00C332CD"/>
    <w:rsid w:val="00C35C59"/>
    <w:rsid w:val="00C55E21"/>
    <w:rsid w:val="00C57AB3"/>
    <w:rsid w:val="00C60F63"/>
    <w:rsid w:val="00C70664"/>
    <w:rsid w:val="00C736CC"/>
    <w:rsid w:val="00C8066C"/>
    <w:rsid w:val="00C831E6"/>
    <w:rsid w:val="00C8366C"/>
    <w:rsid w:val="00C9422F"/>
    <w:rsid w:val="00CB5FBC"/>
    <w:rsid w:val="00CC5B11"/>
    <w:rsid w:val="00CE43AB"/>
    <w:rsid w:val="00CF4567"/>
    <w:rsid w:val="00D16578"/>
    <w:rsid w:val="00D20858"/>
    <w:rsid w:val="00D20B4D"/>
    <w:rsid w:val="00D20D96"/>
    <w:rsid w:val="00D507AC"/>
    <w:rsid w:val="00D541D9"/>
    <w:rsid w:val="00D65F28"/>
    <w:rsid w:val="00D94830"/>
    <w:rsid w:val="00DB20F7"/>
    <w:rsid w:val="00DB42CC"/>
    <w:rsid w:val="00DC6D9F"/>
    <w:rsid w:val="00DF73E8"/>
    <w:rsid w:val="00E1412C"/>
    <w:rsid w:val="00E206BA"/>
    <w:rsid w:val="00E2190E"/>
    <w:rsid w:val="00E3256D"/>
    <w:rsid w:val="00E50FE0"/>
    <w:rsid w:val="00E55E90"/>
    <w:rsid w:val="00E67307"/>
    <w:rsid w:val="00E91866"/>
    <w:rsid w:val="00E973DC"/>
    <w:rsid w:val="00EA5340"/>
    <w:rsid w:val="00EB6577"/>
    <w:rsid w:val="00EC4C45"/>
    <w:rsid w:val="00ED750C"/>
    <w:rsid w:val="00EE6337"/>
    <w:rsid w:val="00F003EB"/>
    <w:rsid w:val="00F05CC8"/>
    <w:rsid w:val="00F12B39"/>
    <w:rsid w:val="00F44333"/>
    <w:rsid w:val="00F523A1"/>
    <w:rsid w:val="00F550FD"/>
    <w:rsid w:val="00F74366"/>
    <w:rsid w:val="00F74475"/>
    <w:rsid w:val="00F80F5D"/>
    <w:rsid w:val="00F92BC4"/>
    <w:rsid w:val="00FA2BB4"/>
    <w:rsid w:val="00FA4172"/>
    <w:rsid w:val="00FA69D7"/>
    <w:rsid w:val="00FC3E1B"/>
    <w:rsid w:val="00FE055E"/>
    <w:rsid w:val="00FE1B8F"/>
    <w:rsid w:val="01045FF8"/>
    <w:rsid w:val="01347A59"/>
    <w:rsid w:val="01860FFD"/>
    <w:rsid w:val="019978BC"/>
    <w:rsid w:val="01B03E72"/>
    <w:rsid w:val="01E40996"/>
    <w:rsid w:val="01F44A7E"/>
    <w:rsid w:val="01FF1E15"/>
    <w:rsid w:val="02014771"/>
    <w:rsid w:val="025C7268"/>
    <w:rsid w:val="02704001"/>
    <w:rsid w:val="02AE43E6"/>
    <w:rsid w:val="02BA0F2C"/>
    <w:rsid w:val="02CA1493"/>
    <w:rsid w:val="02D212D8"/>
    <w:rsid w:val="03237D85"/>
    <w:rsid w:val="03355AC6"/>
    <w:rsid w:val="034B4BE6"/>
    <w:rsid w:val="03595555"/>
    <w:rsid w:val="03716391"/>
    <w:rsid w:val="03DB488C"/>
    <w:rsid w:val="03DD7ECB"/>
    <w:rsid w:val="042E3E7A"/>
    <w:rsid w:val="0438160E"/>
    <w:rsid w:val="04476A3E"/>
    <w:rsid w:val="046D71A3"/>
    <w:rsid w:val="04835B52"/>
    <w:rsid w:val="049F168E"/>
    <w:rsid w:val="04BF4B7C"/>
    <w:rsid w:val="04E16FC3"/>
    <w:rsid w:val="05093E02"/>
    <w:rsid w:val="05610E93"/>
    <w:rsid w:val="056B2E3F"/>
    <w:rsid w:val="058B77D9"/>
    <w:rsid w:val="05A21435"/>
    <w:rsid w:val="060D6631"/>
    <w:rsid w:val="06323F91"/>
    <w:rsid w:val="063F563F"/>
    <w:rsid w:val="06637EE0"/>
    <w:rsid w:val="068B1EC9"/>
    <w:rsid w:val="069E344E"/>
    <w:rsid w:val="06A50AB1"/>
    <w:rsid w:val="06A66D03"/>
    <w:rsid w:val="06C62F02"/>
    <w:rsid w:val="06CB49BC"/>
    <w:rsid w:val="06EC66E0"/>
    <w:rsid w:val="06FD7952"/>
    <w:rsid w:val="072F4F4B"/>
    <w:rsid w:val="07756652"/>
    <w:rsid w:val="078B5EF9"/>
    <w:rsid w:val="07917812"/>
    <w:rsid w:val="07D63493"/>
    <w:rsid w:val="07DE0C7F"/>
    <w:rsid w:val="07F70F96"/>
    <w:rsid w:val="08452491"/>
    <w:rsid w:val="08AC25CB"/>
    <w:rsid w:val="08F17FDE"/>
    <w:rsid w:val="08F341AF"/>
    <w:rsid w:val="090715AF"/>
    <w:rsid w:val="094B1DE4"/>
    <w:rsid w:val="099F7A3A"/>
    <w:rsid w:val="09A37037"/>
    <w:rsid w:val="09D75426"/>
    <w:rsid w:val="09FB7298"/>
    <w:rsid w:val="0A037FC9"/>
    <w:rsid w:val="0A5218C5"/>
    <w:rsid w:val="0A6A629A"/>
    <w:rsid w:val="0A9C488F"/>
    <w:rsid w:val="0AAE262A"/>
    <w:rsid w:val="0AB3623A"/>
    <w:rsid w:val="0ABB08A3"/>
    <w:rsid w:val="0AC27E20"/>
    <w:rsid w:val="0AD24FC1"/>
    <w:rsid w:val="0AEC1473"/>
    <w:rsid w:val="0B24469B"/>
    <w:rsid w:val="0B4D3BF1"/>
    <w:rsid w:val="0B75693E"/>
    <w:rsid w:val="0BA63302"/>
    <w:rsid w:val="0BAA5CF2"/>
    <w:rsid w:val="0BAB6550"/>
    <w:rsid w:val="0BD535BB"/>
    <w:rsid w:val="0C1B4CBB"/>
    <w:rsid w:val="0C262943"/>
    <w:rsid w:val="0C487236"/>
    <w:rsid w:val="0C504748"/>
    <w:rsid w:val="0C971723"/>
    <w:rsid w:val="0CC66462"/>
    <w:rsid w:val="0CD10852"/>
    <w:rsid w:val="0CD914B5"/>
    <w:rsid w:val="0CDA6FDD"/>
    <w:rsid w:val="0D156991"/>
    <w:rsid w:val="0D4C47B8"/>
    <w:rsid w:val="0D51729D"/>
    <w:rsid w:val="0DA47346"/>
    <w:rsid w:val="0DCD508D"/>
    <w:rsid w:val="0DE64068"/>
    <w:rsid w:val="0E002AFF"/>
    <w:rsid w:val="0E0335DB"/>
    <w:rsid w:val="0E1A3B33"/>
    <w:rsid w:val="0E222CE4"/>
    <w:rsid w:val="0E231EB3"/>
    <w:rsid w:val="0E323572"/>
    <w:rsid w:val="0E360AD7"/>
    <w:rsid w:val="0EE52393"/>
    <w:rsid w:val="0F206DD9"/>
    <w:rsid w:val="0F3B391C"/>
    <w:rsid w:val="0F485ED8"/>
    <w:rsid w:val="0F522693"/>
    <w:rsid w:val="0F6E05DA"/>
    <w:rsid w:val="0F986702"/>
    <w:rsid w:val="0FB42108"/>
    <w:rsid w:val="0FF70A37"/>
    <w:rsid w:val="10042E56"/>
    <w:rsid w:val="10676A48"/>
    <w:rsid w:val="10692007"/>
    <w:rsid w:val="10773889"/>
    <w:rsid w:val="10961B97"/>
    <w:rsid w:val="10AF5D80"/>
    <w:rsid w:val="10B95618"/>
    <w:rsid w:val="10E20EEB"/>
    <w:rsid w:val="11193B94"/>
    <w:rsid w:val="111A2694"/>
    <w:rsid w:val="11401B02"/>
    <w:rsid w:val="115B2DE0"/>
    <w:rsid w:val="11755A39"/>
    <w:rsid w:val="11A402E3"/>
    <w:rsid w:val="11AC53EA"/>
    <w:rsid w:val="11DD37F5"/>
    <w:rsid w:val="11E52AE4"/>
    <w:rsid w:val="12811AED"/>
    <w:rsid w:val="13274D28"/>
    <w:rsid w:val="13386F35"/>
    <w:rsid w:val="13486233"/>
    <w:rsid w:val="136367BD"/>
    <w:rsid w:val="13781651"/>
    <w:rsid w:val="137F4B64"/>
    <w:rsid w:val="138C2DA0"/>
    <w:rsid w:val="13AB2666"/>
    <w:rsid w:val="13B567D8"/>
    <w:rsid w:val="13E54A4B"/>
    <w:rsid w:val="13E73EF9"/>
    <w:rsid w:val="13EC5A1D"/>
    <w:rsid w:val="13F73DE2"/>
    <w:rsid w:val="13F84916"/>
    <w:rsid w:val="140069F7"/>
    <w:rsid w:val="144731A8"/>
    <w:rsid w:val="146F70B2"/>
    <w:rsid w:val="147C02DC"/>
    <w:rsid w:val="14950DDA"/>
    <w:rsid w:val="14956609"/>
    <w:rsid w:val="14AA3828"/>
    <w:rsid w:val="14F41582"/>
    <w:rsid w:val="150F3CBC"/>
    <w:rsid w:val="151B6B0E"/>
    <w:rsid w:val="155B515D"/>
    <w:rsid w:val="15685A60"/>
    <w:rsid w:val="157C0DB9"/>
    <w:rsid w:val="158435BB"/>
    <w:rsid w:val="158E5532"/>
    <w:rsid w:val="15A15172"/>
    <w:rsid w:val="15B23B51"/>
    <w:rsid w:val="15F0632F"/>
    <w:rsid w:val="15FD7F18"/>
    <w:rsid w:val="165F65E8"/>
    <w:rsid w:val="165F6ECF"/>
    <w:rsid w:val="16970417"/>
    <w:rsid w:val="16BE3BF5"/>
    <w:rsid w:val="16DA6E09"/>
    <w:rsid w:val="171C72A7"/>
    <w:rsid w:val="173C0EF9"/>
    <w:rsid w:val="177967DB"/>
    <w:rsid w:val="17BE27BF"/>
    <w:rsid w:val="17C16E72"/>
    <w:rsid w:val="17CB1275"/>
    <w:rsid w:val="17DC462E"/>
    <w:rsid w:val="17E55A59"/>
    <w:rsid w:val="17FA6401"/>
    <w:rsid w:val="181810E3"/>
    <w:rsid w:val="181B0BD3"/>
    <w:rsid w:val="181D5DB3"/>
    <w:rsid w:val="18356139"/>
    <w:rsid w:val="185A794E"/>
    <w:rsid w:val="18623338"/>
    <w:rsid w:val="18722EE9"/>
    <w:rsid w:val="188D1AD1"/>
    <w:rsid w:val="18B04F15"/>
    <w:rsid w:val="18BB4569"/>
    <w:rsid w:val="18BD228D"/>
    <w:rsid w:val="18C20160"/>
    <w:rsid w:val="18D17A51"/>
    <w:rsid w:val="194128BC"/>
    <w:rsid w:val="194A0DD3"/>
    <w:rsid w:val="197C1B46"/>
    <w:rsid w:val="19B10372"/>
    <w:rsid w:val="1A0758B3"/>
    <w:rsid w:val="1A0F4768"/>
    <w:rsid w:val="1A161863"/>
    <w:rsid w:val="1A345F7C"/>
    <w:rsid w:val="1A6004C9"/>
    <w:rsid w:val="1A727340"/>
    <w:rsid w:val="1AD23364"/>
    <w:rsid w:val="1ADF61E3"/>
    <w:rsid w:val="1B100C4B"/>
    <w:rsid w:val="1B707488"/>
    <w:rsid w:val="1B741F16"/>
    <w:rsid w:val="1BAD747D"/>
    <w:rsid w:val="1BB219A5"/>
    <w:rsid w:val="1C1D46ED"/>
    <w:rsid w:val="1C5E1768"/>
    <w:rsid w:val="1C9378D2"/>
    <w:rsid w:val="1CBC0A28"/>
    <w:rsid w:val="1CF00880"/>
    <w:rsid w:val="1D185917"/>
    <w:rsid w:val="1D2D73DF"/>
    <w:rsid w:val="1D985E44"/>
    <w:rsid w:val="1DBC4C07"/>
    <w:rsid w:val="1DF61A66"/>
    <w:rsid w:val="1DFA6A3F"/>
    <w:rsid w:val="1E0D0522"/>
    <w:rsid w:val="1E154E95"/>
    <w:rsid w:val="1EA77B06"/>
    <w:rsid w:val="1EFB5609"/>
    <w:rsid w:val="1F084F8E"/>
    <w:rsid w:val="1F2E4F06"/>
    <w:rsid w:val="1FA064F6"/>
    <w:rsid w:val="1FA15E62"/>
    <w:rsid w:val="1FE02E2E"/>
    <w:rsid w:val="2011360D"/>
    <w:rsid w:val="20290272"/>
    <w:rsid w:val="2056595D"/>
    <w:rsid w:val="20622C48"/>
    <w:rsid w:val="208533E9"/>
    <w:rsid w:val="208F14F4"/>
    <w:rsid w:val="20937887"/>
    <w:rsid w:val="20B3409F"/>
    <w:rsid w:val="20BD0DF5"/>
    <w:rsid w:val="20DA787E"/>
    <w:rsid w:val="20DB27EF"/>
    <w:rsid w:val="20E16435"/>
    <w:rsid w:val="21011E7F"/>
    <w:rsid w:val="21044F44"/>
    <w:rsid w:val="2113350E"/>
    <w:rsid w:val="21254871"/>
    <w:rsid w:val="2127683B"/>
    <w:rsid w:val="214D44F3"/>
    <w:rsid w:val="21537630"/>
    <w:rsid w:val="21777C4E"/>
    <w:rsid w:val="21DF4061"/>
    <w:rsid w:val="21F64C20"/>
    <w:rsid w:val="220844BC"/>
    <w:rsid w:val="221779C6"/>
    <w:rsid w:val="221F0038"/>
    <w:rsid w:val="22400AFD"/>
    <w:rsid w:val="22576CAC"/>
    <w:rsid w:val="225B49EE"/>
    <w:rsid w:val="227635D6"/>
    <w:rsid w:val="22C5665C"/>
    <w:rsid w:val="23040BE2"/>
    <w:rsid w:val="231B417D"/>
    <w:rsid w:val="232E3EB1"/>
    <w:rsid w:val="23782D02"/>
    <w:rsid w:val="23883183"/>
    <w:rsid w:val="23A64016"/>
    <w:rsid w:val="23A7553A"/>
    <w:rsid w:val="23AC41BC"/>
    <w:rsid w:val="23F054E8"/>
    <w:rsid w:val="2464496B"/>
    <w:rsid w:val="247E2C39"/>
    <w:rsid w:val="2482784A"/>
    <w:rsid w:val="25033ECC"/>
    <w:rsid w:val="252512E3"/>
    <w:rsid w:val="252B60AC"/>
    <w:rsid w:val="25975C1A"/>
    <w:rsid w:val="25A91F14"/>
    <w:rsid w:val="25D231E7"/>
    <w:rsid w:val="25F74A2E"/>
    <w:rsid w:val="260D5FFF"/>
    <w:rsid w:val="262F0AD0"/>
    <w:rsid w:val="269C2A3E"/>
    <w:rsid w:val="26AF48F6"/>
    <w:rsid w:val="26BB4E1C"/>
    <w:rsid w:val="26D727E9"/>
    <w:rsid w:val="26F07935"/>
    <w:rsid w:val="2700232B"/>
    <w:rsid w:val="271D0C2C"/>
    <w:rsid w:val="27272C82"/>
    <w:rsid w:val="27582F39"/>
    <w:rsid w:val="27734588"/>
    <w:rsid w:val="27966193"/>
    <w:rsid w:val="27B150B0"/>
    <w:rsid w:val="27C31800"/>
    <w:rsid w:val="27FC27CF"/>
    <w:rsid w:val="2824493A"/>
    <w:rsid w:val="28305FD5"/>
    <w:rsid w:val="286B0C04"/>
    <w:rsid w:val="28727ED3"/>
    <w:rsid w:val="287B12EA"/>
    <w:rsid w:val="287C1ED9"/>
    <w:rsid w:val="28814AE4"/>
    <w:rsid w:val="28A02FC5"/>
    <w:rsid w:val="28DC2D8F"/>
    <w:rsid w:val="28E8683A"/>
    <w:rsid w:val="2907142C"/>
    <w:rsid w:val="293549C5"/>
    <w:rsid w:val="293B709E"/>
    <w:rsid w:val="29482436"/>
    <w:rsid w:val="294F1C6A"/>
    <w:rsid w:val="29567BFF"/>
    <w:rsid w:val="296D5007"/>
    <w:rsid w:val="297D524A"/>
    <w:rsid w:val="299B592F"/>
    <w:rsid w:val="29B3298F"/>
    <w:rsid w:val="29DB7F66"/>
    <w:rsid w:val="29E115E0"/>
    <w:rsid w:val="29ED34E1"/>
    <w:rsid w:val="29FB4456"/>
    <w:rsid w:val="2A1D54CD"/>
    <w:rsid w:val="2A464981"/>
    <w:rsid w:val="2A64640A"/>
    <w:rsid w:val="2A7D3AEC"/>
    <w:rsid w:val="2B13677D"/>
    <w:rsid w:val="2B1D6617"/>
    <w:rsid w:val="2B580DAA"/>
    <w:rsid w:val="2B6A1ADE"/>
    <w:rsid w:val="2B795EE5"/>
    <w:rsid w:val="2B9D683D"/>
    <w:rsid w:val="2BF13CCD"/>
    <w:rsid w:val="2C177AA6"/>
    <w:rsid w:val="2C6943F6"/>
    <w:rsid w:val="2CA57671"/>
    <w:rsid w:val="2CAB2235"/>
    <w:rsid w:val="2CBC42DB"/>
    <w:rsid w:val="2CDC672B"/>
    <w:rsid w:val="2D092AEB"/>
    <w:rsid w:val="2D420C2B"/>
    <w:rsid w:val="2D8A43D9"/>
    <w:rsid w:val="2D8D5C78"/>
    <w:rsid w:val="2DA03BFD"/>
    <w:rsid w:val="2DF96CD3"/>
    <w:rsid w:val="2DFA155F"/>
    <w:rsid w:val="2E091875"/>
    <w:rsid w:val="2E243688"/>
    <w:rsid w:val="2E374561"/>
    <w:rsid w:val="2E4D01CF"/>
    <w:rsid w:val="2E7035CF"/>
    <w:rsid w:val="2E755089"/>
    <w:rsid w:val="2E862DF3"/>
    <w:rsid w:val="2EB8678E"/>
    <w:rsid w:val="2EC224EB"/>
    <w:rsid w:val="2EC6148C"/>
    <w:rsid w:val="2ECE2D07"/>
    <w:rsid w:val="2F5F6F71"/>
    <w:rsid w:val="2F642A08"/>
    <w:rsid w:val="2F6C2A70"/>
    <w:rsid w:val="2FC61A5D"/>
    <w:rsid w:val="300B11D6"/>
    <w:rsid w:val="304039C7"/>
    <w:rsid w:val="30580804"/>
    <w:rsid w:val="306727B0"/>
    <w:rsid w:val="306741AE"/>
    <w:rsid w:val="309E0440"/>
    <w:rsid w:val="30B11C7D"/>
    <w:rsid w:val="30EC41E7"/>
    <w:rsid w:val="30F03A67"/>
    <w:rsid w:val="310F3573"/>
    <w:rsid w:val="31326157"/>
    <w:rsid w:val="314527A4"/>
    <w:rsid w:val="31853836"/>
    <w:rsid w:val="31B26FC2"/>
    <w:rsid w:val="31D10829"/>
    <w:rsid w:val="32004C6A"/>
    <w:rsid w:val="32277DDB"/>
    <w:rsid w:val="324059AE"/>
    <w:rsid w:val="3272052C"/>
    <w:rsid w:val="32810DDC"/>
    <w:rsid w:val="328E3A70"/>
    <w:rsid w:val="32987598"/>
    <w:rsid w:val="32DD025D"/>
    <w:rsid w:val="33091EDA"/>
    <w:rsid w:val="33125CC3"/>
    <w:rsid w:val="33134E71"/>
    <w:rsid w:val="332A465C"/>
    <w:rsid w:val="33336A0F"/>
    <w:rsid w:val="333429AC"/>
    <w:rsid w:val="336851BD"/>
    <w:rsid w:val="33745910"/>
    <w:rsid w:val="339701CB"/>
    <w:rsid w:val="33CB10BE"/>
    <w:rsid w:val="33D30B5A"/>
    <w:rsid w:val="33EE14FB"/>
    <w:rsid w:val="33F31088"/>
    <w:rsid w:val="34192013"/>
    <w:rsid w:val="34586228"/>
    <w:rsid w:val="34866F92"/>
    <w:rsid w:val="3497045B"/>
    <w:rsid w:val="34BC46A1"/>
    <w:rsid w:val="34EE34A0"/>
    <w:rsid w:val="35181906"/>
    <w:rsid w:val="351F6D34"/>
    <w:rsid w:val="355E7FC2"/>
    <w:rsid w:val="35675344"/>
    <w:rsid w:val="35797728"/>
    <w:rsid w:val="35AE2C2F"/>
    <w:rsid w:val="35BE09FB"/>
    <w:rsid w:val="35C53375"/>
    <w:rsid w:val="35D72186"/>
    <w:rsid w:val="3616700F"/>
    <w:rsid w:val="36630C68"/>
    <w:rsid w:val="366D4898"/>
    <w:rsid w:val="36E439A5"/>
    <w:rsid w:val="36F54FB9"/>
    <w:rsid w:val="36F56F35"/>
    <w:rsid w:val="37172A12"/>
    <w:rsid w:val="373B1D7C"/>
    <w:rsid w:val="37403D5B"/>
    <w:rsid w:val="375E44A2"/>
    <w:rsid w:val="37732734"/>
    <w:rsid w:val="37765445"/>
    <w:rsid w:val="37DC09ED"/>
    <w:rsid w:val="37DD65CE"/>
    <w:rsid w:val="37DF3574"/>
    <w:rsid w:val="37F20283"/>
    <w:rsid w:val="37F37D4A"/>
    <w:rsid w:val="37FB65FF"/>
    <w:rsid w:val="380A71F1"/>
    <w:rsid w:val="383F0638"/>
    <w:rsid w:val="384F11F9"/>
    <w:rsid w:val="388209BB"/>
    <w:rsid w:val="38C45479"/>
    <w:rsid w:val="38D45B95"/>
    <w:rsid w:val="391B4898"/>
    <w:rsid w:val="394C2E8B"/>
    <w:rsid w:val="398F6A47"/>
    <w:rsid w:val="39CD3FCC"/>
    <w:rsid w:val="3A141BDE"/>
    <w:rsid w:val="3A5727A0"/>
    <w:rsid w:val="3A695799"/>
    <w:rsid w:val="3A766411"/>
    <w:rsid w:val="3A8D1EDA"/>
    <w:rsid w:val="3A982445"/>
    <w:rsid w:val="3AA83D7D"/>
    <w:rsid w:val="3AAD03B1"/>
    <w:rsid w:val="3ADA530C"/>
    <w:rsid w:val="3AF95CDE"/>
    <w:rsid w:val="3B020A5E"/>
    <w:rsid w:val="3B243C18"/>
    <w:rsid w:val="3B7B38F8"/>
    <w:rsid w:val="3BA545FB"/>
    <w:rsid w:val="3BB33DF4"/>
    <w:rsid w:val="3C1A101E"/>
    <w:rsid w:val="3C3140F9"/>
    <w:rsid w:val="3C4D31A2"/>
    <w:rsid w:val="3C5B1FF9"/>
    <w:rsid w:val="3C6754B8"/>
    <w:rsid w:val="3C871BB0"/>
    <w:rsid w:val="3C8C24BF"/>
    <w:rsid w:val="3C9963E7"/>
    <w:rsid w:val="3CB6484E"/>
    <w:rsid w:val="3CCC7F91"/>
    <w:rsid w:val="3CE63B74"/>
    <w:rsid w:val="3CF25086"/>
    <w:rsid w:val="3D5B00DB"/>
    <w:rsid w:val="3D5B18EE"/>
    <w:rsid w:val="3D7867CE"/>
    <w:rsid w:val="3D9D3CB5"/>
    <w:rsid w:val="3DBC4B16"/>
    <w:rsid w:val="3DD222A2"/>
    <w:rsid w:val="3E3143FD"/>
    <w:rsid w:val="3E682515"/>
    <w:rsid w:val="3E6C05EC"/>
    <w:rsid w:val="3E9429FD"/>
    <w:rsid w:val="3EDC080D"/>
    <w:rsid w:val="3EEE5C61"/>
    <w:rsid w:val="3F077D59"/>
    <w:rsid w:val="3F5C2E5F"/>
    <w:rsid w:val="3F7266BD"/>
    <w:rsid w:val="3F886515"/>
    <w:rsid w:val="3F8D1844"/>
    <w:rsid w:val="3FB452E6"/>
    <w:rsid w:val="3FB60926"/>
    <w:rsid w:val="3FDA2F9E"/>
    <w:rsid w:val="3FEF5AE6"/>
    <w:rsid w:val="400D0B42"/>
    <w:rsid w:val="40231FC6"/>
    <w:rsid w:val="40452F0E"/>
    <w:rsid w:val="408A77C1"/>
    <w:rsid w:val="408F5EAA"/>
    <w:rsid w:val="40D6496D"/>
    <w:rsid w:val="40FB367F"/>
    <w:rsid w:val="40FD087F"/>
    <w:rsid w:val="4134048C"/>
    <w:rsid w:val="41456891"/>
    <w:rsid w:val="4153056A"/>
    <w:rsid w:val="4154171B"/>
    <w:rsid w:val="419B0E80"/>
    <w:rsid w:val="41AB7881"/>
    <w:rsid w:val="41C07C31"/>
    <w:rsid w:val="41C43ADD"/>
    <w:rsid w:val="427A4BD7"/>
    <w:rsid w:val="42A463CD"/>
    <w:rsid w:val="42DC527F"/>
    <w:rsid w:val="42F629C9"/>
    <w:rsid w:val="432F47FC"/>
    <w:rsid w:val="43413334"/>
    <w:rsid w:val="439A1FE3"/>
    <w:rsid w:val="439C1D41"/>
    <w:rsid w:val="43F57FB5"/>
    <w:rsid w:val="444D31C4"/>
    <w:rsid w:val="446948F1"/>
    <w:rsid w:val="44A21CDC"/>
    <w:rsid w:val="44B53832"/>
    <w:rsid w:val="44C164DB"/>
    <w:rsid w:val="44D02796"/>
    <w:rsid w:val="44F97014"/>
    <w:rsid w:val="45240818"/>
    <w:rsid w:val="45380C3F"/>
    <w:rsid w:val="46357180"/>
    <w:rsid w:val="463C1DA6"/>
    <w:rsid w:val="466228E5"/>
    <w:rsid w:val="468C48C7"/>
    <w:rsid w:val="46DA7F1E"/>
    <w:rsid w:val="46E113E6"/>
    <w:rsid w:val="46F54B62"/>
    <w:rsid w:val="47032E2E"/>
    <w:rsid w:val="472A27F2"/>
    <w:rsid w:val="47352A87"/>
    <w:rsid w:val="47717E48"/>
    <w:rsid w:val="47F12FB3"/>
    <w:rsid w:val="481337B3"/>
    <w:rsid w:val="481B3E57"/>
    <w:rsid w:val="483B72D6"/>
    <w:rsid w:val="486D6145"/>
    <w:rsid w:val="48732475"/>
    <w:rsid w:val="487D6D04"/>
    <w:rsid w:val="48BA09F9"/>
    <w:rsid w:val="48CE7418"/>
    <w:rsid w:val="48DE3A09"/>
    <w:rsid w:val="49174285"/>
    <w:rsid w:val="492434DC"/>
    <w:rsid w:val="49A81BEF"/>
    <w:rsid w:val="49A94C8B"/>
    <w:rsid w:val="49C66341"/>
    <w:rsid w:val="49E50EBD"/>
    <w:rsid w:val="4A055651"/>
    <w:rsid w:val="4A1043C2"/>
    <w:rsid w:val="4A170655"/>
    <w:rsid w:val="4A1C635C"/>
    <w:rsid w:val="4A222B6B"/>
    <w:rsid w:val="4A894D04"/>
    <w:rsid w:val="4A987CDE"/>
    <w:rsid w:val="4AC97E97"/>
    <w:rsid w:val="4B4742D6"/>
    <w:rsid w:val="4B874A19"/>
    <w:rsid w:val="4BA77F6A"/>
    <w:rsid w:val="4BAA6EFE"/>
    <w:rsid w:val="4BED4059"/>
    <w:rsid w:val="4BFE6267"/>
    <w:rsid w:val="4C055307"/>
    <w:rsid w:val="4C1635B0"/>
    <w:rsid w:val="4C1768B9"/>
    <w:rsid w:val="4C381AF3"/>
    <w:rsid w:val="4C561BFF"/>
    <w:rsid w:val="4C60482B"/>
    <w:rsid w:val="4C6753F2"/>
    <w:rsid w:val="4C905F02"/>
    <w:rsid w:val="4CA85DE0"/>
    <w:rsid w:val="4DFC0584"/>
    <w:rsid w:val="4E0536BC"/>
    <w:rsid w:val="4E231FB4"/>
    <w:rsid w:val="4E3F4147"/>
    <w:rsid w:val="4E4463D1"/>
    <w:rsid w:val="4EB15B36"/>
    <w:rsid w:val="4ED84B4D"/>
    <w:rsid w:val="4F644B7C"/>
    <w:rsid w:val="4F6C7880"/>
    <w:rsid w:val="4F8C5EB6"/>
    <w:rsid w:val="4FBA0DCA"/>
    <w:rsid w:val="4FC55532"/>
    <w:rsid w:val="4FF10515"/>
    <w:rsid w:val="50632787"/>
    <w:rsid w:val="506F7733"/>
    <w:rsid w:val="507F4970"/>
    <w:rsid w:val="50BB4726"/>
    <w:rsid w:val="50DB07E6"/>
    <w:rsid w:val="5122707B"/>
    <w:rsid w:val="512C59EF"/>
    <w:rsid w:val="513E09A4"/>
    <w:rsid w:val="514105E8"/>
    <w:rsid w:val="517B1DB7"/>
    <w:rsid w:val="517B5C63"/>
    <w:rsid w:val="519D6EDF"/>
    <w:rsid w:val="51A83F47"/>
    <w:rsid w:val="51C16DDF"/>
    <w:rsid w:val="52067C23"/>
    <w:rsid w:val="5212644C"/>
    <w:rsid w:val="52302EF2"/>
    <w:rsid w:val="526C121A"/>
    <w:rsid w:val="52A42F98"/>
    <w:rsid w:val="52C06726"/>
    <w:rsid w:val="52CA31D2"/>
    <w:rsid w:val="52FA552B"/>
    <w:rsid w:val="53104950"/>
    <w:rsid w:val="533B1F5B"/>
    <w:rsid w:val="53764C6A"/>
    <w:rsid w:val="537D3F15"/>
    <w:rsid w:val="53C73F50"/>
    <w:rsid w:val="53D80EDC"/>
    <w:rsid w:val="5406567C"/>
    <w:rsid w:val="54352A41"/>
    <w:rsid w:val="546B6463"/>
    <w:rsid w:val="548C1D4B"/>
    <w:rsid w:val="549B1D1E"/>
    <w:rsid w:val="54DF34AD"/>
    <w:rsid w:val="54E07B03"/>
    <w:rsid w:val="54E1625F"/>
    <w:rsid w:val="55374E0D"/>
    <w:rsid w:val="558F2D65"/>
    <w:rsid w:val="55A67856"/>
    <w:rsid w:val="55C16103"/>
    <w:rsid w:val="564C5E20"/>
    <w:rsid w:val="565C177E"/>
    <w:rsid w:val="565C7167"/>
    <w:rsid w:val="56C31025"/>
    <w:rsid w:val="56DE2088"/>
    <w:rsid w:val="57415823"/>
    <w:rsid w:val="575D16E2"/>
    <w:rsid w:val="5768713E"/>
    <w:rsid w:val="579815E3"/>
    <w:rsid w:val="5801622C"/>
    <w:rsid w:val="5803005A"/>
    <w:rsid w:val="580D0C76"/>
    <w:rsid w:val="587068EC"/>
    <w:rsid w:val="5876200F"/>
    <w:rsid w:val="589113C5"/>
    <w:rsid w:val="58941B42"/>
    <w:rsid w:val="58A41F44"/>
    <w:rsid w:val="58C24535"/>
    <w:rsid w:val="58E862D4"/>
    <w:rsid w:val="58F22CAF"/>
    <w:rsid w:val="591F2C79"/>
    <w:rsid w:val="5933691A"/>
    <w:rsid w:val="593E565E"/>
    <w:rsid w:val="59433BF2"/>
    <w:rsid w:val="59967ADE"/>
    <w:rsid w:val="59AC3756"/>
    <w:rsid w:val="59DC2D4B"/>
    <w:rsid w:val="5A150049"/>
    <w:rsid w:val="5A194AA6"/>
    <w:rsid w:val="5A1E07D1"/>
    <w:rsid w:val="5A27035A"/>
    <w:rsid w:val="5A4200D0"/>
    <w:rsid w:val="5A5879DD"/>
    <w:rsid w:val="5A9601F2"/>
    <w:rsid w:val="5A9F5449"/>
    <w:rsid w:val="5ABD6F6C"/>
    <w:rsid w:val="5AD54636"/>
    <w:rsid w:val="5B024BF5"/>
    <w:rsid w:val="5B3038ED"/>
    <w:rsid w:val="5B345198"/>
    <w:rsid w:val="5B351579"/>
    <w:rsid w:val="5B9316CA"/>
    <w:rsid w:val="5BCD1109"/>
    <w:rsid w:val="5BE51C20"/>
    <w:rsid w:val="5C2C472A"/>
    <w:rsid w:val="5C2D3FFE"/>
    <w:rsid w:val="5C3A263A"/>
    <w:rsid w:val="5C467A77"/>
    <w:rsid w:val="5C4A09A4"/>
    <w:rsid w:val="5C673EA1"/>
    <w:rsid w:val="5C735EB5"/>
    <w:rsid w:val="5C7943F6"/>
    <w:rsid w:val="5C964DE4"/>
    <w:rsid w:val="5CD5091E"/>
    <w:rsid w:val="5CF36CFA"/>
    <w:rsid w:val="5D290AB6"/>
    <w:rsid w:val="5D2D778D"/>
    <w:rsid w:val="5D46181B"/>
    <w:rsid w:val="5D4F25B0"/>
    <w:rsid w:val="5D9B2712"/>
    <w:rsid w:val="5DAE282C"/>
    <w:rsid w:val="5DBD238C"/>
    <w:rsid w:val="5DEB4069"/>
    <w:rsid w:val="5DFA555B"/>
    <w:rsid w:val="5E0A7B65"/>
    <w:rsid w:val="5E2D7601"/>
    <w:rsid w:val="5E4D401A"/>
    <w:rsid w:val="5E565D7A"/>
    <w:rsid w:val="5E7F4425"/>
    <w:rsid w:val="5EA60573"/>
    <w:rsid w:val="5ECF48AF"/>
    <w:rsid w:val="5F085821"/>
    <w:rsid w:val="5F155949"/>
    <w:rsid w:val="5F5A15AE"/>
    <w:rsid w:val="5F8B636A"/>
    <w:rsid w:val="5F9E76ED"/>
    <w:rsid w:val="5FC737E5"/>
    <w:rsid w:val="5FD4742A"/>
    <w:rsid w:val="5FF3766A"/>
    <w:rsid w:val="600C0AFA"/>
    <w:rsid w:val="606F72DB"/>
    <w:rsid w:val="60771CEC"/>
    <w:rsid w:val="607E2FFB"/>
    <w:rsid w:val="60B02A3C"/>
    <w:rsid w:val="612341A0"/>
    <w:rsid w:val="613025C6"/>
    <w:rsid w:val="6132342B"/>
    <w:rsid w:val="61346363"/>
    <w:rsid w:val="61370C95"/>
    <w:rsid w:val="615564D1"/>
    <w:rsid w:val="61A10A44"/>
    <w:rsid w:val="61D45648"/>
    <w:rsid w:val="61D767FF"/>
    <w:rsid w:val="61E354C6"/>
    <w:rsid w:val="621E4B15"/>
    <w:rsid w:val="630C4937"/>
    <w:rsid w:val="637644DD"/>
    <w:rsid w:val="637A5D7B"/>
    <w:rsid w:val="639A01CB"/>
    <w:rsid w:val="63E15DFA"/>
    <w:rsid w:val="63F024E1"/>
    <w:rsid w:val="64340620"/>
    <w:rsid w:val="64515F29"/>
    <w:rsid w:val="64607667"/>
    <w:rsid w:val="648733A2"/>
    <w:rsid w:val="648D6D4A"/>
    <w:rsid w:val="64B166E0"/>
    <w:rsid w:val="64BC23C3"/>
    <w:rsid w:val="64D12312"/>
    <w:rsid w:val="64D2239D"/>
    <w:rsid w:val="64E54AD9"/>
    <w:rsid w:val="64EE6A20"/>
    <w:rsid w:val="65006754"/>
    <w:rsid w:val="651F307E"/>
    <w:rsid w:val="65D75FCA"/>
    <w:rsid w:val="65E63B9C"/>
    <w:rsid w:val="65E67F85"/>
    <w:rsid w:val="662E109F"/>
    <w:rsid w:val="663552BB"/>
    <w:rsid w:val="666D7E19"/>
    <w:rsid w:val="66713719"/>
    <w:rsid w:val="6689527F"/>
    <w:rsid w:val="668F7F83"/>
    <w:rsid w:val="66CF1C5A"/>
    <w:rsid w:val="67073DC9"/>
    <w:rsid w:val="671B7875"/>
    <w:rsid w:val="673B76B2"/>
    <w:rsid w:val="676247C5"/>
    <w:rsid w:val="677B0EE3"/>
    <w:rsid w:val="67915D89"/>
    <w:rsid w:val="67B75DB8"/>
    <w:rsid w:val="67B85773"/>
    <w:rsid w:val="67CC0B6F"/>
    <w:rsid w:val="6811381E"/>
    <w:rsid w:val="681452F7"/>
    <w:rsid w:val="682631E7"/>
    <w:rsid w:val="68373F2A"/>
    <w:rsid w:val="68397CBD"/>
    <w:rsid w:val="6841703F"/>
    <w:rsid w:val="68576CF6"/>
    <w:rsid w:val="685E327B"/>
    <w:rsid w:val="68637725"/>
    <w:rsid w:val="688D6729"/>
    <w:rsid w:val="690E6946"/>
    <w:rsid w:val="691870BA"/>
    <w:rsid w:val="693D79AC"/>
    <w:rsid w:val="69554B4A"/>
    <w:rsid w:val="696E0130"/>
    <w:rsid w:val="6A0B4806"/>
    <w:rsid w:val="6A153CCB"/>
    <w:rsid w:val="6A6D0165"/>
    <w:rsid w:val="6AC02C0D"/>
    <w:rsid w:val="6AF549E1"/>
    <w:rsid w:val="6B3F5BF1"/>
    <w:rsid w:val="6B5D0043"/>
    <w:rsid w:val="6B6D212A"/>
    <w:rsid w:val="6B7C494F"/>
    <w:rsid w:val="6B9E0A74"/>
    <w:rsid w:val="6C2451C3"/>
    <w:rsid w:val="6C293840"/>
    <w:rsid w:val="6C39748F"/>
    <w:rsid w:val="6C613F7C"/>
    <w:rsid w:val="6CCF5389"/>
    <w:rsid w:val="6CD429E7"/>
    <w:rsid w:val="6CDE126B"/>
    <w:rsid w:val="6D0425AA"/>
    <w:rsid w:val="6D1B3D20"/>
    <w:rsid w:val="6D1C3644"/>
    <w:rsid w:val="6D62775E"/>
    <w:rsid w:val="6D66387F"/>
    <w:rsid w:val="6D696276"/>
    <w:rsid w:val="6D723F67"/>
    <w:rsid w:val="6D853C9A"/>
    <w:rsid w:val="6DC72505"/>
    <w:rsid w:val="6DCF3167"/>
    <w:rsid w:val="6DEE183F"/>
    <w:rsid w:val="6DFA4688"/>
    <w:rsid w:val="6E2C05BA"/>
    <w:rsid w:val="6E3D233E"/>
    <w:rsid w:val="6E4A7212"/>
    <w:rsid w:val="6E515655"/>
    <w:rsid w:val="6E5F44EB"/>
    <w:rsid w:val="6E9F1820"/>
    <w:rsid w:val="6EA63EC8"/>
    <w:rsid w:val="6EAC4A51"/>
    <w:rsid w:val="6ED8429D"/>
    <w:rsid w:val="6EEF7ADA"/>
    <w:rsid w:val="6EF366C6"/>
    <w:rsid w:val="6F10414F"/>
    <w:rsid w:val="6F6049BF"/>
    <w:rsid w:val="6F61428E"/>
    <w:rsid w:val="6F7C7CCA"/>
    <w:rsid w:val="6FA9513C"/>
    <w:rsid w:val="6FAD218F"/>
    <w:rsid w:val="6FD84D69"/>
    <w:rsid w:val="700100A9"/>
    <w:rsid w:val="700B3B94"/>
    <w:rsid w:val="70704B16"/>
    <w:rsid w:val="70951216"/>
    <w:rsid w:val="709E51C6"/>
    <w:rsid w:val="70AA6B3D"/>
    <w:rsid w:val="70BB6589"/>
    <w:rsid w:val="70DE2873"/>
    <w:rsid w:val="70EA09B6"/>
    <w:rsid w:val="71105DB6"/>
    <w:rsid w:val="712B4B58"/>
    <w:rsid w:val="71601701"/>
    <w:rsid w:val="71D36A8E"/>
    <w:rsid w:val="71E116BB"/>
    <w:rsid w:val="724203AC"/>
    <w:rsid w:val="72783003"/>
    <w:rsid w:val="732A4476"/>
    <w:rsid w:val="734939BC"/>
    <w:rsid w:val="737722D7"/>
    <w:rsid w:val="737F2F3A"/>
    <w:rsid w:val="739B4217"/>
    <w:rsid w:val="739D5501"/>
    <w:rsid w:val="73A82076"/>
    <w:rsid w:val="73B3550E"/>
    <w:rsid w:val="73DE5EB2"/>
    <w:rsid w:val="73E640A2"/>
    <w:rsid w:val="73EB6821"/>
    <w:rsid w:val="73F9496E"/>
    <w:rsid w:val="74365CEE"/>
    <w:rsid w:val="74373E38"/>
    <w:rsid w:val="7439758C"/>
    <w:rsid w:val="7463285B"/>
    <w:rsid w:val="74716D26"/>
    <w:rsid w:val="747F7C08"/>
    <w:rsid w:val="748B49D0"/>
    <w:rsid w:val="749647E1"/>
    <w:rsid w:val="74A16CCE"/>
    <w:rsid w:val="74AF5AA0"/>
    <w:rsid w:val="74B020B5"/>
    <w:rsid w:val="74FA645E"/>
    <w:rsid w:val="74FC2E48"/>
    <w:rsid w:val="75224D8F"/>
    <w:rsid w:val="752465B1"/>
    <w:rsid w:val="7532034F"/>
    <w:rsid w:val="75355FA6"/>
    <w:rsid w:val="757840E4"/>
    <w:rsid w:val="7579479C"/>
    <w:rsid w:val="758C0EC1"/>
    <w:rsid w:val="758E00D6"/>
    <w:rsid w:val="75D27E21"/>
    <w:rsid w:val="75E07329"/>
    <w:rsid w:val="764D37C3"/>
    <w:rsid w:val="764D73C9"/>
    <w:rsid w:val="768F7584"/>
    <w:rsid w:val="769108ED"/>
    <w:rsid w:val="76BF646F"/>
    <w:rsid w:val="76D2443F"/>
    <w:rsid w:val="77170059"/>
    <w:rsid w:val="77462A75"/>
    <w:rsid w:val="77703019"/>
    <w:rsid w:val="777D664A"/>
    <w:rsid w:val="77924949"/>
    <w:rsid w:val="77DB72D8"/>
    <w:rsid w:val="78592B07"/>
    <w:rsid w:val="788014CE"/>
    <w:rsid w:val="7888017B"/>
    <w:rsid w:val="78A83C61"/>
    <w:rsid w:val="78FD69C9"/>
    <w:rsid w:val="790740FD"/>
    <w:rsid w:val="7908404B"/>
    <w:rsid w:val="792B7DEB"/>
    <w:rsid w:val="79312F28"/>
    <w:rsid w:val="796926C2"/>
    <w:rsid w:val="796C5667"/>
    <w:rsid w:val="79802189"/>
    <w:rsid w:val="79A944B0"/>
    <w:rsid w:val="79E920C0"/>
    <w:rsid w:val="79FE72AE"/>
    <w:rsid w:val="7A2B0639"/>
    <w:rsid w:val="7A902BE2"/>
    <w:rsid w:val="7A987D08"/>
    <w:rsid w:val="7AA17C39"/>
    <w:rsid w:val="7ACD29EC"/>
    <w:rsid w:val="7AF12D9D"/>
    <w:rsid w:val="7B25356F"/>
    <w:rsid w:val="7B781A77"/>
    <w:rsid w:val="7B7D774F"/>
    <w:rsid w:val="7BF72207"/>
    <w:rsid w:val="7C5A2796"/>
    <w:rsid w:val="7C5E53A8"/>
    <w:rsid w:val="7C9F63FA"/>
    <w:rsid w:val="7CA33F3E"/>
    <w:rsid w:val="7CAA6089"/>
    <w:rsid w:val="7CCC14D9"/>
    <w:rsid w:val="7CDE51F0"/>
    <w:rsid w:val="7D0D638E"/>
    <w:rsid w:val="7D3F451E"/>
    <w:rsid w:val="7D482101"/>
    <w:rsid w:val="7D4E0DA0"/>
    <w:rsid w:val="7D712C70"/>
    <w:rsid w:val="7DA97EE3"/>
    <w:rsid w:val="7DB10E90"/>
    <w:rsid w:val="7E1770CD"/>
    <w:rsid w:val="7E283425"/>
    <w:rsid w:val="7E5268C7"/>
    <w:rsid w:val="7E5751DF"/>
    <w:rsid w:val="7E583504"/>
    <w:rsid w:val="7F060E99"/>
    <w:rsid w:val="7F192DA3"/>
    <w:rsid w:val="7F5E259D"/>
    <w:rsid w:val="7F6B7889"/>
    <w:rsid w:val="7FA97CBC"/>
    <w:rsid w:val="7FAA4988"/>
    <w:rsid w:val="7FD14B1D"/>
    <w:rsid w:val="7FEF16A3"/>
    <w:rsid w:val="7FF07699"/>
    <w:rsid w:val="7FF8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26"/>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19"/>
    <w:qFormat/>
    <w:uiPriority w:val="0"/>
    <w:pPr>
      <w:keepNext/>
      <w:keepLines/>
      <w:adjustRightInd w:val="0"/>
      <w:spacing w:before="260" w:after="260" w:line="416" w:lineRule="atLeast"/>
      <w:textAlignment w:val="baseline"/>
      <w:outlineLvl w:val="2"/>
    </w:pPr>
    <w:rPr>
      <w:rFonts w:ascii="Times New Roman" w:hAnsi="Times New Roman" w:eastAsia="宋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440" w:lineRule="exact"/>
      <w:ind w:firstLine="200" w:firstLineChars="200"/>
    </w:pPr>
    <w:rPr>
      <w:rFonts w:ascii="Times New Roman" w:hAnsi="Times New Roman" w:eastAsia="宋体" w:cs="Times New Roman"/>
      <w:sz w:val="24"/>
      <w:szCs w:val="20"/>
    </w:rPr>
  </w:style>
  <w:style w:type="paragraph" w:styleId="6">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annotation text"/>
    <w:basedOn w:val="1"/>
    <w:semiHidden/>
    <w:unhideWhenUsed/>
    <w:qFormat/>
    <w:uiPriority w:val="99"/>
    <w:pPr>
      <w:jc w:val="left"/>
    </w:pPr>
  </w:style>
  <w:style w:type="paragraph" w:styleId="8">
    <w:name w:val="Plain Text"/>
    <w:basedOn w:val="1"/>
    <w:link w:val="20"/>
    <w:qFormat/>
    <w:uiPriority w:val="0"/>
    <w:pPr>
      <w:adjustRightInd w:val="0"/>
      <w:spacing w:line="360" w:lineRule="atLeast"/>
      <w:textAlignment w:val="baseline"/>
    </w:pPr>
    <w:rPr>
      <w:rFonts w:ascii="宋体" w:hAnsi="Courier New" w:eastAsia="宋体"/>
    </w:rPr>
  </w:style>
  <w:style w:type="paragraph" w:styleId="9">
    <w:name w:val="Balloon Text"/>
    <w:basedOn w:val="1"/>
    <w:link w:val="29"/>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toc 1"/>
    <w:basedOn w:val="1"/>
    <w:next w:val="1"/>
    <w:semiHidden/>
    <w:unhideWhenUsed/>
    <w:qFormat/>
    <w:uiPriority w:val="39"/>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6"/>
    <w:qFormat/>
    <w:uiPriority w:val="99"/>
    <w:rPr>
      <w:rFonts w:asciiTheme="minorHAnsi" w:hAnsiTheme="minorHAnsi" w:eastAsiaTheme="minorEastAsia"/>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3 Char"/>
    <w:basedOn w:val="14"/>
    <w:link w:val="4"/>
    <w:qFormat/>
    <w:uiPriority w:val="0"/>
    <w:rPr>
      <w:rFonts w:ascii="Times New Roman" w:hAnsi="Times New Roman" w:eastAsia="宋体" w:cs="Times New Roman"/>
      <w:b/>
      <w:bCs/>
      <w:kern w:val="0"/>
      <w:sz w:val="32"/>
      <w:szCs w:val="32"/>
    </w:rPr>
  </w:style>
  <w:style w:type="character" w:customStyle="1" w:styleId="20">
    <w:name w:val="纯文本 Char"/>
    <w:link w:val="8"/>
    <w:qFormat/>
    <w:uiPriority w:val="0"/>
    <w:rPr>
      <w:rFonts w:ascii="宋体" w:hAnsi="Courier New" w:eastAsia="宋体"/>
    </w:rPr>
  </w:style>
  <w:style w:type="character" w:customStyle="1" w:styleId="21">
    <w:name w:val="纯文本 字符"/>
    <w:basedOn w:val="14"/>
    <w:semiHidden/>
    <w:qFormat/>
    <w:uiPriority w:val="99"/>
    <w:rPr>
      <w:rFonts w:hAnsi="Courier New" w:cs="Courier New" w:asciiTheme="minorEastAsia"/>
    </w:rPr>
  </w:style>
  <w:style w:type="paragraph" w:customStyle="1" w:styleId="22">
    <w:name w:val="Table Paragraph"/>
    <w:basedOn w:val="1"/>
    <w:qFormat/>
    <w:uiPriority w:val="1"/>
  </w:style>
  <w:style w:type="character" w:customStyle="1" w:styleId="23">
    <w:name w:val="font21"/>
    <w:basedOn w:val="14"/>
    <w:qFormat/>
    <w:uiPriority w:val="0"/>
    <w:rPr>
      <w:rFonts w:ascii="微软雅黑" w:hAnsi="微软雅黑" w:eastAsia="微软雅黑" w:cs="微软雅黑"/>
      <w:color w:val="000000"/>
      <w:sz w:val="10"/>
      <w:szCs w:val="10"/>
      <w:u w:val="none"/>
    </w:rPr>
  </w:style>
  <w:style w:type="character" w:customStyle="1" w:styleId="24">
    <w:name w:val="font11"/>
    <w:basedOn w:val="14"/>
    <w:qFormat/>
    <w:uiPriority w:val="0"/>
    <w:rPr>
      <w:rFonts w:hint="default" w:ascii="Arial" w:hAnsi="Arial" w:cs="Arial"/>
      <w:color w:val="000000"/>
      <w:sz w:val="10"/>
      <w:szCs w:val="10"/>
      <w:u w:val="none"/>
    </w:rPr>
  </w:style>
  <w:style w:type="paragraph" w:customStyle="1" w:styleId="25">
    <w:name w:val="Table caption|1"/>
    <w:basedOn w:val="1"/>
    <w:qFormat/>
    <w:uiPriority w:val="0"/>
    <w:pPr>
      <w:spacing w:line="414" w:lineRule="exact"/>
    </w:pPr>
    <w:rPr>
      <w:rFonts w:ascii="宋体" w:hAnsi="宋体" w:eastAsia="宋体" w:cs="宋体"/>
      <w:sz w:val="20"/>
      <w:szCs w:val="20"/>
      <w:lang w:val="zh-TW" w:eastAsia="zh-TW" w:bidi="zh-TW"/>
    </w:rPr>
  </w:style>
  <w:style w:type="character" w:customStyle="1" w:styleId="26">
    <w:name w:val="标题 2 Char"/>
    <w:link w:val="3"/>
    <w:qFormat/>
    <w:uiPriority w:val="0"/>
    <w:rPr>
      <w:rFonts w:ascii="Arial" w:hAnsi="Arial" w:eastAsia="黑体"/>
      <w:b/>
      <w:sz w:val="32"/>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框文本 Char"/>
    <w:basedOn w:val="14"/>
    <w:link w:val="9"/>
    <w:semiHidden/>
    <w:qFormat/>
    <w:uiPriority w:val="99"/>
    <w:rPr>
      <w:rFonts w:asciiTheme="minorHAnsi" w:hAnsiTheme="minorHAnsi" w:eastAsiaTheme="minorEastAsia" w:cstheme="minorBidi"/>
      <w:kern w:val="2"/>
      <w:sz w:val="18"/>
      <w:szCs w:val="18"/>
    </w:rPr>
  </w:style>
  <w:style w:type="character" w:customStyle="1" w:styleId="30">
    <w:name w:val="font31"/>
    <w:basedOn w:val="14"/>
    <w:qFormat/>
    <w:uiPriority w:val="0"/>
    <w:rPr>
      <w:rFonts w:hint="default" w:ascii="Arial" w:hAnsi="Arial" w:cs="Arial"/>
      <w:color w:val="000000"/>
      <w:sz w:val="10"/>
      <w:szCs w:val="10"/>
      <w:u w:val="none"/>
    </w:rPr>
  </w:style>
  <w:style w:type="character" w:customStyle="1" w:styleId="31">
    <w:name w:val="font51"/>
    <w:basedOn w:val="14"/>
    <w:qFormat/>
    <w:uiPriority w:val="0"/>
    <w:rPr>
      <w:rFonts w:ascii="微软雅黑" w:hAnsi="微软雅黑" w:eastAsia="微软雅黑" w:cs="微软雅黑"/>
      <w:color w:val="000000"/>
      <w:sz w:val="10"/>
      <w:szCs w:val="10"/>
      <w:u w:val="none"/>
    </w:rPr>
  </w:style>
  <w:style w:type="paragraph" w:customStyle="1" w:styleId="32">
    <w:name w:val="Other|1"/>
    <w:basedOn w:val="1"/>
    <w:qFormat/>
    <w:uiPriority w:val="0"/>
    <w:rPr>
      <w:rFonts w:ascii="宋体" w:hAnsi="宋体" w:eastAsia="宋体" w:cs="宋体"/>
      <w:sz w:val="20"/>
      <w:szCs w:val="20"/>
      <w:lang w:val="zh-TW" w:eastAsia="zh-TW" w:bidi="zh-TW"/>
    </w:rPr>
  </w:style>
  <w:style w:type="paragraph" w:customStyle="1" w:styleId="33">
    <w:name w:val="_Style 4"/>
    <w:basedOn w:val="1"/>
    <w:qFormat/>
    <w:uiPriority w:val="1"/>
    <w:pPr>
      <w:ind w:left="400" w:firstLine="420"/>
    </w:pPr>
  </w:style>
  <w:style w:type="paragraph" w:customStyle="1" w:styleId="34">
    <w:name w:val="_Style 1"/>
    <w:basedOn w:val="1"/>
    <w:qFormat/>
    <w:uiPriority w:val="1"/>
    <w:pPr>
      <w:ind w:left="400" w:firstLine="420"/>
    </w:pPr>
  </w:style>
  <w:style w:type="paragraph" w:customStyle="1" w:styleId="35">
    <w:name w:val="Body text|1"/>
    <w:basedOn w:val="1"/>
    <w:qFormat/>
    <w:uiPriority w:val="0"/>
    <w:pPr>
      <w:spacing w:after="200" w:line="430" w:lineRule="auto"/>
      <w:ind w:firstLine="400"/>
    </w:pPr>
    <w:rPr>
      <w:rFonts w:ascii="宋体" w:hAnsi="宋体" w:eastAsia="宋体" w:cs="宋体"/>
      <w:sz w:val="22"/>
      <w:lang w:val="zh-TW" w:eastAsia="zh-TW" w:bidi="zh-TW"/>
    </w:rPr>
  </w:style>
  <w:style w:type="paragraph" w:customStyle="1" w:styleId="36">
    <w:name w:val="Body text|4"/>
    <w:basedOn w:val="1"/>
    <w:qFormat/>
    <w:uiPriority w:val="0"/>
    <w:pPr>
      <w:spacing w:after="100" w:line="398" w:lineRule="exact"/>
    </w:pPr>
    <w:rPr>
      <w:rFonts w:ascii="宋体" w:hAnsi="宋体" w:eastAsia="宋体" w:cs="宋体"/>
      <w:color w:val="231F20"/>
      <w:lang w:val="zh-TW" w:eastAsia="zh-TW" w:bidi="zh-TW"/>
    </w:rPr>
  </w:style>
  <w:style w:type="paragraph" w:customStyle="1" w:styleId="3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00B6D-638E-4DFA-83DC-52D79B19C164}">
  <ds:schemaRefs/>
</ds:datastoreItem>
</file>

<file path=docProps/app.xml><?xml version="1.0" encoding="utf-8"?>
<Properties xmlns="http://schemas.openxmlformats.org/officeDocument/2006/extended-properties" xmlns:vt="http://schemas.openxmlformats.org/officeDocument/2006/docPropsVTypes">
  <Template>Normal</Template>
  <Company>fhcpec.com.cn</Company>
  <Pages>6</Pages>
  <Words>2467</Words>
  <Characters>2577</Characters>
  <Lines>23</Lines>
  <Paragraphs>6</Paragraphs>
  <TotalTime>1</TotalTime>
  <ScaleCrop>false</ScaleCrop>
  <LinksUpToDate>false</LinksUpToDate>
  <CharactersWithSpaces>2612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2022-09-08T09:11:00Z</dcterms:created>
  <dc:creator>zhong me</dc:creator>
  <cp:lastModifiedBy>xumx</cp:lastModifiedBy>
  <cp:lastPrinted>2022-03-09T08:24:00Z</cp:lastPrinted>
  <dcterms:modified xsi:type="dcterms:W3CDTF">2022-12-28T05:49:47Z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678FD19ECFF84D60B8778F2EDBFF1486</vt:lpwstr>
  </property>
</Properties>
</file>